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74295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400" w:hanging="33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400" w:hanging="334"/>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211455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2"/>
          </w:tcPr>
          <w:p>
            <w:pPr>
              <w:jc w:val="center"/>
              <w:ind w:left="674"/>
              <w:spacing w:after="0"/>
              <w:rPr>
                <w:sz w:val="20"/>
                <w:szCs w:val="20"/>
                <w:color w:val="auto"/>
              </w:rPr>
            </w:pPr>
            <w:r>
              <w:rPr>
                <w:rFonts w:ascii="Arial" w:cs="Arial" w:eastAsia="Arial" w:hAnsi="Arial"/>
                <w:sz w:val="18"/>
                <w:szCs w:val="18"/>
                <w:b w:val="1"/>
                <w:bCs w:val="1"/>
                <w:color w:val="auto"/>
                <w:w w:val="91"/>
              </w:rPr>
              <w:t>Delaware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gridSpan w:val="2"/>
          </w:tcPr>
          <w:p>
            <w:pPr>
              <w:jc w:val="right"/>
              <w:ind w:right="873"/>
              <w:spacing w:after="0"/>
              <w:rPr>
                <w:sz w:val="20"/>
                <w:szCs w:val="20"/>
                <w:color w:val="auto"/>
              </w:rPr>
            </w:pPr>
            <w:r>
              <w:rPr>
                <w:rFonts w:ascii="Arial" w:cs="Arial" w:eastAsia="Arial" w:hAnsi="Arial"/>
                <w:sz w:val="18"/>
                <w:szCs w:val="18"/>
                <w:b w:val="1"/>
                <w:bCs w:val="1"/>
                <w:color w:val="auto"/>
              </w:rPr>
              <w:t>47-1874201</w:t>
            </w:r>
          </w:p>
        </w:tc>
      </w:tr>
      <w:tr>
        <w:trPr>
          <w:trHeight w:val="180"/>
        </w:trPr>
        <w:tc>
          <w:tcPr>
            <w:tcW w:w="3600" w:type="dxa"/>
            <w:vAlign w:val="bottom"/>
            <w:gridSpan w:val="2"/>
          </w:tcPr>
          <w:p>
            <w:pPr>
              <w:jc w:val="center"/>
              <w:ind w:left="674"/>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tcPr>
          <w:p>
            <w:pPr>
              <w:jc w:val="center"/>
              <w:ind w:left="93"/>
              <w:spacing w:after="0" w:line="18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gridSpan w:val="2"/>
          </w:tcPr>
          <w:p>
            <w:pPr>
              <w:jc w:val="center"/>
              <w:ind w:left="654"/>
              <w:spacing w:after="0"/>
              <w:rPr>
                <w:sz w:val="20"/>
                <w:szCs w:val="20"/>
                <w:color w:val="auto"/>
              </w:rPr>
            </w:pPr>
            <w:r>
              <w:rPr>
                <w:rFonts w:ascii="Arial" w:cs="Arial" w:eastAsia="Arial" w:hAnsi="Arial"/>
                <w:sz w:val="18"/>
                <w:szCs w:val="18"/>
                <w:b w:val="1"/>
                <w:bCs w:val="1"/>
                <w:color w:val="auto"/>
                <w:w w:val="91"/>
              </w:rPr>
              <w:t>incorporation or organization)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153"/>
              <w:spacing w:after="0"/>
              <w:rPr>
                <w:sz w:val="20"/>
                <w:szCs w:val="20"/>
                <w:color w:val="auto"/>
              </w:rPr>
            </w:pPr>
            <w:r>
              <w:rPr>
                <w:rFonts w:ascii="Arial" w:cs="Arial" w:eastAsia="Arial" w:hAnsi="Arial"/>
                <w:sz w:val="18"/>
                <w:szCs w:val="18"/>
                <w:b w:val="1"/>
                <w:bCs w:val="1"/>
                <w:color w:val="auto"/>
                <w:w w:val="92"/>
              </w:rPr>
              <w:t>Identification No.)</w:t>
            </w:r>
          </w:p>
        </w:tc>
      </w:tr>
      <w:tr>
        <w:trPr>
          <w:trHeight w:val="332"/>
        </w:trPr>
        <w:tc>
          <w:tcPr>
            <w:tcW w:w="756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3680" w:type="dxa"/>
            <w:vAlign w:val="bottom"/>
            <w:gridSpan w:val="2"/>
          </w:tcPr>
          <w:p>
            <w:pPr>
              <w:jc w:val="right"/>
              <w:ind w:right="1093"/>
              <w:spacing w:after="0"/>
              <w:rPr>
                <w:sz w:val="20"/>
                <w:szCs w:val="20"/>
                <w:color w:val="auto"/>
              </w:rPr>
            </w:pPr>
            <w:r>
              <w:rPr>
                <w:rFonts w:ascii="Arial" w:cs="Arial" w:eastAsia="Arial" w:hAnsi="Arial"/>
                <w:sz w:val="18"/>
                <w:szCs w:val="18"/>
                <w:b w:val="1"/>
                <w:bCs w:val="1"/>
                <w:color w:val="auto"/>
              </w:rPr>
              <w:t>94608</w:t>
            </w:r>
          </w:p>
        </w:tc>
      </w:tr>
      <w:tr>
        <w:trPr>
          <w:trHeight w:val="210"/>
        </w:trPr>
        <w:tc>
          <w:tcPr>
            <w:tcW w:w="3600" w:type="dxa"/>
            <w:vAlign w:val="bottom"/>
            <w:gridSpan w:val="2"/>
          </w:tcPr>
          <w:p>
            <w:pPr>
              <w:jc w:val="center"/>
              <w:ind w:left="67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ind w:left="1260"/>
              <w:spacing w:after="0"/>
              <w:rPr>
                <w:sz w:val="20"/>
                <w:szCs w:val="20"/>
                <w:color w:val="auto"/>
              </w:rPr>
            </w:pPr>
            <w:r>
              <w:rPr>
                <w:rFonts w:ascii="Arial" w:cs="Arial" w:eastAsia="Arial" w:hAnsi="Arial"/>
                <w:sz w:val="16"/>
                <w:szCs w:val="16"/>
                <w:b w:val="1"/>
                <w:bCs w:val="1"/>
                <w:color w:val="auto"/>
              </w:rPr>
              <w:t>(Zip Code)</w:t>
            </w:r>
          </w:p>
        </w:tc>
      </w:tr>
      <w:tr>
        <w:trPr>
          <w:trHeight w:val="235"/>
        </w:trPr>
        <w:tc>
          <w:tcPr>
            <w:tcW w:w="3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gridSpan w:val="3"/>
          </w:tcPr>
          <w:p>
            <w:pPr>
              <w:jc w:val="right"/>
              <w:ind w:right="719"/>
              <w:spacing w:after="0"/>
              <w:rPr>
                <w:sz w:val="20"/>
                <w:szCs w:val="20"/>
                <w:color w:val="auto"/>
              </w:rPr>
            </w:pPr>
            <w:r>
              <w:rPr>
                <w:rFonts w:ascii="Arial" w:cs="Arial" w:eastAsia="Arial" w:hAnsi="Arial"/>
                <w:sz w:val="18"/>
                <w:szCs w:val="18"/>
                <w:b w:val="1"/>
                <w:bCs w:val="1"/>
                <w:color w:val="auto"/>
              </w:rPr>
              <w:t>(510) 845-1999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330"/>
        </w:trPr>
        <w:tc>
          <w:tcPr>
            <w:tcW w:w="30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r>
        <w:trPr>
          <w:trHeight w:val="433"/>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gridSpan w:val="5"/>
          </w:tcPr>
          <w:p>
            <w:pPr>
              <w:jc w:val="center"/>
              <w:ind w:left="16"/>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87"/>
        </w:trPr>
        <w:tc>
          <w:tcPr>
            <w:tcW w:w="36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6"/>
                <w:szCs w:val="16"/>
                <w:b w:val="1"/>
                <w:bCs w:val="1"/>
                <w:color w:val="auto"/>
                <w:w w:val="87"/>
              </w:rPr>
              <w:t>Title of each class</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center"/>
              <w:ind w:right="49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3600" w:type="dxa"/>
            <w:vAlign w:val="bottom"/>
            <w:gridSpan w:val="2"/>
          </w:tcPr>
          <w:p>
            <w:pPr>
              <w:jc w:val="center"/>
              <w:ind w:left="554"/>
              <w:spacing w:after="0"/>
              <w:rPr>
                <w:sz w:val="20"/>
                <w:szCs w:val="20"/>
                <w:color w:val="auto"/>
              </w:rPr>
            </w:pPr>
            <w:r>
              <w:rPr>
                <w:rFonts w:ascii="Arial" w:cs="Arial" w:eastAsia="Arial" w:hAnsi="Arial"/>
                <w:sz w:val="16"/>
                <w:szCs w:val="16"/>
                <w:color w:val="auto"/>
                <w:w w:val="90"/>
              </w:rPr>
              <w:t>Common Stock, par value $0.001 per share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700"/>
              <w:spacing w:after="0"/>
              <w:rPr>
                <w:sz w:val="20"/>
                <w:szCs w:val="20"/>
                <w:color w:val="auto"/>
              </w:rPr>
            </w:pPr>
            <w:r>
              <w:rPr>
                <w:rFonts w:ascii="Arial" w:cs="Arial" w:eastAsia="Arial" w:hAnsi="Arial"/>
                <w:sz w:val="16"/>
                <w:szCs w:val="16"/>
                <w:color w:val="auto"/>
                <w:w w:val="88"/>
              </w:rPr>
              <w:t>GO</w:t>
            </w:r>
          </w:p>
        </w:tc>
        <w:tc>
          <w:tcPr>
            <w:tcW w:w="3680" w:type="dxa"/>
            <w:vAlign w:val="bottom"/>
            <w:gridSpan w:val="2"/>
          </w:tcPr>
          <w:p>
            <w:pPr>
              <w:jc w:val="center"/>
              <w:ind w:right="493"/>
              <w:spacing w:after="0"/>
              <w:rPr>
                <w:sz w:val="20"/>
                <w:szCs w:val="20"/>
                <w:color w:val="auto"/>
              </w:rPr>
            </w:pPr>
            <w:r>
              <w:rPr>
                <w:rFonts w:ascii="Arial" w:cs="Arial" w:eastAsia="Arial" w:hAnsi="Arial"/>
                <w:sz w:val="16"/>
                <w:szCs w:val="16"/>
                <w:color w:val="auto"/>
                <w:w w:val="91"/>
              </w:rPr>
              <w:t>Nasdaq Global Select Market</w:t>
            </w:r>
          </w:p>
        </w:tc>
      </w:tr>
    </w:tbl>
    <w:p>
      <w:pPr>
        <w:spacing w:after="0" w:line="34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60" w:type="dxa"/>
        <w:tblCellMar>
          <w:top w:w="0" w:type="dxa"/>
          <w:left w:w="0" w:type="dxa"/>
          <w:bottom w:w="0" w:type="dxa"/>
          <w:right w:w="0" w:type="dxa"/>
        </w:tblCellMar>
      </w:tblPr>
      <w:tr>
        <w:trPr>
          <w:trHeight w:val="297"/>
        </w:trPr>
        <w:tc>
          <w:tcPr>
            <w:tcW w:w="3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5"/>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7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6, 2021, the registrant had 95,707,461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20" w:type="dxa"/>
            <w:vAlign w:val="bottom"/>
            <w:gridSpan w:val="3"/>
          </w:tcPr>
          <w:p>
            <w:pPr>
              <w:ind w:left="3280"/>
              <w:spacing w:after="0"/>
              <w:rPr>
                <w:sz w:val="20"/>
                <w:szCs w:val="20"/>
                <w:color w:val="auto"/>
              </w:rPr>
            </w:pPr>
            <w:r>
              <w:rPr>
                <w:rFonts w:ascii="Arial" w:cs="Arial" w:eastAsia="Arial" w:hAnsi="Arial"/>
                <w:sz w:val="16"/>
                <w:szCs w:val="16"/>
                <w:b w:val="1"/>
                <w:bCs w:val="1"/>
                <w:color w:val="auto"/>
              </w:rPr>
              <w:t>Page</w:t>
            </w:r>
          </w:p>
        </w:tc>
      </w:tr>
      <w:tr>
        <w:trPr>
          <w:trHeight w:val="195"/>
        </w:trPr>
        <w:tc>
          <w:tcPr>
            <w:tcW w:w="20" w:type="dxa"/>
            <w:vAlign w:val="bottom"/>
          </w:tcPr>
          <w:p>
            <w:pPr>
              <w:spacing w:after="0"/>
              <w:rPr>
                <w:sz w:val="16"/>
                <w:szCs w:val="16"/>
                <w:color w:val="auto"/>
              </w:rPr>
            </w:pPr>
          </w:p>
        </w:tc>
        <w:tc>
          <w:tcPr>
            <w:tcW w:w="7400" w:type="dxa"/>
            <w:vAlign w:val="bottom"/>
            <w:gridSpan w:val="22"/>
          </w:tcPr>
          <w:p>
            <w:pPr>
              <w:spacing w:after="0" w:line="195" w:lineRule="exact"/>
              <w:rPr>
                <w:rFonts w:ascii="Arial" w:cs="Arial" w:eastAsia="Arial" w:hAnsi="Arial"/>
                <w:sz w:val="18"/>
                <w:szCs w:val="18"/>
                <w:color w:val="3051F2"/>
              </w:rPr>
            </w:pPr>
            <w:hyperlink w:anchor="page2">
              <w:r>
                <w:rPr>
                  <w:rFonts w:ascii="Arial" w:cs="Arial" w:eastAsia="Arial" w:hAnsi="Arial"/>
                  <w:sz w:val="18"/>
                  <w:szCs w:val="18"/>
                  <w:color w:val="3051F2"/>
                </w:rPr>
                <w:t>Special Note Regarding Forward-Looking Statements</w:t>
              </w:r>
            </w:hyperlink>
          </w:p>
        </w:tc>
        <w:tc>
          <w:tcPr>
            <w:tcW w:w="3520" w:type="dxa"/>
            <w:vAlign w:val="bottom"/>
            <w:gridSpan w:val="2"/>
          </w:tcPr>
          <w:p>
            <w:pPr>
              <w:jc w:val="center"/>
              <w:ind w:left="3279"/>
              <w:spacing w:after="0"/>
              <w:rPr>
                <w:rFonts w:ascii="Arial" w:cs="Arial" w:eastAsia="Arial" w:hAnsi="Arial"/>
                <w:sz w:val="16"/>
                <w:szCs w:val="16"/>
                <w:color w:val="3051F2"/>
                <w:w w:val="89"/>
              </w:rPr>
            </w:pPr>
            <w:hyperlink w:anchor="page2">
              <w:r>
                <w:rPr>
                  <w:rFonts w:ascii="Arial" w:cs="Arial" w:eastAsia="Arial" w:hAnsi="Arial"/>
                  <w:sz w:val="16"/>
                  <w:szCs w:val="16"/>
                  <w:color w:val="3051F2"/>
                  <w:w w:val="89"/>
                </w:rPr>
                <w:t>2</w:t>
              </w:r>
            </w:hyperlink>
          </w:p>
        </w:tc>
        <w:tc>
          <w:tcPr>
            <w:tcW w:w="300" w:type="dxa"/>
            <w:vAlign w:val="bottom"/>
          </w:tcPr>
          <w:p>
            <w:pPr>
              <w:spacing w:after="0"/>
              <w:rPr>
                <w:sz w:val="16"/>
                <w:szCs w:val="16"/>
                <w:color w:val="auto"/>
              </w:rPr>
            </w:pPr>
          </w:p>
        </w:tc>
      </w:tr>
      <w:tr>
        <w:trPr>
          <w:trHeight w:val="520"/>
        </w:trPr>
        <w:tc>
          <w:tcPr>
            <w:tcW w:w="20" w:type="dxa"/>
            <w:vAlign w:val="bottom"/>
          </w:tcPr>
          <w:p>
            <w:pPr>
              <w:spacing w:after="0"/>
              <w:rPr>
                <w:sz w:val="24"/>
                <w:szCs w:val="24"/>
                <w:color w:val="auto"/>
              </w:rPr>
            </w:pPr>
          </w:p>
        </w:tc>
        <w:tc>
          <w:tcPr>
            <w:tcW w:w="940" w:type="dxa"/>
            <w:vAlign w:val="bottom"/>
            <w:tcBorders>
              <w:top w:val="single" w:sz="8" w:color="3051F2"/>
            </w:tcBorders>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4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7"/>
          </w:tcPr>
          <w:p>
            <w:pPr>
              <w:jc w:val="center"/>
              <w:ind w:righ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340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4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Item </w:t>
              </w:r>
            </w:hyperlink>
            <w:r>
              <w:rPr>
                <w:rFonts w:ascii="Arial" w:cs="Arial" w:eastAsia="Arial" w:hAnsi="Arial"/>
                <w:sz w:val="18"/>
                <w:szCs w:val="18"/>
                <w:color w:val="auto"/>
              </w:rPr>
              <w:t>1.</w:t>
            </w:r>
          </w:p>
        </w:tc>
        <w:tc>
          <w:tcPr>
            <w:tcW w:w="2420" w:type="dxa"/>
            <w:vAlign w:val="bottom"/>
            <w:tcBorders>
              <w:bottom w:val="single" w:sz="8" w:color="3051F2"/>
            </w:tcBorders>
            <w:gridSpan w:val="10"/>
          </w:tcPr>
          <w:p>
            <w:pPr>
              <w:spacing w:after="0"/>
              <w:rPr>
                <w:rFonts w:ascii="Arial" w:cs="Arial" w:eastAsia="Arial" w:hAnsi="Arial"/>
                <w:sz w:val="18"/>
                <w:szCs w:val="18"/>
                <w:color w:val="3051F2"/>
                <w:w w:val="89"/>
              </w:rPr>
            </w:pPr>
            <w:hyperlink w:anchor="page4">
              <w:r>
                <w:rPr>
                  <w:rFonts w:ascii="Arial" w:cs="Arial" w:eastAsia="Arial" w:hAnsi="Arial"/>
                  <w:sz w:val="18"/>
                  <w:szCs w:val="18"/>
                  <w:color w:val="3051F2"/>
                  <w:w w:val="89"/>
                </w:rPr>
                <w:t>Financial Statements (Unaudited)</w:t>
              </w:r>
            </w:hyperlink>
          </w:p>
        </w:tc>
        <w:tc>
          <w:tcPr>
            <w:tcW w:w="4040" w:type="dxa"/>
            <w:vAlign w:val="bottom"/>
            <w:gridSpan w:val="11"/>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3</w:t>
              </w:r>
            </w:hyperlink>
          </w:p>
        </w:tc>
        <w:tc>
          <w:tcPr>
            <w:tcW w:w="3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40" w:type="dxa"/>
            <w:vAlign w:val="bottom"/>
            <w:tcBorders>
              <w:bottom w:val="single" w:sz="8" w:color="3051F2"/>
            </w:tcBorders>
            <w:gridSpan w:val="12"/>
          </w:tcPr>
          <w:p>
            <w:pPr>
              <w:spacing w:after="0"/>
              <w:rPr>
                <w:rFonts w:ascii="Arial" w:cs="Arial" w:eastAsia="Arial" w:hAnsi="Arial"/>
                <w:sz w:val="18"/>
                <w:szCs w:val="18"/>
                <w:color w:val="3051F2"/>
                <w:w w:val="87"/>
              </w:rPr>
            </w:pPr>
            <w:hyperlink w:anchor="page4">
              <w:r>
                <w:rPr>
                  <w:rFonts w:ascii="Arial" w:cs="Arial" w:eastAsia="Arial" w:hAnsi="Arial"/>
                  <w:sz w:val="18"/>
                  <w:szCs w:val="18"/>
                  <w:color w:val="3051F2"/>
                  <w:w w:val="87"/>
                </w:rPr>
                <w:t>Condensed Consolidated Balance Sheets</w:t>
              </w:r>
            </w:hyperlink>
          </w:p>
        </w:tc>
        <w:tc>
          <w:tcPr>
            <w:tcW w:w="3520" w:type="dxa"/>
            <w:vAlign w:val="bottom"/>
            <w:gridSpan w:val="9"/>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3</w:t>
              </w:r>
            </w:hyperlink>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720" w:type="dxa"/>
            <w:vAlign w:val="bottom"/>
            <w:tcBorders>
              <w:bottom w:val="single" w:sz="8" w:color="3051F2"/>
            </w:tcBorders>
            <w:gridSpan w:val="20"/>
          </w:tcPr>
          <w:p>
            <w:pPr>
              <w:spacing w:after="0"/>
              <w:rPr>
                <w:rFonts w:ascii="Arial" w:cs="Arial" w:eastAsia="Arial" w:hAnsi="Arial"/>
                <w:sz w:val="18"/>
                <w:szCs w:val="18"/>
                <w:color w:val="3051F2"/>
                <w:w w:val="88"/>
              </w:rPr>
            </w:pPr>
            <w:hyperlink w:anchor="page4">
              <w:r>
                <w:rPr>
                  <w:rFonts w:ascii="Arial" w:cs="Arial" w:eastAsia="Arial" w:hAnsi="Arial"/>
                  <w:sz w:val="18"/>
                  <w:szCs w:val="18"/>
                  <w:color w:val="3051F2"/>
                  <w:w w:val="88"/>
                </w:rPr>
                <w:t>Condensed Consolidated Statements of Operations and Comprehensive Income</w:t>
              </w:r>
            </w:hyperlink>
          </w:p>
        </w:tc>
        <w:tc>
          <w:tcPr>
            <w:tcW w:w="7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4</w:t>
              </w:r>
            </w:hyperlink>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gridSpan w:val="21"/>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Condensed Consolidated Statements of Stockholders’ Equity</w:t>
              </w:r>
            </w:hyperlink>
          </w:p>
        </w:tc>
        <w:tc>
          <w:tcPr>
            <w:tcW w:w="3520" w:type="dxa"/>
            <w:vAlign w:val="bottom"/>
            <w:gridSpan w:val="2"/>
          </w:tcPr>
          <w:p>
            <w:pPr>
              <w:jc w:val="center"/>
              <w:ind w:left="3279"/>
              <w:spacing w:after="0"/>
              <w:rPr>
                <w:rFonts w:ascii="Arial" w:cs="Arial" w:eastAsia="Arial" w:hAnsi="Arial"/>
                <w:sz w:val="16"/>
                <w:szCs w:val="16"/>
                <w:color w:val="3051F2"/>
                <w:w w:val="89"/>
              </w:rPr>
            </w:pPr>
            <w:hyperlink w:anchor="page5">
              <w:r>
                <w:rPr>
                  <w:rFonts w:ascii="Arial" w:cs="Arial" w:eastAsia="Arial" w:hAnsi="Arial"/>
                  <w:sz w:val="16"/>
                  <w:szCs w:val="16"/>
                  <w:color w:val="3051F2"/>
                  <w:w w:val="89"/>
                </w:rPr>
                <w:t>5</w:t>
              </w:r>
            </w:hyperlink>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Borders>
              <w:top w:val="single" w:sz="8" w:color="3051F2"/>
              <w:bottom w:val="single" w:sz="8" w:color="3051F2"/>
            </w:tcBorders>
            <w:gridSpan w:val="15"/>
          </w:tcPr>
          <w:p>
            <w:pPr>
              <w:spacing w:after="0"/>
              <w:rPr>
                <w:rFonts w:ascii="Arial" w:cs="Arial" w:eastAsia="Arial" w:hAnsi="Arial"/>
                <w:sz w:val="18"/>
                <w:szCs w:val="18"/>
                <w:color w:val="3051F2"/>
                <w:w w:val="88"/>
              </w:rPr>
            </w:pPr>
            <w:hyperlink w:anchor="page7">
              <w:r>
                <w:rPr>
                  <w:rFonts w:ascii="Arial" w:cs="Arial" w:eastAsia="Arial" w:hAnsi="Arial"/>
                  <w:sz w:val="18"/>
                  <w:szCs w:val="18"/>
                  <w:color w:val="3051F2"/>
                  <w:w w:val="88"/>
                </w:rPr>
                <w:t>Condensed Consolidated Statements of Cash Flows</w:t>
              </w:r>
            </w:hyperlink>
          </w:p>
        </w:tc>
        <w:tc>
          <w:tcPr>
            <w:tcW w:w="660" w:type="dxa"/>
            <w:vAlign w:val="bottom"/>
            <w:tcBorders>
              <w:top w:val="single" w:sz="8" w:color="3051F2"/>
            </w:tcBorders>
            <w:gridSpan w:val="4"/>
          </w:tcPr>
          <w:p>
            <w:pPr>
              <w:spacing w:after="0"/>
              <w:rPr>
                <w:sz w:val="18"/>
                <w:szCs w:val="18"/>
                <w:color w:val="auto"/>
              </w:rPr>
            </w:pPr>
          </w:p>
        </w:tc>
        <w:tc>
          <w:tcPr>
            <w:tcW w:w="2080" w:type="dxa"/>
            <w:vAlign w:val="bottom"/>
            <w:gridSpan w:val="2"/>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top w:val="single" w:sz="8" w:color="3051F2"/>
              <w:bottom w:val="single" w:sz="8" w:color="3051F2"/>
            </w:tcBorders>
          </w:tcPr>
          <w:p>
            <w:pPr>
              <w:jc w:val="center"/>
              <w:spacing w:after="0"/>
              <w:rPr>
                <w:rFonts w:ascii="Arial" w:cs="Arial" w:eastAsia="Arial" w:hAnsi="Arial"/>
                <w:sz w:val="16"/>
                <w:szCs w:val="16"/>
                <w:color w:val="3051F2"/>
                <w:w w:val="89"/>
              </w:rPr>
            </w:pPr>
            <w:hyperlink w:anchor="page7">
              <w:r>
                <w:rPr>
                  <w:rFonts w:ascii="Arial" w:cs="Arial" w:eastAsia="Arial" w:hAnsi="Arial"/>
                  <w:sz w:val="16"/>
                  <w:szCs w:val="16"/>
                  <w:color w:val="3051F2"/>
                  <w:w w:val="89"/>
                </w:rPr>
                <w:t>7</w:t>
              </w:r>
            </w:hyperlink>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0" w:type="dxa"/>
            <w:vAlign w:val="bottom"/>
            <w:tcBorders>
              <w:bottom w:val="single" w:sz="8" w:color="3051F2"/>
            </w:tcBorders>
            <w:gridSpan w:val="16"/>
          </w:tcPr>
          <w:p>
            <w:pPr>
              <w:spacing w:after="0"/>
              <w:rPr>
                <w:rFonts w:ascii="Arial" w:cs="Arial" w:eastAsia="Arial" w:hAnsi="Arial"/>
                <w:sz w:val="18"/>
                <w:szCs w:val="18"/>
                <w:color w:val="3051F2"/>
                <w:w w:val="88"/>
              </w:rPr>
            </w:pPr>
            <w:hyperlink w:anchor="page8">
              <w:r>
                <w:rPr>
                  <w:rFonts w:ascii="Arial" w:cs="Arial" w:eastAsia="Arial" w:hAnsi="Arial"/>
                  <w:sz w:val="18"/>
                  <w:szCs w:val="18"/>
                  <w:color w:val="3051F2"/>
                  <w:w w:val="88"/>
                </w:rPr>
                <w:t>Notes to Condensed Consolidated Financial Statements</w:t>
              </w:r>
            </w:hyperlink>
          </w:p>
        </w:tc>
        <w:tc>
          <w:tcPr>
            <w:tcW w:w="2460" w:type="dxa"/>
            <w:vAlign w:val="bottom"/>
            <w:gridSpan w:val="5"/>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8">
              <w:r>
                <w:rPr>
                  <w:rFonts w:ascii="Arial" w:cs="Arial" w:eastAsia="Arial" w:hAnsi="Arial"/>
                  <w:sz w:val="16"/>
                  <w:szCs w:val="16"/>
                  <w:color w:val="3051F2"/>
                  <w:w w:val="89"/>
                </w:rPr>
                <w:t>8</w:t>
              </w:r>
            </w:hyperlink>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 xml:space="preserve">Item </w:t>
              </w:r>
            </w:hyperlink>
            <w:r>
              <w:rPr>
                <w:rFonts w:ascii="Arial" w:cs="Arial" w:eastAsia="Arial" w:hAnsi="Arial"/>
                <w:sz w:val="18"/>
                <w:szCs w:val="18"/>
                <w:color w:val="auto"/>
              </w:rPr>
              <w:t>2.</w:t>
            </w:r>
          </w:p>
        </w:tc>
        <w:tc>
          <w:tcPr>
            <w:tcW w:w="6460" w:type="dxa"/>
            <w:vAlign w:val="bottom"/>
            <w:gridSpan w:val="21"/>
          </w:tcPr>
          <w:p>
            <w:pPr>
              <w:spacing w:after="0"/>
              <w:rPr>
                <w:rFonts w:ascii="Arial" w:cs="Arial" w:eastAsia="Arial" w:hAnsi="Arial"/>
                <w:sz w:val="18"/>
                <w:szCs w:val="18"/>
                <w:color w:val="3051F2"/>
                <w:w w:val="90"/>
              </w:rPr>
            </w:pPr>
            <w:hyperlink w:anchor="page19">
              <w:r>
                <w:rPr>
                  <w:rFonts w:ascii="Arial" w:cs="Arial" w:eastAsia="Arial" w:hAnsi="Arial"/>
                  <w:sz w:val="18"/>
                  <w:szCs w:val="18"/>
                  <w:color w:val="3051F2"/>
                  <w:w w:val="90"/>
                </w:rPr>
                <w:t>Management’s Discussion and Analysis of Financial Condition and Results of Operations</w:t>
              </w:r>
            </w:hyperlink>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19">
              <w:r>
                <w:rPr>
                  <w:rFonts w:ascii="Arial" w:cs="Arial" w:eastAsia="Arial" w:hAnsi="Arial"/>
                  <w:sz w:val="15"/>
                  <w:szCs w:val="15"/>
                  <w:color w:val="3051F2"/>
                  <w:w w:val="71"/>
                </w:rPr>
                <w:t>19</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340" w:type="dxa"/>
            <w:vAlign w:val="bottom"/>
            <w:shd w:val="clear" w:color="auto" w:fill="3051F2"/>
          </w:tcPr>
          <w:p>
            <w:pPr>
              <w:spacing w:after="0" w:line="20" w:lineRule="exact"/>
              <w:rPr>
                <w:sz w:val="1"/>
                <w:szCs w:val="1"/>
                <w:color w:val="auto"/>
              </w:rPr>
            </w:pPr>
          </w:p>
        </w:tc>
        <w:tc>
          <w:tcPr>
            <w:tcW w:w="740" w:type="dxa"/>
            <w:vAlign w:val="bottom"/>
            <w:shd w:val="clear" w:color="auto" w:fill="3051F2"/>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gridSpan w:val="21"/>
          </w:tcPr>
          <w:p>
            <w:pPr>
              <w:spacing w:after="0"/>
              <w:rPr>
                <w:rFonts w:ascii="Arial" w:cs="Arial" w:eastAsia="Arial" w:hAnsi="Arial"/>
                <w:sz w:val="18"/>
                <w:szCs w:val="18"/>
                <w:color w:val="3051F2"/>
              </w:rPr>
            </w:pPr>
            <w:hyperlink w:anchor="page20">
              <w:r>
                <w:rPr>
                  <w:rFonts w:ascii="Arial" w:cs="Arial" w:eastAsia="Arial" w:hAnsi="Arial"/>
                  <w:sz w:val="18"/>
                  <w:szCs w:val="18"/>
                  <w:color w:val="3051F2"/>
                </w:rPr>
                <w:t>Overview</w:t>
              </w:r>
            </w:hyperlink>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20">
              <w:r>
                <w:rPr>
                  <w:rFonts w:ascii="Arial" w:cs="Arial" w:eastAsia="Arial" w:hAnsi="Arial"/>
                  <w:sz w:val="15"/>
                  <w:szCs w:val="15"/>
                  <w:color w:val="3051F2"/>
                  <w:w w:val="71"/>
                </w:rPr>
                <w:t>19</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6"/>
          </w:tcPr>
          <w:p>
            <w:pPr>
              <w:spacing w:after="0"/>
              <w:rPr>
                <w:rFonts w:ascii="Arial" w:cs="Arial" w:eastAsia="Arial" w:hAnsi="Arial"/>
                <w:sz w:val="18"/>
                <w:szCs w:val="18"/>
                <w:color w:val="3051F2"/>
                <w:w w:val="88"/>
              </w:rPr>
            </w:pPr>
            <w:hyperlink w:anchor="page22">
              <w:r>
                <w:rPr>
                  <w:rFonts w:ascii="Arial" w:cs="Arial" w:eastAsia="Arial" w:hAnsi="Arial"/>
                  <w:sz w:val="18"/>
                  <w:szCs w:val="18"/>
                  <w:color w:val="3051F2"/>
                  <w:w w:val="88"/>
                </w:rPr>
                <w:t>Results of Operations</w:t>
              </w:r>
            </w:hyperlink>
          </w:p>
        </w:tc>
        <w:tc>
          <w:tcPr>
            <w:tcW w:w="4900" w:type="dxa"/>
            <w:vAlign w:val="bottom"/>
            <w:gridSpan w:val="15"/>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22">
              <w:r>
                <w:rPr>
                  <w:rFonts w:ascii="Arial" w:cs="Arial" w:eastAsia="Arial" w:hAnsi="Arial"/>
                  <w:sz w:val="15"/>
                  <w:szCs w:val="15"/>
                  <w:color w:val="3051F2"/>
                  <w:w w:val="71"/>
                </w:rPr>
                <w:t>22</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20" w:type="dxa"/>
            <w:vAlign w:val="bottom"/>
            <w:gridSpan w:val="8"/>
          </w:tcPr>
          <w:p>
            <w:pPr>
              <w:spacing w:after="0"/>
              <w:rPr>
                <w:rFonts w:ascii="Arial" w:cs="Arial" w:eastAsia="Arial" w:hAnsi="Arial"/>
                <w:sz w:val="18"/>
                <w:szCs w:val="18"/>
                <w:color w:val="3051F2"/>
                <w:w w:val="90"/>
              </w:rPr>
            </w:pPr>
            <w:hyperlink w:anchor="page29">
              <w:r>
                <w:rPr>
                  <w:rFonts w:ascii="Arial" w:cs="Arial" w:eastAsia="Arial" w:hAnsi="Arial"/>
                  <w:sz w:val="18"/>
                  <w:szCs w:val="18"/>
                  <w:color w:val="3051F2"/>
                  <w:w w:val="90"/>
                </w:rPr>
                <w:t>Liquidity and Capital Resources</w:t>
              </w:r>
            </w:hyperlink>
          </w:p>
        </w:tc>
        <w:tc>
          <w:tcPr>
            <w:tcW w:w="4140" w:type="dxa"/>
            <w:vAlign w:val="bottom"/>
            <w:gridSpan w:val="13"/>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29">
              <w:r>
                <w:rPr>
                  <w:rFonts w:ascii="Arial" w:cs="Arial" w:eastAsia="Arial" w:hAnsi="Arial"/>
                  <w:sz w:val="15"/>
                  <w:szCs w:val="15"/>
                  <w:color w:val="3051F2"/>
                  <w:w w:val="71"/>
                </w:rPr>
                <w:t>29</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9"/>
          </w:tcPr>
          <w:p>
            <w:pPr>
              <w:spacing w:after="0"/>
              <w:rPr>
                <w:rFonts w:ascii="Arial" w:cs="Arial" w:eastAsia="Arial" w:hAnsi="Arial"/>
                <w:sz w:val="18"/>
                <w:szCs w:val="18"/>
                <w:color w:val="3051F2"/>
                <w:w w:val="89"/>
              </w:rPr>
            </w:pPr>
            <w:hyperlink w:anchor="page32">
              <w:r>
                <w:rPr>
                  <w:rFonts w:ascii="Arial" w:cs="Arial" w:eastAsia="Arial" w:hAnsi="Arial"/>
                  <w:sz w:val="18"/>
                  <w:szCs w:val="18"/>
                  <w:color w:val="3051F2"/>
                  <w:w w:val="89"/>
                </w:rPr>
                <w:t>Off-Balance Sheet Arrangements</w:t>
              </w:r>
            </w:hyperlink>
          </w:p>
        </w:tc>
        <w:tc>
          <w:tcPr>
            <w:tcW w:w="4060" w:type="dxa"/>
            <w:vAlign w:val="bottom"/>
            <w:gridSpan w:val="12"/>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2">
              <w:r>
                <w:rPr>
                  <w:rFonts w:ascii="Arial" w:cs="Arial" w:eastAsia="Arial" w:hAnsi="Arial"/>
                  <w:sz w:val="15"/>
                  <w:szCs w:val="15"/>
                  <w:color w:val="3051F2"/>
                  <w:w w:val="71"/>
                </w:rPr>
                <w:t>32</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9"/>
          </w:tcPr>
          <w:p>
            <w:pPr>
              <w:spacing w:after="0"/>
              <w:rPr>
                <w:rFonts w:ascii="Arial" w:cs="Arial" w:eastAsia="Arial" w:hAnsi="Arial"/>
                <w:sz w:val="18"/>
                <w:szCs w:val="18"/>
                <w:color w:val="3051F2"/>
              </w:rPr>
            </w:pPr>
            <w:hyperlink w:anchor="page33">
              <w:r>
                <w:rPr>
                  <w:rFonts w:ascii="Arial" w:cs="Arial" w:eastAsia="Arial" w:hAnsi="Arial"/>
                  <w:sz w:val="18"/>
                  <w:szCs w:val="18"/>
                  <w:color w:val="3051F2"/>
                </w:rPr>
                <w:t>Contractual Obligations</w:t>
              </w:r>
            </w:hyperlink>
          </w:p>
        </w:tc>
        <w:tc>
          <w:tcPr>
            <w:tcW w:w="4060" w:type="dxa"/>
            <w:vAlign w:val="bottom"/>
            <w:gridSpan w:val="12"/>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3">
              <w:r>
                <w:rPr>
                  <w:rFonts w:ascii="Arial" w:cs="Arial" w:eastAsia="Arial" w:hAnsi="Arial"/>
                  <w:sz w:val="15"/>
                  <w:szCs w:val="15"/>
                  <w:color w:val="3051F2"/>
                  <w:w w:val="71"/>
                </w:rPr>
                <w:t>32</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400" w:type="dxa"/>
            <w:vAlign w:val="bottom"/>
            <w:tcBorders>
              <w:left w:val="single" w:sz="8" w:color="3051F2"/>
            </w:tcBorders>
            <w:gridSpan w:val="2"/>
            <w:shd w:val="clear" w:color="auto" w:fill="3051F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gridSpan w:val="21"/>
          </w:tcPr>
          <w:p>
            <w:pPr>
              <w:spacing w:after="0"/>
              <w:rPr>
                <w:rFonts w:ascii="Arial" w:cs="Arial" w:eastAsia="Arial" w:hAnsi="Arial"/>
                <w:sz w:val="18"/>
                <w:szCs w:val="18"/>
                <w:color w:val="3051F2"/>
              </w:rPr>
            </w:pPr>
            <w:hyperlink w:anchor="page33">
              <w:r>
                <w:rPr>
                  <w:rFonts w:ascii="Arial" w:cs="Arial" w:eastAsia="Arial" w:hAnsi="Arial"/>
                  <w:sz w:val="18"/>
                  <w:szCs w:val="18"/>
                  <w:color w:val="3051F2"/>
                </w:rPr>
                <w:t>Critical Accounting Policies and Estimates</w:t>
              </w:r>
            </w:hyperlink>
          </w:p>
        </w:tc>
        <w:tc>
          <w:tcPr>
            <w:tcW w:w="3820" w:type="dxa"/>
            <w:vAlign w:val="bottom"/>
            <w:gridSpan w:val="3"/>
          </w:tcPr>
          <w:p>
            <w:pPr>
              <w:jc w:val="center"/>
              <w:ind w:left="2979"/>
              <w:spacing w:after="0"/>
              <w:rPr>
                <w:rFonts w:ascii="Arial" w:cs="Arial" w:eastAsia="Arial" w:hAnsi="Arial"/>
                <w:sz w:val="16"/>
                <w:szCs w:val="16"/>
                <w:color w:val="3051F2"/>
                <w:w w:val="89"/>
              </w:rPr>
            </w:pPr>
            <w:hyperlink w:anchor="page33">
              <w:r>
                <w:rPr>
                  <w:rFonts w:ascii="Arial" w:cs="Arial" w:eastAsia="Arial" w:hAnsi="Arial"/>
                  <w:sz w:val="16"/>
                  <w:szCs w:val="16"/>
                  <w:color w:val="3051F2"/>
                  <w:w w:val="89"/>
                </w:rPr>
                <w:t>32</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gridSpan w:val="14"/>
          </w:tcPr>
          <w:p>
            <w:pPr>
              <w:spacing w:after="0"/>
              <w:rPr>
                <w:rFonts w:ascii="Arial" w:cs="Arial" w:eastAsia="Arial" w:hAnsi="Arial"/>
                <w:sz w:val="18"/>
                <w:szCs w:val="18"/>
                <w:color w:val="3051F2"/>
              </w:rPr>
            </w:pPr>
            <w:hyperlink w:anchor="page33">
              <w:r>
                <w:rPr>
                  <w:rFonts w:ascii="Arial" w:cs="Arial" w:eastAsia="Arial" w:hAnsi="Arial"/>
                  <w:sz w:val="18"/>
                  <w:szCs w:val="18"/>
                  <w:color w:val="3051F2"/>
                </w:rPr>
                <w:t>Recent Accounting Pronouncements</w:t>
              </w:r>
            </w:hyperlink>
          </w:p>
        </w:tc>
        <w:tc>
          <w:tcPr>
            <w:tcW w:w="3380" w:type="dxa"/>
            <w:vAlign w:val="bottom"/>
            <w:gridSpan w:val="7"/>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3">
              <w:r>
                <w:rPr>
                  <w:rFonts w:ascii="Arial" w:cs="Arial" w:eastAsia="Arial" w:hAnsi="Arial"/>
                  <w:sz w:val="15"/>
                  <w:szCs w:val="15"/>
                  <w:color w:val="3051F2"/>
                  <w:w w:val="71"/>
                </w:rPr>
                <w:t>32</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 xml:space="preserve">Item </w:t>
              </w:r>
            </w:hyperlink>
            <w:r>
              <w:rPr>
                <w:rFonts w:ascii="Arial" w:cs="Arial" w:eastAsia="Arial" w:hAnsi="Arial"/>
                <w:sz w:val="18"/>
                <w:szCs w:val="18"/>
                <w:color w:val="auto"/>
              </w:rPr>
              <w:t>3.</w:t>
            </w:r>
          </w:p>
        </w:tc>
        <w:tc>
          <w:tcPr>
            <w:tcW w:w="4240" w:type="dxa"/>
            <w:vAlign w:val="bottom"/>
            <w:gridSpan w:val="17"/>
          </w:tcPr>
          <w:p>
            <w:pPr>
              <w:spacing w:after="0"/>
              <w:rPr>
                <w:rFonts w:ascii="Arial" w:cs="Arial" w:eastAsia="Arial" w:hAnsi="Arial"/>
                <w:sz w:val="18"/>
                <w:szCs w:val="18"/>
                <w:color w:val="3051F2"/>
                <w:w w:val="91"/>
              </w:rPr>
            </w:pPr>
            <w:hyperlink w:anchor="page33">
              <w:r>
                <w:rPr>
                  <w:rFonts w:ascii="Arial" w:cs="Arial" w:eastAsia="Arial" w:hAnsi="Arial"/>
                  <w:sz w:val="18"/>
                  <w:szCs w:val="18"/>
                  <w:color w:val="3051F2"/>
                  <w:w w:val="91"/>
                </w:rPr>
                <w:t>Quantitative and Qualitative Disclosure about Market Risk</w:t>
              </w:r>
            </w:hyperlink>
          </w:p>
        </w:tc>
        <w:tc>
          <w:tcPr>
            <w:tcW w:w="2220" w:type="dxa"/>
            <w:vAlign w:val="bottom"/>
            <w:gridSpan w:val="4"/>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3">
              <w:r>
                <w:rPr>
                  <w:rFonts w:ascii="Arial" w:cs="Arial" w:eastAsia="Arial" w:hAnsi="Arial"/>
                  <w:sz w:val="15"/>
                  <w:szCs w:val="15"/>
                  <w:color w:val="3051F2"/>
                  <w:w w:val="71"/>
                </w:rPr>
                <w:t>32</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0" w:type="dxa"/>
            <w:vAlign w:val="bottom"/>
            <w:tcBorders>
              <w:left w:val="single" w:sz="8" w:color="3051F2"/>
            </w:tcBorders>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 xml:space="preserve">Item </w:t>
              </w:r>
            </w:hyperlink>
            <w:r>
              <w:rPr>
                <w:rFonts w:ascii="Arial" w:cs="Arial" w:eastAsia="Arial" w:hAnsi="Arial"/>
                <w:sz w:val="18"/>
                <w:szCs w:val="18"/>
                <w:color w:val="auto"/>
              </w:rPr>
              <w:t>4.</w:t>
            </w:r>
          </w:p>
        </w:tc>
        <w:tc>
          <w:tcPr>
            <w:tcW w:w="4240" w:type="dxa"/>
            <w:vAlign w:val="bottom"/>
            <w:gridSpan w:val="17"/>
          </w:tcPr>
          <w:p>
            <w:pPr>
              <w:spacing w:after="0"/>
              <w:rPr>
                <w:rFonts w:ascii="Arial" w:cs="Arial" w:eastAsia="Arial" w:hAnsi="Arial"/>
                <w:sz w:val="18"/>
                <w:szCs w:val="18"/>
                <w:color w:val="3051F2"/>
              </w:rPr>
            </w:pPr>
            <w:hyperlink w:anchor="page33">
              <w:r>
                <w:rPr>
                  <w:rFonts w:ascii="Arial" w:cs="Arial" w:eastAsia="Arial" w:hAnsi="Arial"/>
                  <w:sz w:val="18"/>
                  <w:szCs w:val="18"/>
                  <w:color w:val="3051F2"/>
                </w:rPr>
                <w:t>Controls and Procedures</w:t>
              </w:r>
            </w:hyperlink>
          </w:p>
        </w:tc>
        <w:tc>
          <w:tcPr>
            <w:tcW w:w="2220" w:type="dxa"/>
            <w:vAlign w:val="bottom"/>
            <w:gridSpan w:val="4"/>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3">
              <w:r>
                <w:rPr>
                  <w:rFonts w:ascii="Arial" w:cs="Arial" w:eastAsia="Arial" w:hAnsi="Arial"/>
                  <w:sz w:val="15"/>
                  <w:szCs w:val="15"/>
                  <w:color w:val="3051F2"/>
                  <w:w w:val="71"/>
                </w:rPr>
                <w:t>33</w:t>
              </w:r>
            </w:hyperlink>
          </w:p>
        </w:tc>
      </w:tr>
      <w:tr>
        <w:trPr>
          <w:trHeight w:val="52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4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7"/>
          </w:tcPr>
          <w:p>
            <w:pPr>
              <w:jc w:val="center"/>
              <w:ind w:right="4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PART II. OTHER INFORMATION</w:t>
              </w:r>
            </w:hyperlink>
          </w:p>
        </w:tc>
        <w:tc>
          <w:tcPr>
            <w:tcW w:w="340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4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Item </w:t>
              </w:r>
            </w:hyperlink>
            <w:r>
              <w:rPr>
                <w:rFonts w:ascii="Arial" w:cs="Arial" w:eastAsia="Arial" w:hAnsi="Arial"/>
                <w:sz w:val="18"/>
                <w:szCs w:val="18"/>
                <w:color w:val="auto"/>
              </w:rPr>
              <w:t>1.</w:t>
            </w:r>
          </w:p>
        </w:tc>
        <w:tc>
          <w:tcPr>
            <w:tcW w:w="1320" w:type="dxa"/>
            <w:vAlign w:val="bottom"/>
            <w:gridSpan w:val="5"/>
          </w:tcPr>
          <w:p>
            <w:pPr>
              <w:spacing w:after="0"/>
              <w:rPr>
                <w:rFonts w:ascii="Arial" w:cs="Arial" w:eastAsia="Arial" w:hAnsi="Arial"/>
                <w:sz w:val="18"/>
                <w:szCs w:val="18"/>
                <w:color w:val="3051F2"/>
                <w:w w:val="85"/>
              </w:rPr>
            </w:pPr>
            <w:hyperlink w:anchor="page35">
              <w:r>
                <w:rPr>
                  <w:rFonts w:ascii="Arial" w:cs="Arial" w:eastAsia="Arial" w:hAnsi="Arial"/>
                  <w:sz w:val="18"/>
                  <w:szCs w:val="18"/>
                  <w:color w:val="3051F2"/>
                  <w:w w:val="85"/>
                </w:rPr>
                <w:t>Legal Proceedings</w:t>
              </w:r>
            </w:hyperlink>
          </w:p>
        </w:tc>
        <w:tc>
          <w:tcPr>
            <w:tcW w:w="5140" w:type="dxa"/>
            <w:vAlign w:val="bottom"/>
            <w:gridSpan w:val="16"/>
          </w:tcPr>
          <w:p>
            <w:pPr>
              <w:spacing w:after="0"/>
              <w:rPr>
                <w:sz w:val="24"/>
                <w:szCs w:val="24"/>
                <w:color w:val="auto"/>
              </w:rPr>
            </w:pPr>
          </w:p>
        </w:tc>
        <w:tc>
          <w:tcPr>
            <w:tcW w:w="34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5">
              <w:r>
                <w:rPr>
                  <w:rFonts w:ascii="Arial" w:cs="Arial" w:eastAsia="Arial" w:hAnsi="Arial"/>
                  <w:sz w:val="15"/>
                  <w:szCs w:val="15"/>
                  <w:color w:val="3051F2"/>
                  <w:w w:val="71"/>
                </w:rPr>
                <w:t>34</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1A.</w:t>
              </w:r>
            </w:hyperlink>
          </w:p>
        </w:tc>
        <w:tc>
          <w:tcPr>
            <w:tcW w:w="1320" w:type="dxa"/>
            <w:vAlign w:val="bottom"/>
            <w:gridSpan w:val="5"/>
          </w:tcPr>
          <w:p>
            <w:pPr>
              <w:spacing w:after="0"/>
              <w:rPr>
                <w:rFonts w:ascii="Arial" w:cs="Arial" w:eastAsia="Arial" w:hAnsi="Arial"/>
                <w:sz w:val="18"/>
                <w:szCs w:val="18"/>
                <w:color w:val="3051F2"/>
              </w:rPr>
            </w:pPr>
            <w:hyperlink w:anchor="page35">
              <w:r>
                <w:rPr>
                  <w:rFonts w:ascii="Arial" w:cs="Arial" w:eastAsia="Arial" w:hAnsi="Arial"/>
                  <w:sz w:val="18"/>
                  <w:szCs w:val="18"/>
                  <w:color w:val="3051F2"/>
                </w:rPr>
                <w:t>Risk Factors</w:t>
              </w:r>
            </w:hyperlink>
          </w:p>
        </w:tc>
        <w:tc>
          <w:tcPr>
            <w:tcW w:w="5140" w:type="dxa"/>
            <w:vAlign w:val="bottom"/>
            <w:gridSpan w:val="16"/>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5">
              <w:r>
                <w:rPr>
                  <w:rFonts w:ascii="Arial" w:cs="Arial" w:eastAsia="Arial" w:hAnsi="Arial"/>
                  <w:sz w:val="15"/>
                  <w:szCs w:val="15"/>
                  <w:color w:val="3051F2"/>
                  <w:w w:val="71"/>
                </w:rPr>
                <w:t>34</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21"/>
          </w:tcPr>
          <w:p>
            <w:pPr>
              <w:spacing w:after="0"/>
              <w:rPr>
                <w:rFonts w:ascii="Arial" w:cs="Arial" w:eastAsia="Arial" w:hAnsi="Arial"/>
                <w:sz w:val="18"/>
                <w:szCs w:val="18"/>
                <w:color w:val="3051F2"/>
              </w:rPr>
            </w:pPr>
            <w:hyperlink w:anchor="page35">
              <w:r>
                <w:rPr>
                  <w:rFonts w:ascii="Arial" w:cs="Arial" w:eastAsia="Arial" w:hAnsi="Arial"/>
                  <w:sz w:val="18"/>
                  <w:szCs w:val="18"/>
                  <w:color w:val="3051F2"/>
                </w:rPr>
                <w:t>Unregistered Sales of Equity Securities and Use of Proceeds</w:t>
              </w:r>
            </w:hyperlink>
          </w:p>
        </w:tc>
        <w:tc>
          <w:tcPr>
            <w:tcW w:w="3820" w:type="dxa"/>
            <w:vAlign w:val="bottom"/>
            <w:gridSpan w:val="3"/>
          </w:tcPr>
          <w:p>
            <w:pPr>
              <w:jc w:val="center"/>
              <w:ind w:left="2979"/>
              <w:spacing w:after="0"/>
              <w:rPr>
                <w:rFonts w:ascii="Arial" w:cs="Arial" w:eastAsia="Arial" w:hAnsi="Arial"/>
                <w:sz w:val="16"/>
                <w:szCs w:val="16"/>
                <w:color w:val="3051F2"/>
                <w:w w:val="89"/>
              </w:rPr>
            </w:pPr>
            <w:hyperlink w:anchor="page35">
              <w:r>
                <w:rPr>
                  <w:rFonts w:ascii="Arial" w:cs="Arial" w:eastAsia="Arial" w:hAnsi="Arial"/>
                  <w:sz w:val="16"/>
                  <w:szCs w:val="16"/>
                  <w:color w:val="3051F2"/>
                  <w:w w:val="89"/>
                </w:rPr>
                <w:t>34</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1000" w:type="dxa"/>
            <w:vAlign w:val="bottom"/>
            <w:tcBorders>
              <w:left w:val="single" w:sz="8" w:color="3051F2"/>
            </w:tcBorders>
            <w:gridSpan w:val="3"/>
            <w:shd w:val="clear" w:color="auto" w:fill="3051F2"/>
          </w:tcPr>
          <w:p>
            <w:pPr>
              <w:spacing w:after="0" w:line="20" w:lineRule="exact"/>
              <w:rPr>
                <w:sz w:val="1"/>
                <w:szCs w:val="1"/>
                <w:color w:val="auto"/>
              </w:rPr>
            </w:pPr>
          </w:p>
        </w:tc>
        <w:tc>
          <w:tcPr>
            <w:tcW w:w="2020" w:type="dxa"/>
            <w:vAlign w:val="bottom"/>
            <w:tcBorders>
              <w:left w:val="single" w:sz="8" w:color="3051F2"/>
            </w:tcBorders>
            <w:gridSpan w:val="10"/>
            <w:shd w:val="clear" w:color="auto" w:fill="3051F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Item </w:t>
              </w:r>
            </w:hyperlink>
            <w:r>
              <w:rPr>
                <w:rFonts w:ascii="Arial" w:cs="Arial" w:eastAsia="Arial" w:hAnsi="Arial"/>
                <w:sz w:val="18"/>
                <w:szCs w:val="18"/>
                <w:color w:val="auto"/>
              </w:rPr>
              <w:t>3.</w:t>
            </w:r>
          </w:p>
        </w:tc>
        <w:tc>
          <w:tcPr>
            <w:tcW w:w="4340" w:type="dxa"/>
            <w:vAlign w:val="bottom"/>
            <w:gridSpan w:val="18"/>
          </w:tcPr>
          <w:p>
            <w:pPr>
              <w:spacing w:after="0"/>
              <w:rPr>
                <w:rFonts w:ascii="Arial" w:cs="Arial" w:eastAsia="Arial" w:hAnsi="Arial"/>
                <w:sz w:val="18"/>
                <w:szCs w:val="18"/>
                <w:color w:val="3051F2"/>
              </w:rPr>
            </w:pPr>
            <w:hyperlink w:anchor="page35">
              <w:r>
                <w:rPr>
                  <w:rFonts w:ascii="Arial" w:cs="Arial" w:eastAsia="Arial" w:hAnsi="Arial"/>
                  <w:sz w:val="18"/>
                  <w:szCs w:val="18"/>
                  <w:color w:val="3051F2"/>
                </w:rPr>
                <w:t>Defaults Upon Senior Securities</w:t>
              </w:r>
            </w:hyperlink>
          </w:p>
        </w:tc>
        <w:tc>
          <w:tcPr>
            <w:tcW w:w="2120" w:type="dxa"/>
            <w:vAlign w:val="bottom"/>
            <w:gridSpan w:val="3"/>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5">
              <w:r>
                <w:rPr>
                  <w:rFonts w:ascii="Arial" w:cs="Arial" w:eastAsia="Arial" w:hAnsi="Arial"/>
                  <w:sz w:val="15"/>
                  <w:szCs w:val="15"/>
                  <w:color w:val="3051F2"/>
                  <w:w w:val="71"/>
                </w:rPr>
                <w:t>34</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1000" w:type="dxa"/>
            <w:vAlign w:val="bottom"/>
            <w:tcBorders>
              <w:left w:val="single" w:sz="8" w:color="3051F2"/>
            </w:tcBorders>
            <w:gridSpan w:val="3"/>
            <w:shd w:val="clear" w:color="auto" w:fill="3051F2"/>
          </w:tcPr>
          <w:p>
            <w:pPr>
              <w:spacing w:after="0" w:line="20" w:lineRule="exact"/>
              <w:rPr>
                <w:sz w:val="1"/>
                <w:szCs w:val="1"/>
                <w:color w:val="auto"/>
              </w:rPr>
            </w:pPr>
          </w:p>
        </w:tc>
        <w:tc>
          <w:tcPr>
            <w:tcW w:w="4140" w:type="dxa"/>
            <w:vAlign w:val="bottom"/>
            <w:gridSpan w:val="13"/>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3051F2"/>
              </w:rPr>
            </w:pPr>
            <w:hyperlink w:anchor="page35">
              <w:r>
                <w:rPr>
                  <w:rFonts w:ascii="Arial" w:cs="Arial" w:eastAsia="Arial" w:hAnsi="Arial"/>
                  <w:sz w:val="18"/>
                  <w:szCs w:val="18"/>
                  <w:color w:val="3051F2"/>
                </w:rPr>
                <w:t>Mine Safety Disclosures</w:t>
              </w:r>
            </w:hyperlink>
          </w:p>
        </w:tc>
        <w:tc>
          <w:tcPr>
            <w:tcW w:w="4140" w:type="dxa"/>
            <w:vAlign w:val="bottom"/>
            <w:gridSpan w:val="13"/>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5">
              <w:r>
                <w:rPr>
                  <w:rFonts w:ascii="Arial" w:cs="Arial" w:eastAsia="Arial" w:hAnsi="Arial"/>
                  <w:sz w:val="15"/>
                  <w:szCs w:val="15"/>
                  <w:color w:val="3051F2"/>
                  <w:w w:val="71"/>
                </w:rPr>
                <w:t>34</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0" w:type="dxa"/>
            <w:vAlign w:val="bottom"/>
            <w:tcBorders>
              <w:left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Item </w:t>
              </w:r>
            </w:hyperlink>
            <w:r>
              <w:rPr>
                <w:rFonts w:ascii="Arial" w:cs="Arial" w:eastAsia="Arial" w:hAnsi="Arial"/>
                <w:sz w:val="18"/>
                <w:szCs w:val="18"/>
                <w:color w:val="auto"/>
              </w:rPr>
              <w:t>5.</w:t>
            </w:r>
          </w:p>
        </w:tc>
        <w:tc>
          <w:tcPr>
            <w:tcW w:w="1320" w:type="dxa"/>
            <w:vAlign w:val="bottom"/>
            <w:gridSpan w:val="5"/>
          </w:tcPr>
          <w:p>
            <w:pPr>
              <w:spacing w:after="0"/>
              <w:rPr>
                <w:rFonts w:ascii="Arial" w:cs="Arial" w:eastAsia="Arial" w:hAnsi="Arial"/>
                <w:sz w:val="18"/>
                <w:szCs w:val="18"/>
                <w:color w:val="3051F2"/>
                <w:w w:val="91"/>
              </w:rPr>
            </w:pPr>
            <w:hyperlink w:anchor="page35">
              <w:r>
                <w:rPr>
                  <w:rFonts w:ascii="Arial" w:cs="Arial" w:eastAsia="Arial" w:hAnsi="Arial"/>
                  <w:sz w:val="18"/>
                  <w:szCs w:val="18"/>
                  <w:color w:val="3051F2"/>
                  <w:w w:val="91"/>
                </w:rPr>
                <w:t>Other Information</w:t>
              </w:r>
            </w:hyperlink>
          </w:p>
        </w:tc>
        <w:tc>
          <w:tcPr>
            <w:tcW w:w="400" w:type="dxa"/>
            <w:vAlign w:val="bottom"/>
            <w:gridSpan w:val="2"/>
          </w:tcPr>
          <w:p>
            <w:pPr>
              <w:spacing w:after="0"/>
              <w:rPr>
                <w:sz w:val="18"/>
                <w:szCs w:val="18"/>
                <w:color w:val="auto"/>
              </w:rPr>
            </w:pPr>
          </w:p>
        </w:tc>
        <w:tc>
          <w:tcPr>
            <w:tcW w:w="4740" w:type="dxa"/>
            <w:vAlign w:val="bottom"/>
            <w:gridSpan w:val="14"/>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5">
              <w:r>
                <w:rPr>
                  <w:rFonts w:ascii="Arial" w:cs="Arial" w:eastAsia="Arial" w:hAnsi="Arial"/>
                  <w:sz w:val="15"/>
                  <w:szCs w:val="15"/>
                  <w:color w:val="3051F2"/>
                  <w:w w:val="71"/>
                </w:rPr>
                <w:t>34</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5140" w:type="dxa"/>
            <w:vAlign w:val="bottom"/>
            <w:gridSpan w:val="16"/>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Item </w:t>
              </w:r>
            </w:hyperlink>
            <w:r>
              <w:rPr>
                <w:rFonts w:ascii="Arial" w:cs="Arial" w:eastAsia="Arial" w:hAnsi="Arial"/>
                <w:sz w:val="18"/>
                <w:szCs w:val="18"/>
                <w:color w:val="auto"/>
              </w:rPr>
              <w:t>6.</w:t>
            </w:r>
          </w:p>
        </w:tc>
        <w:tc>
          <w:tcPr>
            <w:tcW w:w="600" w:type="dxa"/>
            <w:vAlign w:val="bottom"/>
          </w:tcPr>
          <w:p>
            <w:pPr>
              <w:spacing w:after="0"/>
              <w:rPr>
                <w:rFonts w:ascii="Arial" w:cs="Arial" w:eastAsia="Arial" w:hAnsi="Arial"/>
                <w:sz w:val="18"/>
                <w:szCs w:val="18"/>
                <w:color w:val="3051F2"/>
                <w:w w:val="91"/>
              </w:rPr>
            </w:pPr>
            <w:hyperlink w:anchor="page35">
              <w:r>
                <w:rPr>
                  <w:rFonts w:ascii="Arial" w:cs="Arial" w:eastAsia="Arial" w:hAnsi="Arial"/>
                  <w:sz w:val="18"/>
                  <w:szCs w:val="18"/>
                  <w:color w:val="3051F2"/>
                  <w:w w:val="91"/>
                </w:rPr>
                <w:t>Exhibits</w:t>
              </w:r>
            </w:hyperlink>
          </w:p>
        </w:tc>
        <w:tc>
          <w:tcPr>
            <w:tcW w:w="720" w:type="dxa"/>
            <w:vAlign w:val="bottom"/>
            <w:gridSpan w:val="4"/>
          </w:tcPr>
          <w:p>
            <w:pPr>
              <w:spacing w:after="0"/>
              <w:rPr>
                <w:sz w:val="18"/>
                <w:szCs w:val="18"/>
                <w:color w:val="auto"/>
              </w:rPr>
            </w:pPr>
          </w:p>
        </w:tc>
        <w:tc>
          <w:tcPr>
            <w:tcW w:w="5140" w:type="dxa"/>
            <w:vAlign w:val="bottom"/>
            <w:gridSpan w:val="16"/>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5">
              <w:r>
                <w:rPr>
                  <w:rFonts w:ascii="Arial" w:cs="Arial" w:eastAsia="Arial" w:hAnsi="Arial"/>
                  <w:sz w:val="15"/>
                  <w:szCs w:val="15"/>
                  <w:color w:val="3051F2"/>
                  <w:w w:val="71"/>
                </w:rPr>
                <w:t>35</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700" w:type="dxa"/>
            <w:vAlign w:val="bottom"/>
            <w:gridSpan w:val="18"/>
          </w:tcPr>
          <w:p>
            <w:pPr>
              <w:spacing w:after="0" w:line="20" w:lineRule="exact"/>
              <w:rPr>
                <w:sz w:val="1"/>
                <w:szCs w:val="1"/>
                <w:color w:val="auto"/>
              </w:rPr>
            </w:pPr>
          </w:p>
        </w:tc>
        <w:tc>
          <w:tcPr>
            <w:tcW w:w="340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3"/>
          </w:tcPr>
          <w:p>
            <w:pPr>
              <w:spacing w:after="0"/>
              <w:rPr>
                <w:rFonts w:ascii="Arial" w:cs="Arial" w:eastAsia="Arial" w:hAnsi="Arial"/>
                <w:sz w:val="18"/>
                <w:szCs w:val="18"/>
                <w:color w:val="0E32E1"/>
                <w:w w:val="85"/>
              </w:rPr>
            </w:pPr>
            <w:hyperlink w:anchor="page36">
              <w:r>
                <w:rPr>
                  <w:rFonts w:ascii="Arial" w:cs="Arial" w:eastAsia="Arial" w:hAnsi="Arial"/>
                  <w:sz w:val="18"/>
                  <w:szCs w:val="18"/>
                  <w:color w:val="0E32E1"/>
                  <w:w w:val="85"/>
                </w:rPr>
                <w:t>Signatures</w:t>
              </w:r>
            </w:hyperlink>
          </w:p>
        </w:tc>
        <w:tc>
          <w:tcPr>
            <w:tcW w:w="5700" w:type="dxa"/>
            <w:vAlign w:val="bottom"/>
            <w:gridSpan w:val="18"/>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gridSpan w:val="2"/>
          </w:tcPr>
          <w:p>
            <w:pPr>
              <w:jc w:val="center"/>
              <w:ind w:right="30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36</w:t>
              </w:r>
            </w:hyperlink>
          </w:p>
        </w:tc>
      </w:tr>
      <w:tr>
        <w:trPr>
          <w:trHeight w:val="9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Borders>
              <w:top w:val="single" w:sz="8" w:color="0E32E1"/>
            </w:tcBorders>
            <w:gridSpan w:val="3"/>
          </w:tcPr>
          <w:p>
            <w:pPr>
              <w:spacing w:after="0"/>
              <w:rPr>
                <w:sz w:val="24"/>
                <w:szCs w:val="24"/>
                <w:color w:val="auto"/>
              </w:rPr>
            </w:pPr>
          </w:p>
        </w:tc>
        <w:tc>
          <w:tcPr>
            <w:tcW w:w="4960" w:type="dxa"/>
            <w:vAlign w:val="bottom"/>
            <w:gridSpan w:val="17"/>
          </w:tcPr>
          <w:p>
            <w:pPr>
              <w:jc w:val="right"/>
              <w:ind w:right="102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231F20"/>
        </w:rPr>
        <w:t>Certain statements contained in this Quarterly Report on Form 10-Q ("Form 10-Q"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including statements regarding our future operating results and financial position, our business strategy and plans, business trends, and our objectives for future operations, may constitute forward-looking statements. Words such as "anticipate," "believe," "estimate," "expect," "intend," "may," "outlook," "plan," "project," "seek," "will," and similar expressions, are intended to identify such forward-looking statements. We have based these forward-looking statements on our current expectations and projections about future events and trends that we believe may affect our financial condition, operating results, business strategy, short-term and long-term business operations and objectives, and financial needs. These forward-looking statements are subject to a number of risks, uncertainties and assumptions, including those described under the headings "Item 1A. Risk Factors," and "Item 2. Management’s Discussion and Analysis of Financial Condition and Results of Operations" in this report or as described in the other documents and reports we file with the United States ("U.S.") Securities and Exchange Commission (the "SEC").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by the forward-looking statements.</w:t>
      </w:r>
    </w:p>
    <w:p>
      <w:pPr>
        <w:spacing w:after="0" w:line="5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should not be relied upon as representing our views as of any date subsequent to the date of this report. We do not undertake any duty to update any of these forward-looking statements after the date of this report or to conform these statements to actual results or revised expectations.</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Outlet,""the Company,""registrant,""we,""us" and "our," refer to Grocery Outlet Holding Corp. and its consolidated subsidiaries unless otherwise indicated or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27"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We use our website, www.groceryoutlet.com,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w:t>
      </w:r>
      <w:r>
        <w:rPr>
          <w:rFonts w:ascii="Arial" w:cs="Arial" w:eastAsia="Arial" w:hAnsi="Arial"/>
          <w:sz w:val="18"/>
          <w:szCs w:val="18"/>
          <w:color w:val="231F20"/>
        </w:rPr>
        <w:t>s not, however,</w:t>
      </w:r>
      <w:r>
        <w:rPr>
          <w:rFonts w:ascii="Arial" w:cs="Arial" w:eastAsia="Arial" w:hAnsi="Arial"/>
          <w:sz w:val="18"/>
          <w:szCs w:val="18"/>
          <w:color w:val="auto"/>
        </w:rPr>
        <w:t xml:space="preserve"> </w:t>
      </w:r>
      <w:r>
        <w:rPr>
          <w:rFonts w:ascii="Arial" w:cs="Arial" w:eastAsia="Arial" w:hAnsi="Arial"/>
          <w:sz w:val="18"/>
          <w:szCs w:val="18"/>
          <w:color w:val="231F20"/>
        </w:rPr>
        <w:t>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$1,176</w:t>
            </w: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and $985</w:t>
            </w: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$94 and $39</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Merchandise inventories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245,157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364,651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381,957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$7,827 and $7,124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458,313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433,652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835,397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48,226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2,498,737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114,278</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48,675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and other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232,646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lease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881,438</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1,550,651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1,563,317</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0"/>
              </w:rPr>
              <w:t>Voting common stock, par value $0.001 per share, 500,000,000 shares authorized; 95,501,473 and 94,854,336</w:t>
            </w: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787,047</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135,165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2,498,737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13 Weeks Ended</w:t>
            </w:r>
          </w:p>
        </w:tc>
      </w:tr>
      <w:tr>
        <w:trPr>
          <w:trHeight w:val="134"/>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20" w:type="dxa"/>
            <w:vAlign w:val="bottom"/>
          </w:tcPr>
          <w:p>
            <w:pPr>
              <w:jc w:val="right"/>
              <w:ind w:right="332"/>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760,308</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523,282</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237,026</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186,931</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12,945</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w:t>
            </w: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220,153</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8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10,841</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95,195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89,481</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January 2, 2021</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Exercise and vesting of share-based awards</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Share-based compensation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Dividends paid</w:t>
      </w:r>
    </w:p>
    <w:p>
      <w:pPr>
        <w:spacing w:after="0" w:line="23" w:lineRule="exact"/>
        <w:rPr>
          <w:sz w:val="20"/>
          <w:szCs w:val="20"/>
          <w:color w:val="auto"/>
        </w:rPr>
      </w:pPr>
    </w:p>
    <w:p>
      <w:pPr>
        <w:ind w:left="20" w:right="280" w:firstLine="121"/>
        <w:spacing w:after="0" w:line="339" w:lineRule="auto"/>
        <w:rPr>
          <w:sz w:val="20"/>
          <w:szCs w:val="20"/>
          <w:color w:val="auto"/>
        </w:rPr>
      </w:pPr>
      <w:r>
        <w:rPr>
          <w:rFonts w:ascii="Arial" w:cs="Arial" w:eastAsia="Arial" w:hAnsi="Arial"/>
          <w:sz w:val="18"/>
          <w:szCs w:val="18"/>
          <w:color w:val="auto"/>
        </w:rPr>
        <w:t xml:space="preserve">Net income and comprehensive income </w:t>
      </w:r>
      <w:r>
        <w:rPr>
          <w:rFonts w:ascii="Arial" w:cs="Arial" w:eastAsia="Arial" w:hAnsi="Arial"/>
          <w:sz w:val="18"/>
          <w:szCs w:val="18"/>
          <w:b w:val="1"/>
          <w:bCs w:val="1"/>
          <w:color w:val="auto"/>
        </w:rPr>
        <w:t>Balance as of April 3, 2021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1960" w:type="dxa"/>
        <w:tblCellMar>
          <w:top w:w="0" w:type="dxa"/>
          <w:left w:w="0" w:type="dxa"/>
          <w:bottom w:w="0" w:type="dxa"/>
          <w:right w:w="0" w:type="dxa"/>
        </w:tblCellMar>
      </w:tblPr>
      <w:tr>
        <w:trPr>
          <w:trHeight w:val="192"/>
        </w:trPr>
        <w:tc>
          <w:tcPr>
            <w:tcW w:w="20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Voting Common</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Stockholders’</w:t>
            </w:r>
          </w:p>
        </w:tc>
      </w:tr>
      <w:tr>
        <w:trPr>
          <w:trHeight w:val="201"/>
        </w:trPr>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Equity</w:t>
            </w:r>
          </w:p>
        </w:tc>
      </w:tr>
      <w:tr>
        <w:trPr>
          <w:trHeight w:val="224"/>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94,854,336</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95</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787,047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135,165</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922,307</w:t>
            </w:r>
          </w:p>
        </w:tc>
      </w:tr>
      <w:tr>
        <w:trPr>
          <w:trHeight w:val="230"/>
        </w:trPr>
        <w:tc>
          <w:tcPr>
            <w:tcW w:w="1100" w:type="dxa"/>
            <w:vAlign w:val="bottom"/>
          </w:tcPr>
          <w:p>
            <w:pPr>
              <w:jc w:val="right"/>
              <w:spacing w:after="0"/>
              <w:rPr>
                <w:sz w:val="20"/>
                <w:szCs w:val="20"/>
                <w:color w:val="auto"/>
              </w:rPr>
            </w:pPr>
            <w:r>
              <w:rPr>
                <w:rFonts w:ascii="Arial" w:cs="Arial" w:eastAsia="Arial" w:hAnsi="Arial"/>
                <w:sz w:val="18"/>
                <w:szCs w:val="18"/>
                <w:color w:val="auto"/>
              </w:rPr>
              <w:t>647,137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2,953</w:t>
            </w:r>
          </w:p>
        </w:tc>
      </w:tr>
      <w:tr>
        <w:trPr>
          <w:trHeight w:val="229"/>
        </w:trPr>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3,939</w:t>
            </w:r>
          </w:p>
        </w:tc>
      </w:tr>
      <w:tr>
        <w:trPr>
          <w:trHeight w:val="230"/>
        </w:trPr>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18,892</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95,501,473</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793,933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154,057</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948,086</w:t>
            </w:r>
          </w:p>
        </w:tc>
      </w:tr>
      <w:tr>
        <w:trPr>
          <w:trHeight w:val="21"/>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-925195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-624840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-334010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ectPr>
          <w:pgSz w:w="11900" w:h="16838" w:orient="portrait"/>
          <w:cols w:equalWidth="0" w:num="2">
            <w:col w:w="3280" w:space="200"/>
            <w:col w:w="7760"/>
          </w:cols>
          <w:pgMar w:left="320" w:top="125"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Voting Common</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Stockholders’</w:t>
            </w:r>
          </w:p>
        </w:tc>
      </w:tr>
      <w:tr>
        <w:trPr>
          <w:trHeight w:val="201"/>
        </w:trPr>
        <w:tc>
          <w:tcPr>
            <w:tcW w:w="544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Equity</w:t>
            </w: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28,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89,005,062</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745,384</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Cumulative effect of accounting change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20,277</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89,907,194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784,628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13 Weeks Ended</w:t>
            </w:r>
          </w:p>
        </w:tc>
      </w:tr>
      <w:tr>
        <w:trPr>
          <w:trHeight w:val="135"/>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20" w:type="dxa"/>
            <w:vAlign w:val="bottom"/>
          </w:tcPr>
          <w:p>
            <w:pPr>
              <w:jc w:val="right"/>
              <w:ind w:right="331"/>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12,642</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11,788</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debt discounts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20,277</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(1,801)</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Merchandise inventories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31,073</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Income and other taxes payable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accrued compensation and other accrued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(14,412)</w:t>
            </w:r>
          </w:p>
        </w:tc>
      </w:tr>
      <w:tr>
        <w:trPr>
          <w:trHeight w:val="229"/>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operating lease assets and liabilities,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r>
      <w:tr>
        <w:trPr>
          <w:trHeight w:val="223"/>
        </w:trPr>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67,820</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to independent operators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Repayments of advances from independent operators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(28,173)</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and licenses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23"/>
        </w:trPr>
        <w:tc>
          <w:tcPr>
            <w:tcW w:w="816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(29,793)</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6,033</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 loan</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Principal payments on term loans</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other borrowings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 paid</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3"/>
        </w:trPr>
        <w:tc>
          <w:tcPr>
            <w:tcW w:w="81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94,808</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132,835</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28,101</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160,936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collectively, "Grocery Outlet," "we," or the "Company") is a high-growth, extreme value retailer of quality, name-brand consumables and fresh products sold through a network of independently operated stores. As of April 3, 2021, we had 389 stores throughout California, Washington, Oregon, Pennsylvania, Idaho and Nevada.</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Secondary Public Offerings </w:t>
      </w:r>
      <w:r>
        <w:rPr>
          <w:rFonts w:ascii="Arial" w:cs="Arial" w:eastAsia="Arial" w:hAnsi="Arial"/>
          <w:sz w:val="18"/>
          <w:szCs w:val="18"/>
          <w:color w:val="auto"/>
        </w:rPr>
        <w:t>— On February 3, 2020, certain of our selling stockholders completed a secondary public offering of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We did not receive any of the proceeds from the sale of these shares by the selling stockholders. We incurred related offering costs of $1.1 million which we recognized in selling, general and administrative expenses ("SG&amp;A") during the first quarter of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during the second quarter of fiscal 2020. We received $1.6 million in cash (excluding withholding taxes) in connection with the exercise of 269,000 options by certain stockholders participating in this secondary public offering.</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7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generally accepted in the United States of America ("GAAP") and the applicable rules and regulations of the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January 2, 2021 filed with the SEC on March 2, 2021. The condensed consolidated balance sheet as of January 2, 2021 included herein has been derived from those audited consolidated financial statements.</w:t>
      </w:r>
    </w:p>
    <w:p>
      <w:pPr>
        <w:spacing w:after="0" w:line="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w:t>
      </w:r>
    </w:p>
    <w:p>
      <w:pPr>
        <w:spacing w:after="0" w:line="4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7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We manage our business as one operating segment. All of our sales were made to customers located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property and equipment is located in the United States.</w:t>
      </w:r>
    </w:p>
    <w:p>
      <w:pPr>
        <w:spacing w:after="0" w:line="5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72"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determine if an arrangement is a lease at inception. Operating leases are included in operating lease right-of-use assets, current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long-term lease liabilities on our condensed consolidated balance sheets. Finance leases are included in other assets, current lease liabilities, and long-term lease liabilities on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Our lease terms may include options to extend or terminate the lease when it is reasonably certain that we will exercise that option. Lease expense for operating lease payments is recognized on a straight-line basis over the lease term. Amortization of finance lease right-of-use assets, interest expense on finance lease liabilities and operating and financing cash flows for finance leases are immaterial.</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lease agreements with retail facilities for store locations, distribution centers, office space and equipment with lease and non-lease components, which are accounted for separately. Leases with an initial term of 12 months or less are not recorded on the balance sheet; lease expense for these leases is recognized on a straight-line basis over the lease term. The short-term lease expense is reflective of the short-term lease commitments on a go-forward basis. We sublease certain real estate to unrelated third parties under non-cancelable leases and the sublease portfolio consists of operating leases for retail stores.</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63" w:lineRule="exact"/>
        <w:rPr>
          <w:sz w:val="20"/>
          <w:szCs w:val="20"/>
          <w:color w:val="auto"/>
        </w:rPr>
      </w:pPr>
    </w:p>
    <w:p>
      <w:pPr>
        <w:ind w:left="1540" w:hanging="89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assets or liabilities measured at fair value on a recurring basis as of April 3, 2021 or January 2, 2021. Generally, assets are recorded at fair value on a nonrecurring basis as a result of impairment charges. There were no transfers of assets or liabilities between levels within the fair value hierarchy as of April 3, 2021 or January 2, 2021.</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independent operator ("IO") receivables, other accounts receivable and accounts payable </w:t>
      </w:r>
      <w:r>
        <w:rPr>
          <w:rFonts w:ascii="Arial" w:cs="Arial" w:eastAsia="Arial" w:hAnsi="Arial"/>
          <w:sz w:val="18"/>
          <w:szCs w:val="18"/>
          <w:color w:val="auto"/>
        </w:rPr>
        <w:t>— The carrying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approximates their fair value due to factors such as their short-term nature or their variable interest rates.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IO notes receivable (net) </w:t>
      </w:r>
      <w:r>
        <w:rPr>
          <w:rFonts w:ascii="Arial" w:cs="Arial" w:eastAsia="Arial" w:hAnsi="Arial"/>
          <w:sz w:val="18"/>
          <w:szCs w:val="18"/>
          <w:color w:val="auto"/>
        </w:rPr>
        <w:t>— The carrying value of such financial instruments approximates their fair value due to the effect of the related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expected credit losses.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Notes payable and term loans </w:t>
      </w:r>
      <w:r>
        <w:rPr>
          <w:rFonts w:ascii="Arial" w:cs="Arial" w:eastAsia="Arial" w:hAnsi="Arial"/>
          <w:sz w:val="18"/>
          <w:szCs w:val="18"/>
          <w:color w:val="auto"/>
        </w:rPr>
        <w:t>— The carrying value of such financial instruments approximates their fair value since the stated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approximates market rates for loans with similar terms for borrowers with similar credit profiles. However, in accordance with Accounting Standards Codification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values of our term loans as of April 3, 2021 and January 2, 2021 are disclosed in the below table.</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(amounts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159"/>
              <w:spacing w:after="0" w:line="149" w:lineRule="exact"/>
              <w:rPr>
                <w:sz w:val="20"/>
                <w:szCs w:val="20"/>
                <w:color w:val="auto"/>
              </w:rPr>
            </w:pPr>
            <w:r>
              <w:rPr>
                <w:rFonts w:ascii="Arial" w:cs="Arial" w:eastAsia="Arial" w:hAnsi="Arial"/>
                <w:sz w:val="14"/>
                <w:szCs w:val="14"/>
                <w:b w:val="1"/>
                <w:bCs w:val="1"/>
                <w:color w:val="auto"/>
              </w:rPr>
              <w:t>April 3,</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119"/>
              <w:spacing w:after="0" w:line="149" w:lineRule="exact"/>
              <w:rPr>
                <w:sz w:val="20"/>
                <w:szCs w:val="20"/>
                <w:color w:val="auto"/>
              </w:rPr>
            </w:pPr>
            <w:r>
              <w:rPr>
                <w:rFonts w:ascii="Arial" w:cs="Arial" w:eastAsia="Arial" w:hAnsi="Arial"/>
                <w:sz w:val="14"/>
                <w:szCs w:val="14"/>
                <w:b w:val="1"/>
                <w:bCs w:val="1"/>
                <w:color w:val="auto"/>
              </w:rPr>
              <w:t>January 2,</w:t>
            </w: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5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4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Term loans (Level 2)</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458,822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6"/>
              <w:spacing w:after="0"/>
              <w:rPr>
                <w:sz w:val="20"/>
                <w:szCs w:val="20"/>
                <w:color w:val="auto"/>
              </w:rPr>
            </w:pPr>
            <w:r>
              <w:rPr>
                <w:rFonts w:ascii="Arial" w:cs="Arial" w:eastAsia="Arial" w:hAnsi="Arial"/>
                <w:sz w:val="18"/>
                <w:szCs w:val="18"/>
                <w:color w:val="auto"/>
              </w:rPr>
              <w:t>458,850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458,757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139"/>
        </w:trPr>
        <w:tc>
          <w:tcPr>
            <w:tcW w:w="498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carrying amounts as of both April 3, 2021 and January 2, 2021 are net of unamortized debt discounts of $1.2 million.</w:t>
      </w:r>
    </w:p>
    <w:p>
      <w:pPr>
        <w:spacing w:after="0" w:line="59"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estimated fair value of our term loans was determined based on the average quoted bid-ask prices for the term loans in an over-the-counter market on the last trading day of the periods presented.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We recognize revenue from the sale of products at the point of sale, net of any taxes or deposits collected and remitted to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IOs are not recognized as a reduction in sales as these are provided solely by the IO who bears the incremental costs arising from the discount. We do not accept manufacturer coupons.</w:t>
      </w:r>
    </w:p>
    <w:p>
      <w:pPr>
        <w:spacing w:after="0" w:line="8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April 3, 2021 and January 2, 2021.</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Gift Cards </w:t>
      </w:r>
      <w:r>
        <w:rPr>
          <w:rFonts w:ascii="Arial" w:cs="Arial" w:eastAsia="Arial" w:hAnsi="Arial"/>
          <w:sz w:val="18"/>
          <w:szCs w:val="18"/>
          <w:color w:val="auto"/>
        </w:rPr>
        <w:t>— We record a deferred revenue liability when a Grocery Outlet gift card is sold. Revenue related to gift cards is recognized as the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$2.4 million and $3.2 million as of April 3, 2021 and January 2, 2021, respectively. Breakage amounts were immaterial for the 13 weeks ended April 3, 2021 and March 28, 2020.</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Disaggregated Revenues </w:t>
      </w:r>
      <w:r>
        <w:rPr>
          <w:rFonts w:ascii="Arial" w:cs="Arial" w:eastAsia="Arial" w:hAnsi="Arial"/>
          <w:sz w:val="17"/>
          <w:szCs w:val="17"/>
          <w:color w:val="auto"/>
        </w:rPr>
        <w:t>— The following table presents sales revenue by type of product for the periods indicated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13 Weeks Ended</w:t>
            </w:r>
          </w:p>
        </w:tc>
      </w:tr>
      <w:tr>
        <w:trPr>
          <w:trHeight w:val="134"/>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20" w:type="dxa"/>
            <w:vAlign w:val="bottom"/>
          </w:tcPr>
          <w:p>
            <w:pPr>
              <w:jc w:val="right"/>
              <w:ind w:right="337"/>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 xml:space="preserve">Perishable </w:t>
            </w:r>
            <w:r>
              <w:rPr>
                <w:rFonts w:ascii="Arial" w:cs="Arial" w:eastAsia="Arial" w:hAnsi="Arial"/>
                <w:sz w:val="26"/>
                <w:szCs w:val="26"/>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253,448</w:t>
            </w:r>
          </w:p>
        </w:tc>
      </w:tr>
      <w:tr>
        <w:trPr>
          <w:trHeight w:val="229"/>
        </w:trPr>
        <w:tc>
          <w:tcPr>
            <w:tcW w:w="81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Non-perishable </w:t>
            </w:r>
            <w:r>
              <w:rPr>
                <w:rFonts w:ascii="Arial" w:cs="Arial" w:eastAsia="Arial" w:hAnsi="Arial"/>
                <w:sz w:val="26"/>
                <w:szCs w:val="26"/>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506,860</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760,308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Non-perishable departments include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 In accordance with the variable interest entities sub-section of ASC Topic 810,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we assess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period whether we, or any consolidated 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8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had 385, 375 and 350 stores operated by IOs as of April 3, 2021, January 2, 2021 and March 28, 2020, respectively. We have agreements in place with each IO. The IO orders merchandise exclusively from us which is provided to the IO on consignment. Under the Independent Operator Agreement (the "Operator Agreement"), the IO may select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IOs are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7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consignor of all merchandise to each IO, the aggregate net sales proceeds from merchandise sales belongs to us. Sales related to IO stores were $739.6 million and $745.5 million for the 13 weeks ended April 3, 2021 and March 28, 2020, respectively. We, in turn, pay IOs a commission based on a share of the gross profit of the store. Inventories and related sales proceeds are our property, and we are responsible for store rent and related occupancy costs. IO commissions were expensed and included in SG&amp;A. IO commissions were $112.7 million and $114.4 million for the 13 weeks ended April 3, 2021 and March 28, 2020, respectively. IO commissions of $6.9 million and $6.0 million were included in accrued expenses as of April 3, 2021 and January 2, 2021, respectively.</w:t>
      </w:r>
    </w:p>
    <w:p>
      <w:pPr>
        <w:spacing w:after="0" w:line="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IOs may fund their initial store investment from existing capital, a third-party loan or most commonly through a loan from us, as further discussed in Note 2. As collateral for IO obligations and performance, the Operator Agreements grant us the security interests in the assets owned by the IOs related to the respective store. Since the total investment at risk associated with each IO is not sufficient to permit each IO to finance its activities without additional subordinated financial support, the IOs are VIEs which we have variable interests in. To determine if we are the primary beneficiary of these VIEs,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its ability to direct those activities.</w:t>
      </w:r>
    </w:p>
    <w:p>
      <w:pPr>
        <w:spacing w:after="0" w:line="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their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Agreements illustrate the lack of ultimate control over the IO.</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maximum exposure to the IOs is generally limited to the gross operator notes and receivables due from these entities, which was $35.6 million and $41.0 million as of April 3, 2021 and January 2, 2021, respectively. See Note 2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right="20" w:firstLine="486"/>
        <w:spacing w:after="0" w:line="272" w:lineRule="auto"/>
        <w:rPr>
          <w:sz w:val="20"/>
          <w:szCs w:val="20"/>
          <w:color w:val="auto"/>
        </w:rPr>
      </w:pPr>
      <w:r>
        <w:rPr>
          <w:rFonts w:ascii="Arial" w:cs="Arial" w:eastAsia="Arial" w:hAnsi="Arial"/>
          <w:sz w:val="17"/>
          <w:szCs w:val="17"/>
          <w:b w:val="1"/>
          <w:bCs w:val="1"/>
          <w:i w:val="1"/>
          <w:iCs w:val="1"/>
          <w:color w:val="auto"/>
        </w:rPr>
        <w:t xml:space="preserve">ASU No. 2019-12 </w:t>
      </w:r>
      <w:r>
        <w:rPr>
          <w:rFonts w:ascii="Arial" w:cs="Arial" w:eastAsia="Arial" w:hAnsi="Arial"/>
          <w:sz w:val="17"/>
          <w:szCs w:val="17"/>
          <w:color w:val="auto"/>
        </w:rPr>
        <w:t>— In December 2019, the FASB issued ASU No.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2019-12”).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2019-12 simplifies accounting guidance for certain tax matters including franchise taxes, certain transactions that result in a step-up in tax basis of goodwill, and enacted changes in tax laws in interim periods. In addition, it eliminates a company’s need to evaluate certain exceptions relating to the incremental approach for intra-period tax allocation, accounting for basis differences when there are ownership changes in foreign investments, and interim period income tax accounting for year-to-date losses that exceed anticipated losses. ASU 2019-12 is effective for fiscal years beginning after December 15, 2020, including interim periods within those fiscal years. We adopted ASU 2019-12 beginning in the first quarter of fiscal 2021. The adoption of ASU 2019-12 did not have a material impact on our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 recently issued accounting pronouncements are expected to have a material effect on our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Independent Operator Notes and Receivables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amounts included in IO notes and accounts receivable consist primarily of funds we loaned to IOs, net of estimated uncollectible amounts. IO notes are payable on demand and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$0.3 million and $0.4 million as of April 3, 2021 and January 2, 2021, respectively. There were no IO notes that were past due or on a non-accrual status due to delinquency as of April 3, 2021 or January 2, 2021. Notes and receivables of our IOs participating in our TCAP, as defined below, are not considered to be past due or on a non-accrual status due to delinquency and are excluded from such measures.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IO notes and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9" w:lineRule="exact"/>
        <w:rPr>
          <w:sz w:val="20"/>
          <w:szCs w:val="20"/>
          <w:color w:val="auto"/>
        </w:rPr>
      </w:pPr>
    </w:p>
    <w:p>
      <w:pPr>
        <w:jc w:val="both"/>
        <w:ind w:left="980" w:hanging="324"/>
        <w:spacing w:after="0" w:line="259"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TCAP — Includes the notes and receivables of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74"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IOs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IOs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Amounts due from IOs and the related allowances as of April 3, 2021 and January 2, 2021 consisted of the following (amounts in thousands)</w:t>
      </w:r>
      <w:r>
        <w:rPr>
          <w:rFonts w:ascii="Arial" w:cs="Arial" w:eastAsia="Arial" w:hAnsi="Arial"/>
          <w:sz w:val="18"/>
          <w:szCs w:val="18"/>
          <w:color w:val="auto"/>
        </w:rPr>
        <w: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April 3, 2021</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22,274</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20,688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35,616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2, 2021</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37,238</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5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IO notes and receivable allowance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13 Weeks Ended</w:t>
            </w:r>
          </w:p>
        </w:tc>
      </w:tr>
      <w:tr>
        <w:trPr>
          <w:trHeight w:val="135"/>
        </w:trPr>
        <w:tc>
          <w:tcPr>
            <w:tcW w:w="8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Provision for independent operator notes and receivables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accounting change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 of provision for independent operator notes and receivables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amortized cost basis of IO notes by year of origination and credit quality indicator as of April 3, 2021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(YTD)</w:t>
            </w: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left="256"/>
              <w:spacing w:after="0"/>
              <w:rPr>
                <w:sz w:val="20"/>
                <w:szCs w:val="20"/>
                <w:color w:val="auto"/>
              </w:rPr>
            </w:pPr>
            <w:r>
              <w:rPr>
                <w:rFonts w:ascii="Arial" w:cs="Arial" w:eastAsia="Arial" w:hAnsi="Arial"/>
                <w:sz w:val="14"/>
                <w:szCs w:val="14"/>
                <w:b w:val="1"/>
                <w:bCs w:val="1"/>
                <w:color w:val="auto"/>
                <w:w w:val="97"/>
              </w:rPr>
              <w:t>Prior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Non-TCAP</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79"/>
              </w:rPr>
              <w:t>682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682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30,625</w:t>
            </w:r>
          </w:p>
        </w:tc>
        <w:tc>
          <w:tcPr>
            <w:tcW w:w="0" w:type="dxa"/>
            <w:vAlign w:val="bottom"/>
          </w:tcPr>
          <w:p>
            <w:pPr>
              <w:spacing w:after="0"/>
              <w:rPr>
                <w:sz w:val="1"/>
                <w:szCs w:val="1"/>
                <w:color w:val="auto"/>
              </w:rPr>
            </w:pPr>
          </w:p>
        </w:tc>
      </w:tr>
      <w:tr>
        <w:trPr>
          <w:trHeight w:val="2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Note 3. Long-term Debt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10"/>
          </w:tcPr>
          <w:p>
            <w:pPr>
              <w:ind w:left="500"/>
              <w:spacing w:after="0"/>
              <w:rPr>
                <w:sz w:val="20"/>
                <w:szCs w:val="20"/>
                <w:color w:val="auto"/>
              </w:rPr>
            </w:pPr>
            <w:r>
              <w:rPr>
                <w:rFonts w:ascii="Arial" w:cs="Arial" w:eastAsia="Arial" w:hAnsi="Arial"/>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First Lien Credit Agreement: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6"/>
              <w:spacing w:after="0"/>
              <w:rPr>
                <w:sz w:val="20"/>
                <w:szCs w:val="20"/>
                <w:color w:val="auto"/>
              </w:rPr>
            </w:pPr>
            <w:r>
              <w:rPr>
                <w:rFonts w:ascii="Arial" w:cs="Arial" w:eastAsia="Arial" w:hAnsi="Arial"/>
                <w:sz w:val="18"/>
                <w:szCs w:val="18"/>
                <w:color w:val="auto"/>
                <w:w w:val="89"/>
              </w:rPr>
              <w:t>460,000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gross</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89"/>
              </w:rPr>
              <w:t>460,000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w w:val="99"/>
              </w:rPr>
              <w:t>Less: Unamortized debt discounts and debt issuance costs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8"/>
                <w:szCs w:val="18"/>
                <w:color w:val="auto"/>
                <w:w w:val="92"/>
              </w:rPr>
              <w:t>(10,257)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89"/>
              </w:rPr>
              <w:t>449,743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October 22, 2018, GOBP Holdings, Inc ("GOBP Holdings"), our wholly owned subsidiary, together with another of our wholly owned subsidiaries, entered into a first lien credit agreement (the “First Lien Credit Agreement”) with a syndicate of lenders for a $725.0 million senior term loan and a revolving credit facility for an amount up to $100.0 million, with a sub-commitment for a $35.0 million letter of credit and a sub-commitment for $20.0 million of swingline loans. Borrowings under the First Lien Credit Agreement are secured by substantially all the assets of the borrower subsidiary and its guarantors. The term loan proceeds were primarily used for retiring our prior first lien credit agreement and paying cash dividends related to our 2018 recapitalization. As of April 3, 2021, we had standby letters of credit outstanding totaling $3.5 million under the First Lien Credit Agreement.</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First Lien Credit Agreement permits voluntary prepayment on borrowings without premium or penalty. In connection with the closing of our IPO, we prepaid $248.0 million of principal and $3.8 million of interest on the outstanding term loan under the First Lien Credit Agreement on June 24, 2019 and elected to apply the prepayment against the remaining principal installments in the direct order of maturity. No further principal payment on the term loan will be due until the maturity date of this term loan. The terms of the First Lien Credit Agreement include mandatory prepayment requirements on the term loan if certain conditions are met (as described in the First Lien Credit Agreement).</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First Incremental Agreement </w:t>
      </w:r>
      <w:r>
        <w:rPr>
          <w:rFonts w:ascii="Arial" w:cs="Arial" w:eastAsia="Arial" w:hAnsi="Arial"/>
          <w:sz w:val="17"/>
          <w:szCs w:val="17"/>
          <w:color w:val="auto"/>
        </w:rPr>
        <w:t>— On July 23, 2019, GOBP Holdings together with another of our wholly owned subsidiaries entered into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incremental agreement (the "First Incremental Agreement") to amend the First Lien Credit Agreement. The First Incremental Agreement refinanced the term loan outstanding under the First Lien Credit Agreement with a replacement $475.2 million senior secured term loan (the "First Replacement Term Loan") with an applicable margin of 3.50% or 3.25% for Eurodollar loans and 2.50% or 2.25% for base rate loans, in each case depending on the public corporate family rating of GOBP Holdings. The First Replacement Term Loan was to mature on October 22, 2025,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was the same maturity date as the prior term loan under the First Lien Credit Agreement. On October 23, 2019, we prepaid $15.0 million of principal on the First Replacement Term Loan.</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b w:val="1"/>
          <w:bCs w:val="1"/>
          <w:i w:val="1"/>
          <w:iCs w:val="1"/>
          <w:color w:val="auto"/>
        </w:rPr>
        <w:t xml:space="preserve">Second Incremental Agreement </w:t>
      </w:r>
      <w:r>
        <w:rPr>
          <w:rFonts w:ascii="Arial" w:cs="Arial" w:eastAsia="Arial" w:hAnsi="Arial"/>
          <w:sz w:val="18"/>
          <w:szCs w:val="18"/>
          <w:color w:val="auto"/>
        </w:rPr>
        <w:t>— On January 24, 2020, GOBP Holdings together with another of our wholly owned subsidiaries, entered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incremental agreement (the "Second Incremental Agreement") which amended the First Incremental Agreement. The Second Incremental Agreement refinanced the First Replacement Term loan under the First Incremental Agreement with a replacement $460.0 million senior secured term loan (the "Second Replacement Term Loan") with an applicable margin of 2.75% for Eurodollar loans and 1.75% for base rate loans, in each case depending on the public corporate family rating of GOBP Holdings, and made certain other corresponding technical changes and updates to the First Incremental Agreement. The interest rate on the Second Replacement Term Loan was 2.86% as of April 3, 2021. The Second Replacement Term Loan matures on October 22, 2025, which is the same maturity date as prior term loans under the First Lien Credit Agreement and First Incremental Agreement. We wrote off debt issuance costs of $0.1 million and incurred debt modification costs of $0.1 million during the first quarter of fiscal 2020 in connection with this refinance.</w:t>
      </w:r>
    </w:p>
    <w:p>
      <w:pPr>
        <w:spacing w:after="0" w:line="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 No amounts were outstanding under the revolving credit facility as of April 3, 2021 and January 2, 2021.</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19, 2020, we borrowed $90.0 million under the revolving credit facility of our First Lien Credit Agreement (the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April 3, 2021, we had $96.5 million of borrowing capacity available under the revolving credit facility.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 2021,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Principal maturities of debt as of April 3, 2021 are as follows (amounts in thousands):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net, consisted of the following (amounts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820" w:hanging="1207"/>
        <w:spacing w:after="0"/>
        <w:tabs>
          <w:tab w:leader="none" w:pos="2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8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28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28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460,000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ind w:left="2420" w:hanging="807"/>
        <w:spacing w:after="0"/>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40640</wp:posOffset>
            </wp:positionV>
            <wp:extent cx="9429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13 Weeks Ended</w:t>
            </w:r>
          </w:p>
        </w:tc>
      </w:tr>
      <w:tr>
        <w:trPr>
          <w:trHeight w:val="135"/>
        </w:trPr>
        <w:tc>
          <w:tcPr>
            <w:tcW w:w="1000" w:type="dxa"/>
            <w:vAlign w:val="bottom"/>
          </w:tcPr>
          <w:p>
            <w:pPr>
              <w:jc w:val="center"/>
              <w:ind w:left="408"/>
              <w:spacing w:after="0" w:line="135" w:lineRule="exact"/>
              <w:rPr>
                <w:sz w:val="20"/>
                <w:szCs w:val="20"/>
                <w:color w:val="auto"/>
              </w:rPr>
            </w:pPr>
            <w:r>
              <w:rPr>
                <w:rFonts w:ascii="Arial" w:cs="Arial" w:eastAsia="Arial" w:hAnsi="Arial"/>
                <w:sz w:val="14"/>
                <w:szCs w:val="14"/>
                <w:b w:val="1"/>
                <w:bCs w:val="1"/>
                <w:color w:val="auto"/>
              </w:rPr>
              <w:t>April 3,</w:t>
            </w:r>
          </w:p>
        </w:tc>
        <w:tc>
          <w:tcPr>
            <w:tcW w:w="2080" w:type="dxa"/>
            <w:vAlign w:val="bottom"/>
          </w:tcPr>
          <w:p>
            <w:pPr>
              <w:jc w:val="center"/>
              <w:ind w:left="528"/>
              <w:spacing w:after="0" w:line="135" w:lineRule="exact"/>
              <w:rPr>
                <w:sz w:val="20"/>
                <w:szCs w:val="20"/>
                <w:color w:val="auto"/>
              </w:rPr>
            </w:pPr>
            <w:r>
              <w:rPr>
                <w:rFonts w:ascii="Arial" w:cs="Arial" w:eastAsia="Arial" w:hAnsi="Arial"/>
                <w:sz w:val="14"/>
                <w:szCs w:val="14"/>
                <w:b w:val="1"/>
                <w:bCs w:val="1"/>
                <w:color w:val="auto"/>
                <w:w w:val="99"/>
              </w:rPr>
              <w:t>March 28,</w:t>
            </w:r>
          </w:p>
        </w:tc>
      </w:tr>
      <w:tr>
        <w:trPr>
          <w:trHeight w:val="186"/>
        </w:trPr>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20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p>
      <w:pPr>
        <w:sectPr>
          <w:pgSz w:w="11900" w:h="16838" w:orient="portrait"/>
          <w:cols w:equalWidth="0" w:num="2">
            <w:col w:w="7440" w:space="720"/>
            <w:col w:w="308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26"/>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3,564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1"/>
        </w:trPr>
        <w:tc>
          <w:tcPr>
            <w:tcW w:w="81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00"/>
              <w:spacing w:after="0"/>
              <w:rPr>
                <w:sz w:val="20"/>
                <w:szCs w:val="20"/>
                <w:color w:val="auto"/>
              </w:rPr>
            </w:pPr>
            <w:r>
              <w:rPr>
                <w:rFonts w:ascii="Arial" w:cs="Arial" w:eastAsia="Arial" w:hAnsi="Arial"/>
                <w:sz w:val="18"/>
                <w:szCs w:val="18"/>
                <w:color w:val="auto"/>
              </w:rPr>
              <w:t>Debt extinguishment and modification costs consisted of the following (amounts in thousands):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w w:val="92"/>
              </w:rPr>
              <w:t>13 Weeks Ended</w:t>
            </w:r>
          </w:p>
        </w:tc>
        <w:tc>
          <w:tcPr>
            <w:tcW w:w="0" w:type="dxa"/>
            <w:vAlign w:val="bottom"/>
          </w:tcPr>
          <w:p>
            <w:pPr>
              <w:spacing w:after="0"/>
              <w:rPr>
                <w:sz w:val="1"/>
                <w:szCs w:val="1"/>
                <w:color w:val="auto"/>
              </w:rPr>
            </w:pPr>
          </w:p>
        </w:tc>
      </w:tr>
      <w:tr>
        <w:trPr>
          <w:trHeight w:val="135"/>
        </w:trPr>
        <w:tc>
          <w:tcPr>
            <w:tcW w:w="8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debt issuance costs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Debt modification costs</w:t>
            </w:r>
          </w:p>
        </w:tc>
        <w:tc>
          <w:tcPr>
            <w:tcW w:w="10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8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Awards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discussion of our share-based incentive plans, refer to NOTE 7 —Share-based Awards of our Annual Report on Form 10-K for the fiscal year ended January 2, 2021 filed with the SEC on March 2,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under all equity incentive plans during the 13 weeks ended April 3,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80" w:type="dxa"/>
            <w:vAlign w:val="bottom"/>
            <w:gridSpan w:val="5"/>
          </w:tcPr>
          <w:p>
            <w:pPr>
              <w:ind w:left="720"/>
              <w:spacing w:after="0"/>
              <w:rPr>
                <w:sz w:val="20"/>
                <w:szCs w:val="20"/>
                <w:color w:val="auto"/>
              </w:rPr>
            </w:pPr>
            <w:r>
              <w:rPr>
                <w:rFonts w:ascii="Arial" w:cs="Arial" w:eastAsia="Arial" w:hAnsi="Arial"/>
                <w:sz w:val="14"/>
                <w:szCs w:val="14"/>
                <w:b w:val="1"/>
                <w:bCs w:val="1"/>
                <w:color w:val="auto"/>
              </w:rPr>
              <w:t>Time-Based Stock Options</w:t>
            </w:r>
          </w:p>
        </w:tc>
        <w:tc>
          <w:tcPr>
            <w:tcW w:w="30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15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2, 2021</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3,864,772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12.42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2,325,580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(207,946)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(321,009)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Options outstanding as of April 3, 2021</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3,645,288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2,004,571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April 3, 2021</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2,144,243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2,004,571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980" w:type="dxa"/>
            <w:vAlign w:val="bottom"/>
          </w:tcPr>
          <w:p>
            <w:pPr>
              <w:spacing w:after="0"/>
              <w:rPr>
                <w:sz w:val="24"/>
                <w:szCs w:val="24"/>
                <w:color w:val="auto"/>
              </w:rPr>
            </w:pPr>
          </w:p>
        </w:tc>
        <w:tc>
          <w:tcPr>
            <w:tcW w:w="1500" w:type="dxa"/>
            <w:vAlign w:val="bottom"/>
          </w:tcPr>
          <w:p>
            <w:pPr>
              <w:jc w:val="right"/>
              <w:ind w:right="67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restricted stock unit ("RSU") activity under all equity incentive plans during the 13 weeks ended April 3,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319,638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April 3,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performance-based restricted stock unit ("PSU") activity under the 2019 Plan during the 13 weeks ended April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319,606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Unvested balance as of April 3, 2021 </w:t>
            </w:r>
            <w:r>
              <w:rPr>
                <w:rFonts w:ascii="Arial" w:cs="Arial" w:eastAsia="Arial" w:hAnsi="Arial"/>
                <w:sz w:val="23"/>
                <w:szCs w:val="23"/>
                <w:color w:val="auto"/>
                <w:vertAlign w:val="superscript"/>
              </w:rPr>
              <w:t>(2)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initial grant of PSUs based on performance target level achievement of 100%.</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additional 454,961 PSUs could potentially be included if the maximum performance level is reached.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consisted of the following (amounts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w w:val="92"/>
              </w:rPr>
              <w:t>13 Weeks Ended</w:t>
            </w:r>
          </w:p>
        </w:tc>
      </w:tr>
      <w:tr>
        <w:trPr>
          <w:trHeight w:val="134"/>
        </w:trPr>
        <w:tc>
          <w:tcPr>
            <w:tcW w:w="8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335"/>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stock options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Performance-based stock options</w:t>
            </w:r>
          </w:p>
        </w:tc>
        <w:tc>
          <w:tcPr>
            <w:tcW w:w="10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18,498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PSUs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1,716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w:t>
            </w:r>
          </w:p>
        </w:tc>
      </w:tr>
      <w:tr>
        <w:trPr>
          <w:trHeight w:val="21"/>
        </w:trPr>
        <w:tc>
          <w:tcPr>
            <w:tcW w:w="8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cash dividends paid on vested share-based awards as a result of dividends declared in connection with recapitalizations that occurred in fiscal 2018 and 2016.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income tax expense (benefit) and effective income tax rate were as follows (amounts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140" w:type="dxa"/>
            <w:vAlign w:val="bottom"/>
            <w:tcBorders>
              <w:bottom w:val="single" w:sz="8" w:color="auto"/>
            </w:tcBorders>
          </w:tcPr>
          <w:p>
            <w:pPr>
              <w:spacing w:after="0"/>
              <w:rPr>
                <w:sz w:val="16"/>
                <w:szCs w:val="16"/>
                <w:color w:val="auto"/>
              </w:rPr>
            </w:pPr>
          </w:p>
        </w:tc>
      </w:tr>
      <w:tr>
        <w:trPr>
          <w:trHeight w:val="135"/>
        </w:trPr>
        <w:tc>
          <w:tcPr>
            <w:tcW w:w="7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1"/>
                <w:szCs w:val="11"/>
                <w:color w:val="auto"/>
              </w:rPr>
            </w:pPr>
          </w:p>
        </w:tc>
        <w:tc>
          <w:tcPr>
            <w:tcW w:w="1140" w:type="dxa"/>
            <w:vAlign w:val="bottom"/>
          </w:tcPr>
          <w:p>
            <w:pPr>
              <w:jc w:val="right"/>
              <w:ind w:right="399"/>
              <w:spacing w:after="0" w:line="135" w:lineRule="exact"/>
              <w:rPr>
                <w:sz w:val="20"/>
                <w:szCs w:val="20"/>
                <w:color w:val="auto"/>
              </w:rPr>
            </w:pPr>
            <w:r>
              <w:rPr>
                <w:rFonts w:ascii="Arial" w:cs="Arial" w:eastAsia="Arial" w:hAnsi="Arial"/>
                <w:sz w:val="14"/>
                <w:szCs w:val="14"/>
                <w:b w:val="1"/>
                <w:bCs w:val="1"/>
                <w:color w:val="auto"/>
                <w:w w:val="99"/>
              </w:rPr>
              <w:t>March 28,</w:t>
            </w:r>
          </w:p>
        </w:tc>
      </w:tr>
      <w:tr>
        <w:trPr>
          <w:trHeight w:val="188"/>
        </w:trPr>
        <w:tc>
          <w:tcPr>
            <w:tcW w:w="7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(1,801)</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r>
    </w:tbl>
    <w:p>
      <w:pPr>
        <w:spacing w:after="0" w:line="20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change from a net income tax benefit of $1.8 million for the 13 weeks ended March 28, 2020 to a net income tax expense of $1.0 million for the 13 weeks ended April 3, 2021 was primarily driven by higher pretax income during the 13 weeks ended April 3, 2021 as well as a reduction in excess tax benefits, related to the exercise of stock options and vesting of RSUs as compared to the same period in fiscal 2020.</w:t>
      </w:r>
    </w:p>
    <w:p>
      <w:pPr>
        <w:spacing w:after="0" w:line="5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tax provision for interim periods is determined using an estimated annual effective tax rate, adjusted for discrete events arising in each respective quarter. During each interim period, the Company updates the estimated annual effective tax rate. Our effective income tax rate for the 13 weeks ended April 3, 2021 was lower than the U.S. statutory income tax rate of 21% primarily due to excess tax benefits related to the exercise of stock options and vesting of RSUs. The increase in our effective income tax rate for the 13 weeks ended April 3, 2021 compared to the corresponding period in fiscal 2020 was primarily due to the above mentioned higher pretax income and the reduction in discrete items related to the exercise of stock options and vesting of employee RSUs.</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policy is to recognize interest and penalties associated with uncertain tax benefits as part of the income tax provision and include accrued interest and penalties with the related income tax liability on our condensed consolidated balance sheets. To date, we have not recognized any interest and penalties in our condensed consolidated statements of operations and comprehensive income, nor have we accrued for or made payments for interest and penalties. We had no unrecognized tax benefits as of April 3, 2021 and January 2, 2021, respectively, and do not anticipate any changes to our uncertain tax positions within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leased property from entities affiliated with certain of our non-controlling stockholders for 15 store locations and one warehouse location as of both April 3, 2021 and March 28, 2020. Affiliated entities received aggregate lease payments from us of $1.5 million for each of the 13 weeks ended April 3, 2021 and March 28, 2020, respectively. We had total prepaid rent for these properties of $0.5 million as of April 3, 2021 and zero as of January 2,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Receivables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offer interest-bearing notes to IOs and the gross operating notes and receivables due from these IOs was $35.6 million and $41.0 million as of April 3, 2021 and January 2, 2021, respectively. See Note 2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involved from time to time in claims, proceedings and litigation arising in the normal course of business. We do not believe the impact of such litigation will have a material adverse effect on our condensed consolidated financial statements taken as a whole.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per share (amounts in thousands, except per share data):</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13 Weeks Ended</w:t>
            </w:r>
          </w:p>
        </w:tc>
      </w:tr>
      <w:tr>
        <w:trPr>
          <w:trHeight w:val="135"/>
        </w:trPr>
        <w:tc>
          <w:tcPr>
            <w:tcW w:w="8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20" w:type="dxa"/>
            <w:vAlign w:val="bottom"/>
          </w:tcPr>
          <w:p>
            <w:pPr>
              <w:jc w:val="right"/>
              <w:ind w:right="334"/>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1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12,642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95,195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89,481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RSUs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08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Weighted-average shares outstanding — diluted </w:t>
            </w:r>
            <w:r>
              <w:rPr>
                <w:rFonts w:ascii="Arial" w:cs="Arial" w:eastAsia="Arial" w:hAnsi="Arial"/>
                <w:sz w:val="25"/>
                <w:szCs w:val="25"/>
                <w:color w:val="auto"/>
                <w:vertAlign w:val="superscript"/>
              </w:rPr>
              <w:t>(1) (2)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Earnings per share :</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jc w:val="both"/>
        <w:ind w:left="500" w:hanging="492"/>
        <w:spacing w:after="0" w:line="261"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April 27, 2020 in conjunction with a secondary offering, certain performance criteria were achieved resulting in the vesting of 1.7 million unvested performance-based stock options, and accordingly, these vested performance-based stock options were included in the diluted weighted-average shares outstanding beginning in the second quarter of fiscal 2020.</w:t>
      </w:r>
    </w:p>
    <w:p>
      <w:pPr>
        <w:spacing w:after="0" w:line="20"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the 13 weeks ended April 3, 2021.</w:t>
      </w:r>
    </w:p>
    <w:p>
      <w:pPr>
        <w:spacing w:after="0" w:line="178"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weighted-average common stock equivalents were excluded from the calculation of diluted earnings per share because their effect would have been anti-dilutive (amounts in thousands):</w:t>
      </w:r>
    </w:p>
    <w:p>
      <w:pPr>
        <w:ind w:left="9200"/>
        <w:spacing w:after="0"/>
        <w:rPr>
          <w:sz w:val="20"/>
          <w:szCs w:val="20"/>
          <w:color w:val="auto"/>
        </w:rPr>
      </w:pPr>
      <w:r>
        <w:rPr>
          <w:rFonts w:ascii="Arial" w:cs="Arial" w:eastAsia="Arial" w:hAnsi="Arial"/>
          <w:sz w:val="14"/>
          <w:szCs w:val="14"/>
          <w:b w:val="1"/>
          <w:bCs w:val="1"/>
          <w:color w:val="auto"/>
        </w:rPr>
        <w:t>13 Weeks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160" w:type="dxa"/>
            <w:vAlign w:val="bottom"/>
          </w:tcPr>
          <w:p>
            <w:pPr>
              <w:spacing w:after="0"/>
              <w:rPr>
                <w:sz w:val="12"/>
                <w:szCs w:val="12"/>
                <w:color w:val="auto"/>
              </w:rPr>
            </w:pPr>
          </w:p>
        </w:tc>
        <w:tc>
          <w:tcPr>
            <w:tcW w:w="1180" w:type="dxa"/>
            <w:vAlign w:val="bottom"/>
            <w:tcBorders>
              <w:top w:val="single" w:sz="8" w:color="auto"/>
            </w:tcBorders>
          </w:tcPr>
          <w:p>
            <w:pPr>
              <w:jc w:val="center"/>
              <w:ind w:left="228"/>
              <w:spacing w:after="0" w:line="141" w:lineRule="exact"/>
              <w:rPr>
                <w:sz w:val="20"/>
                <w:szCs w:val="20"/>
                <w:color w:val="auto"/>
              </w:rPr>
            </w:pPr>
            <w:r>
              <w:rPr>
                <w:rFonts w:ascii="Arial" w:cs="Arial" w:eastAsia="Arial" w:hAnsi="Arial"/>
                <w:sz w:val="14"/>
                <w:szCs w:val="14"/>
                <w:b w:val="1"/>
                <w:bCs w:val="1"/>
                <w:color w:val="auto"/>
              </w:rPr>
              <w:t>April 3,</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March 28,</w:t>
            </w:r>
          </w:p>
        </w:tc>
      </w:tr>
      <w:tr>
        <w:trPr>
          <w:trHeight w:val="188"/>
        </w:trPr>
        <w:tc>
          <w:tcPr>
            <w:tcW w:w="93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Arial" w:cs="Arial" w:eastAsia="Arial" w:hAnsi="Arial"/>
          <w:sz w:val="18"/>
          <w:szCs w:val="18"/>
          <w:i w:val="1"/>
          <w:iCs w:val="1"/>
          <w:color w:val="231F20"/>
        </w:rPr>
        <w:t>in this report,</w:t>
      </w:r>
      <w:r>
        <w:rPr>
          <w:rFonts w:ascii="Arial" w:cs="Arial" w:eastAsia="Arial" w:hAnsi="Arial"/>
          <w:sz w:val="18"/>
          <w:szCs w:val="18"/>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January 2, 2021 filed with the </w:t>
      </w:r>
      <w:r>
        <w:rPr>
          <w:rFonts w:ascii="Arial" w:cs="Arial" w:eastAsia="Arial" w:hAnsi="Arial"/>
          <w:sz w:val="18"/>
          <w:szCs w:val="18"/>
          <w:i w:val="1"/>
          <w:iCs w:val="1"/>
          <w:color w:val="231F20"/>
        </w:rPr>
        <w:t>U.S. Securities and Exchange Commission (the "SEC")</w:t>
      </w:r>
      <w:r>
        <w:rPr>
          <w:rFonts w:ascii="Arial" w:cs="Arial" w:eastAsia="Arial" w:hAnsi="Arial"/>
          <w:sz w:val="18"/>
          <w:szCs w:val="18"/>
          <w:i w:val="1"/>
          <w:iCs w:val="1"/>
          <w:color w:val="auto"/>
        </w:rPr>
        <w:t xml:space="preserve"> on March 2, 2021 ("2020 Annual Report on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the first quarter of fiscal 2021 and the first quarter of fiscal 2020 refer to the 13 weeks ended April 3, 2021 and March 28, 2020,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231F20"/>
        </w:rPr>
        <w:t>As used in this report, references to "Grocery Outlet,""the Company,""the registrant,""we,""us" and "our," refer to Grocery Outlet Holding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and its consolidated subsidiaries unless otherwise indicated or the context requires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April 3, 2021, we had 389 stores in California, Washington, Oregon, Pennsylvania, Idaho and Nevada.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Public Offerings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February 3, 2020, certain of our selling stockholders completed a secondary public offering of shares of our common stock. We did not receive any of the proceeds from the sale of these shares by the selling stockholders. We incurred related offering costs of $1.1 million which we recognized in selling, general and administrative expenses during the first quarter of fiscal 2020. We received $1.4 million in cash (excluding withholding taxes) in connection with the exercise of 191,470 options by certain stockholders participating in this secondary public offering.</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second quarter of fiscal 2020. We received $1.6 million in cash (excluding withholding taxes) in connection with the exercise of 269,000 options by certain stockholders participating in this secondary public offering.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March 11, 2020, the World Health Organization declared the novel strain of coronavirus, COVID-19, a global pandemic and recommended containment and mitigation measures worldwide. As a result, many states, including states where we have significant operations, declared a state of emergency, closed schools and non-essential businesses and enacted limitations on the number of people allowed to gather at one time in the same space. As of the date of this filing, grocery stores are considered essential businesses in states and counties that have enacted requirements that residents leave their homes only for essential business ("shelter in place requirements") and are able to continue operating. As COVID-19 continued to spread and the situation has continued to evolve, there was a surge of positive COVID-19 cases around the country, particularly in California, during the first quarter of fiscal 2021, especially in January due to family gatherings during the holiday period.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Our IOs have faced and will continue to face staffing challenges including overtime pay, increased payroll attributable to employees who are compensated for their time to receive vaccines, and staffing shortages for a variety of reasons that are attributable to the COVID-19 pandemic, including school and childcare closures. In early 2021, counties in California and Washington have enacted or are considering enacting ordinances mandating "hazard pay" for grocery workers. While most of those ordinances have applied to large companies with more than 300 employees and have not applied to smaller businesses operated by a single employer, these ordinances do create staffing issues as many competitors are subject to those ordinances. In addition, federal and state governments have recently enacted legislation, such as the American Rescue Plan Act of 2021 and California's Senate Bill No. 95 to provide additional company paid benefits for employees and former employees impacted by the COVID-19 pandemic. Also, in the event that a Company employee, an IO, or IO employee tests positive for COVID-19, we may have to temporarily close a store, office or distribution center for cleaning and/or quarantine one or more employees which could negatively impact our financial results. We have incurred, and expect to continue to incur, cleaning and safety costs, costs for protective equipment and supplies, and higher personnel expenses. In addition, since the start of the pandemic certain inventory items have at times been, and may in the future again be, in short supply. All of these factors could impact the ability of stores to operate normal hours of operation or have sufficient inventory at all times which may disrupt our business and negatively impact our financial results. Further, planned construction and opening of new stores have been and may continue to be negatively impacted due to increased time periods to get permits and set up utilities. Finally, we have incurred, and expect to continue to incur, additional expenses as a result of certain increased costs related to our IOs. For example, we are paying a portion of the costs of protective equipment and cleaning supplies for our IOs as well as reducing interest rates on outstanding IO notes. We cannot reasonably estimate the length or severity of this pandemic, but it could have a material adverse impact on our consolidated financial position, consolidated results of operations, and consolidated cash flows in fiscal 2021. See "Item 1A. Risk Factors—Major health epidemics, such as the outbreak caused by COVID-19, and other outbreaks could disrupt and adversely affect our operations, financial condition and business" in our 2020 Annual Report on Form 10-K for additional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GAAP measures we use are net sales, gross profit and gross margin, selling, general and administrative expenses (“SG&amp;A”) and operating income. The key operational metrics and non-GAAP measures we use are number of new stores, comparable store sales, EBITDA, adjusted EBITDA and non-GAAP adjusted net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Fiscal 2021 Overview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results for the first quarter of fiscal 2021 were as follows:</w:t>
      </w:r>
    </w:p>
    <w:p>
      <w:pPr>
        <w:spacing w:after="0" w:line="117" w:lineRule="exact"/>
        <w:rPr>
          <w:sz w:val="20"/>
          <w:szCs w:val="20"/>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decreased by 1.0% to $752.5 million from $760.3 million in the first quarter of fiscal 2020; comparable store sales decreased by 8.2% compared to a 17.4% increase in the same period last year.</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opened 10 new stores and closed one, ending the first quarter of fiscal 2021 with 389 stores in six states.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increased 49.4% to $18.9 million, or $0.19 per diluted share, compared to net income of $12.6 million, or $0.13 per diluted share, in the first quarter of fiscal 2020.</w:t>
      </w:r>
    </w:p>
    <w:p>
      <w:pPr>
        <w:spacing w:after="0" w:line="3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8"/>
          <w:szCs w:val="28"/>
          <w:color w:val="auto"/>
          <w:vertAlign w:val="superscript"/>
        </w:rPr>
        <w:t>(1)</w:t>
      </w:r>
      <w:r>
        <w:rPr>
          <w:rFonts w:ascii="Arial" w:cs="Arial" w:eastAsia="Arial" w:hAnsi="Arial"/>
          <w:sz w:val="18"/>
          <w:szCs w:val="18"/>
          <w:color w:val="auto"/>
        </w:rPr>
        <w:t xml:space="preserve"> decreased 13.7% to $48.8 million compared to $56.6 million in the first quarter of fiscal 2020.</w:t>
      </w:r>
    </w:p>
    <w:p>
      <w:pPr>
        <w:spacing w:after="0" w:line="44" w:lineRule="exact"/>
        <w:rPr>
          <w:rFonts w:ascii="Arial" w:cs="Arial" w:eastAsia="Arial" w:hAnsi="Arial"/>
          <w:sz w:val="18"/>
          <w:szCs w:val="18"/>
          <w:color w:val="auto"/>
        </w:rPr>
      </w:pPr>
    </w:p>
    <w:p>
      <w:pPr>
        <w:ind w:left="820" w:hanging="326"/>
        <w:spacing w:after="0" w:line="226"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Non-GAAP adjusted net income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decreased 19.6% to $23.1 million, or $0.23 per non-GAAP diluted share, compared to $28.8 million, or $0.30</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per non-GAAP diluted share, in the first quarter of fiscal 2020.</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1"/>
          <w:szCs w:val="11"/>
          <w:color w:val="auto"/>
        </w:rPr>
        <w:t>_______________________</w:t>
      </w:r>
    </w:p>
    <w:p>
      <w:pPr>
        <w:spacing w:after="0" w:line="103" w:lineRule="exact"/>
        <w:rPr>
          <w:sz w:val="20"/>
          <w:szCs w:val="20"/>
          <w:color w:val="auto"/>
        </w:rPr>
      </w:pPr>
    </w:p>
    <w:p>
      <w:pPr>
        <w:jc w:val="both"/>
        <w:ind w:left="660" w:hanging="328"/>
        <w:spacing w:after="0" w:line="25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non-GAAP adjusted net income and non-GAAP adjusted diluted earnings per share are non-GAAP financial measures and should be considered as a supplement to, and not as a substitute for, or superior to, financial measures calculated in accordance with GAAP. Beginning with the fourth quarter of fiscal 2020, we updated our definitions of adjusted EBITDA and non-GAAP adjusted net income to simplify our presentation and enhance comparability between periods. The presentations for adjusted EBITDA, non-GAAP adjusted net income and non-GAAP adjusted diluted earnings per share for the first quarter of fiscal 2020 have been recast to reflect these changes. See GAAP to non-GAAP reconciliations in the "Operating Metrics and Non-GAAP Financial Measures" section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recognize revenues from the sale of products at the point of sale, net of any taxes or deposits collected and remitted to governmental authorities. Discounts provided to customers by us are recognized at the time of sale as a reduction in sales as the products are sold. Discounts that are funded solely by IOs are not recognized as a reduction in sales as the IO bears the incidental costs arising from the discount. We do not accept manufacturer coupons. Sales consist of sales from comparable stores and non-comparable stores, described below under “Comparable Store Sales.” Growth of our sales is generally driven by expansion of our store base in existing and new markets as well as comparable store sales growth. Sales are impacted by the spending habits of our customers, product mix and availability, as well as promotional and competitive activities. Our ever-changing selection of offerings across diverse product categories supports growth in sales by attracting new customers and encouraging repeat visits from our existing customers. The spending habits of our customers are subject to changes in macroeconomic conditions, such as those experienced beginning in March 2020 due to the COVID-19 pandemic, and changes in discretionary income.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we have benefited from periods of economic uncertainty.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Cost of sales includes, among other things, merchandise costs, inventory markdowns, inventory losses and transportation, distribution and warehousing costs, including depreciation. Gross profit is equal to our sales less our cost of sales. Gross margin is gross profit as a percentage of our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sales. While our disciplined buying approach has produced consistent gross margins throughout economic cycles which we believe has helped to mitigate adverse impacts on gross profit and results of operations, rapid changes in consumer demand like we experienced at the beginning of the COVID-19 pandemic could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SG&amp;A expenses are comprised of both store-related expenses and corporate expenses. Store-related expenses include commissions paid to IOs, occupancy and shared maintenance costs, Company-operated store expenses, including payroll, benefits, supplies and utilities and the cost of opening new IO stores. In addition, beginning in fiscal 2020, SG&amp;A included incremental costs associated with COVID-19, such as cleaning and safety costs, costs for protective equipment and supplies. Corporate expenses include payroll and benefits for corporate and field support, marketing and advertising, insurance and professional services and operator recruiting and training costs. SG&amp;A generally increases as we grow our store base and invest in our corporate infrastructure. SG&amp;A expenses related to commissions paid to IOs are variable in nature and generally increase as gross profits rise and decrease as gross profits decline. The remainder of our expenses are primarily fixed in nature. We continue to closely manage our expenses and monitor SG&amp;A as a percentage of sales. The components of our SG&amp;A may not be comparable to the components of similar measures of other retailers. We expect that our SG&amp;A will continue to increase in future periods as we continue to grow our sales 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debt extinguishment and modification costs and income tax expense. We use operating income as an indicator of the productivity of our business and our ability to manage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sales (amounts in thousands, except for percentages):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952"/>
              <w:spacing w:after="0"/>
              <w:rPr>
                <w:sz w:val="20"/>
                <w:szCs w:val="20"/>
                <w:color w:val="auto"/>
              </w:rPr>
            </w:pPr>
            <w:r>
              <w:rPr>
                <w:rFonts w:ascii="Arial" w:cs="Arial" w:eastAsia="Arial" w:hAnsi="Arial"/>
                <w:sz w:val="14"/>
                <w:szCs w:val="14"/>
                <w:b w:val="1"/>
                <w:bCs w:val="1"/>
                <w:color w:val="auto"/>
              </w:rPr>
              <w:t>13 Weeks Ended</w:t>
            </w:r>
          </w:p>
        </w:tc>
      </w:tr>
      <w:tr>
        <w:trPr>
          <w:trHeight w:val="134"/>
        </w:trPr>
        <w:tc>
          <w:tcPr>
            <w:tcW w:w="7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4"/>
          </w:tcPr>
          <w:p>
            <w:pPr>
              <w:ind w:left="280"/>
              <w:spacing w:after="0" w:line="135" w:lineRule="exact"/>
              <w:rPr>
                <w:sz w:val="20"/>
                <w:szCs w:val="20"/>
                <w:color w:val="auto"/>
              </w:rPr>
            </w:pPr>
            <w:r>
              <w:rPr>
                <w:rFonts w:ascii="Arial" w:cs="Arial" w:eastAsia="Arial" w:hAnsi="Arial"/>
                <w:sz w:val="14"/>
                <w:szCs w:val="14"/>
                <w:b w:val="1"/>
                <w:bCs w:val="1"/>
                <w:color w:val="auto"/>
              </w:rPr>
              <w:t>April 3,</w:t>
            </w:r>
          </w:p>
        </w:tc>
        <w:tc>
          <w:tcPr>
            <w:tcW w:w="340" w:type="dxa"/>
            <w:vAlign w:val="bottom"/>
          </w:tcPr>
          <w:p>
            <w:pPr>
              <w:spacing w:after="0"/>
              <w:rPr>
                <w:sz w:val="11"/>
                <w:szCs w:val="11"/>
                <w:color w:val="auto"/>
              </w:rPr>
            </w:pPr>
          </w:p>
        </w:tc>
        <w:tc>
          <w:tcPr>
            <w:tcW w:w="1140" w:type="dxa"/>
            <w:vAlign w:val="bottom"/>
          </w:tcPr>
          <w:p>
            <w:pPr>
              <w:jc w:val="right"/>
              <w:ind w:right="332"/>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79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752,466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760,308</w:t>
            </w:r>
          </w:p>
        </w:tc>
      </w:tr>
      <w:tr>
        <w:trPr>
          <w:trHeight w:val="229"/>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520,539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523,282</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231,927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237,026</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186,931</w:t>
            </w:r>
          </w:p>
        </w:tc>
      </w:tr>
      <w:tr>
        <w:trPr>
          <w:trHeight w:val="23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15,543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12,945</w:t>
            </w:r>
          </w:p>
        </w:tc>
      </w:tr>
      <w:tr>
        <w:trPr>
          <w:trHeight w:val="229"/>
        </w:trPr>
        <w:tc>
          <w:tcPr>
            <w:tcW w:w="8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w:t>
            </w:r>
          </w:p>
        </w:tc>
      </w:tr>
      <w:tr>
        <w:trPr>
          <w:trHeight w:val="223"/>
        </w:trPr>
        <w:tc>
          <w:tcPr>
            <w:tcW w:w="816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208,080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220,153</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16,873</w:t>
            </w:r>
          </w:p>
        </w:tc>
      </w:tr>
      <w:tr>
        <w:trPr>
          <w:trHeight w:val="21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29"/>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Debt extinguishment and modification costs</w:t>
            </w:r>
          </w:p>
        </w:tc>
        <w:tc>
          <w:tcPr>
            <w:tcW w:w="2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816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other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19,941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10,841</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18,892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r>
      <w:tr>
        <w:trPr>
          <w:trHeight w:val="21"/>
        </w:trPr>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3"/>
        </w:trPr>
        <w:tc>
          <w:tcPr>
            <w:tcW w:w="7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13 Weeks Ended</w:t>
            </w:r>
          </w:p>
        </w:tc>
        <w:tc>
          <w:tcPr>
            <w:tcW w:w="1140" w:type="dxa"/>
            <w:vAlign w:val="bottom"/>
            <w:tcBorders>
              <w:bottom w:val="single" w:sz="8" w:color="auto"/>
            </w:tcBorders>
          </w:tcPr>
          <w:p>
            <w:pPr>
              <w:spacing w:after="0"/>
              <w:rPr>
                <w:sz w:val="24"/>
                <w:szCs w:val="24"/>
                <w:color w:val="auto"/>
              </w:rPr>
            </w:pPr>
          </w:p>
        </w:tc>
      </w:tr>
      <w:tr>
        <w:trPr>
          <w:trHeight w:val="135"/>
        </w:trPr>
        <w:tc>
          <w:tcPr>
            <w:tcW w:w="7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April 3,</w:t>
            </w:r>
          </w:p>
        </w:tc>
        <w:tc>
          <w:tcPr>
            <w:tcW w:w="340" w:type="dxa"/>
            <w:vAlign w:val="bottom"/>
          </w:tcPr>
          <w:p>
            <w:pPr>
              <w:spacing w:after="0"/>
              <w:rPr>
                <w:sz w:val="11"/>
                <w:szCs w:val="11"/>
                <w:color w:val="auto"/>
              </w:rPr>
            </w:pPr>
          </w:p>
        </w:tc>
        <w:tc>
          <w:tcPr>
            <w:tcW w:w="1140" w:type="dxa"/>
            <w:vAlign w:val="bottom"/>
          </w:tcPr>
          <w:p>
            <w:pPr>
              <w:jc w:val="right"/>
              <w:ind w:right="392"/>
              <w:spacing w:after="0" w:line="135" w:lineRule="exact"/>
              <w:rPr>
                <w:sz w:val="20"/>
                <w:szCs w:val="20"/>
                <w:color w:val="auto"/>
              </w:rPr>
            </w:pPr>
            <w:r>
              <w:rPr>
                <w:rFonts w:ascii="Arial" w:cs="Arial" w:eastAsia="Arial" w:hAnsi="Arial"/>
                <w:sz w:val="14"/>
                <w:szCs w:val="14"/>
                <w:b w:val="1"/>
                <w:bCs w:val="1"/>
                <w:color w:val="auto"/>
                <w:w w:val="99"/>
              </w:rPr>
              <w:t>March 28,</w:t>
            </w:r>
          </w:p>
        </w:tc>
      </w:tr>
      <w:tr>
        <w:trPr>
          <w:trHeight w:val="188"/>
        </w:trPr>
        <w:tc>
          <w:tcPr>
            <w:tcW w:w="7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1"/>
        </w:trPr>
        <w:tc>
          <w:tcPr>
            <w:tcW w:w="792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b w:val="1"/>
                <w:bCs w:val="1"/>
                <w:color w:val="auto"/>
              </w:rPr>
              <w:t xml:space="preserve">Percentage of sales </w:t>
            </w:r>
            <w:r>
              <w:rPr>
                <w:rFonts w:ascii="Arial" w:cs="Arial" w:eastAsia="Arial" w:hAnsi="Arial"/>
                <w:sz w:val="24"/>
                <w:szCs w:val="24"/>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31.2 %</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24.6 %</w:t>
            </w:r>
          </w:p>
        </w:tc>
      </w:tr>
      <w:tr>
        <w:trPr>
          <w:trHeight w:val="230"/>
        </w:trPr>
        <w:tc>
          <w:tcPr>
            <w:tcW w:w="8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3"/>
        </w:trPr>
        <w:tc>
          <w:tcPr>
            <w:tcW w:w="79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8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Debt extinguishment and modification costs</w:t>
            </w:r>
          </w:p>
        </w:tc>
        <w:tc>
          <w:tcPr>
            <w:tcW w:w="2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expenses</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0.8 %</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8890</wp:posOffset>
            </wp:positionV>
            <wp:extent cx="2108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in the store build-outs, fixtures and equipment which we amortize over time as well as cash required for inventory and pre-opening expenses.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new store growth to be the primary driver of our sales growth over the long term. We lease substantially all of our store locations. Our initial lease terms on stores are typically ten years with options to renew for two or three successive five-year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sales.</w:t>
      </w:r>
    </w:p>
    <w:p>
      <w:pPr>
        <w:spacing w:after="0" w:line="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Comparable store sales consists of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we exclude the sales in the non-comparable week of a 53-week year from the same store sales calculation.</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a significant portion of our sales growth will be attributable to non-comparable store sales. Accordingly, comparable store sales is only one measure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Non-GAAP Adjusted Net Income</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EBITDA, adjusted EBITDA and non-GAAP adjusted net income are key metrics used by management and our board of directors to assess our financial performance. EBITDA, adjusted EBITDA and non-GAAP adjusted net income are also frequently used by analysts, investors and other interested parties to evaluate companies in our industry. We use EBITDA, adjusted EBITDA and non-GAAP adjusted net income to supplement GAAP measures of performance to evaluate the effectiveness of our business strategies, to make budgeting decisions and to compare our performance against that of other peer companies using similar measures. In addition, we use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7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define EBITDA as net income before net interest expense, income taxes and depreciation and amortization expenses. Adjusted EBITDA represents EBITDA adjusted to exclude share-based compensation expense, non-cash rent, asset impairment and gain or loss on disposition, provision for accounts receivable reserves and certain other expenses. Non-GAAP adjusted net income represents net income adjusted for the previously mentioned EBITDA adjustments, further adjusted for costs related to amortization of purchase accounting assets and deferred financing costs, tax impact of option exercises and vesting of RSUs, and tax effect of total adjustments. EBITDA, adjusted EBITDA and non-GAAP adjusted net income are non-GAAP measures and may not be comparable to similar measures reported by other companies. EBITDA, adjusted EBITDA and non-GAAP adjusted net income have limitations as analytical tools, and you should not consider them in isolation or as a substitute for analysis of our results as reported under GAAP. We address the limitations of the non-GAAP measures through the use of various GAAP measures. In the future we may incur expenses or charges such as those added back to calculate adjusted EBITDA or non-GAAP adjusted net income. Our presentation of adjusted EBITDA and non-GAAP adjusted net income should not be construed as an inference that our future results will be unaffected by the adjustments we have used to derive our non-GAAP measures.</w:t>
      </w:r>
    </w:p>
    <w:p>
      <w:pPr>
        <w:spacing w:after="0" w:line="7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Beginning with the fourth quarter of fiscal 2020, we updated our definitions of adjusted EBITDA and non-GAAP adjusted net income to simplify our presentation and enhance comparability between periods. We no longer exclude new store pre-opening expenses from our presentation of adjusted EBITDA and non-GAAP adjusted net income. We also updated our definition of non-GAAP adjusted net income to exclude the tax impact of options exercises and vesting of RSUs. Lastly, debt extinguishment and modification costs were reclassified to the other adjustments line item within the presentation of both adjusted EBITDA and non-GAAP adjusted net income. The presentations for adjusted EBITDA and non-GAAP adjusted net income for the 13 weeks ended March 28, 2020 have been recast to reflect these changes and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reconciliations between the revised and previous definitions of adjusted EBITDA and non-GAAP adjusted net income for each quarter of fiscal years 2020 and 2019 were provided in our Form 8-K filed with the SEC on March 2, 2021.</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components of our results of operations for the periods presented (amounts in thousands, except for percentages and store counts):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1140" w:type="dxa"/>
            <w:vAlign w:val="bottom"/>
            <w:tcBorders>
              <w:bottom w:val="single" w:sz="8" w:color="auto"/>
            </w:tcBorders>
          </w:tcPr>
          <w:p>
            <w:pPr>
              <w:spacing w:after="0"/>
              <w:rPr>
                <w:sz w:val="16"/>
                <w:szCs w:val="16"/>
                <w:color w:val="auto"/>
              </w:rPr>
            </w:pPr>
          </w:p>
        </w:tc>
      </w:tr>
      <w:tr>
        <w:trPr>
          <w:trHeight w:val="134"/>
        </w:trPr>
        <w:tc>
          <w:tcPr>
            <w:tcW w:w="7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1"/>
                <w:szCs w:val="11"/>
                <w:color w:val="auto"/>
              </w:rPr>
            </w:pPr>
          </w:p>
        </w:tc>
        <w:tc>
          <w:tcPr>
            <w:tcW w:w="1140" w:type="dxa"/>
            <w:vAlign w:val="bottom"/>
          </w:tcPr>
          <w:p>
            <w:pPr>
              <w:jc w:val="right"/>
              <w:ind w:right="395"/>
              <w:spacing w:after="0" w:line="135" w:lineRule="exact"/>
              <w:rPr>
                <w:sz w:val="20"/>
                <w:szCs w:val="20"/>
                <w:color w:val="auto"/>
              </w:rPr>
            </w:pPr>
            <w:r>
              <w:rPr>
                <w:rFonts w:ascii="Arial" w:cs="Arial" w:eastAsia="Arial" w:hAnsi="Arial"/>
                <w:sz w:val="14"/>
                <w:szCs w:val="14"/>
                <w:b w:val="1"/>
                <w:bCs w:val="1"/>
                <w:color w:val="auto"/>
                <w:w w:val="99"/>
              </w:rPr>
              <w:t>March 28,</w:t>
            </w:r>
          </w:p>
        </w:tc>
      </w:tr>
      <w:tr>
        <w:trPr>
          <w:trHeight w:val="188"/>
        </w:trPr>
        <w:tc>
          <w:tcPr>
            <w:tcW w:w="7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11"/>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34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10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355</w:t>
            </w:r>
          </w:p>
        </w:tc>
      </w:tr>
      <w:tr>
        <w:trPr>
          <w:trHeight w:val="229"/>
        </w:trPr>
        <w:tc>
          <w:tcPr>
            <w:tcW w:w="792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Comparable store sales increase (decrease) </w:t>
            </w:r>
            <w:r>
              <w:rPr>
                <w:rFonts w:ascii="Arial" w:cs="Arial" w:eastAsia="Arial" w:hAnsi="Arial"/>
                <w:sz w:val="26"/>
                <w:szCs w:val="26"/>
                <w:color w:val="auto"/>
                <w:vertAlign w:val="superscript"/>
              </w:rPr>
              <w:t>(1)</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17.4 %</w:t>
            </w: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39,991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30,245</w:t>
            </w:r>
          </w:p>
        </w:tc>
      </w:tr>
      <w:tr>
        <w:trPr>
          <w:trHeight w:val="230"/>
        </w:trPr>
        <w:tc>
          <w:tcPr>
            <w:tcW w:w="792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6"/>
                <w:szCs w:val="26"/>
                <w:color w:val="auto"/>
                <w:vertAlign w:val="superscript"/>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48,837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56,621</w:t>
            </w: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Non-GAAP adjusted net income </w:t>
            </w:r>
            <w:r>
              <w:rPr>
                <w:rFonts w:ascii="Arial" w:cs="Arial" w:eastAsia="Arial" w:hAnsi="Arial"/>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23,124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28,753</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Comparable store sales consist of sales from our stores beginning on the first day of the fourteenth full fiscal month following the store’s opening, which is when we believe comparability is achieved.</w:t>
      </w:r>
    </w:p>
    <w:p>
      <w:pPr>
        <w:spacing w:after="0" w:line="10" w:lineRule="exact"/>
        <w:rPr>
          <w:rFonts w:ascii="Arial" w:cs="Arial" w:eastAsia="Arial" w:hAnsi="Arial"/>
          <w:sz w:val="16"/>
          <w:szCs w:val="16"/>
          <w:color w:val="auto"/>
        </w:rPr>
      </w:pPr>
    </w:p>
    <w:p>
      <w:pPr>
        <w:jc w:val="both"/>
        <w:ind w:left="500" w:hanging="492"/>
        <w:spacing w:after="0" w:line="286"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See "GAAP to Non-GAAP Reconciliations" section below for a reconciliation from our net income to EBITDA and adjusted EBITDA, net income to non-GAAP adjusted net income, and GAAP to non-GAAP earnings per share for the periods presented. Beginning with the fourth quarter of fiscal 2020, we updated our definitions of adjusted EBITDA and non-GAAP adjusted net income to simplify our presentation and enhance comparability between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tables provide a reconciliation from our GAAP net income to EBITDA and adjusted EBITDA, GAAP net income to non-GAAP adjusted net income, and our GAAP to non-GAAP earnings per share for the periods presented (amounts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13 Weeks Ended</w:t>
            </w:r>
          </w:p>
        </w:tc>
        <w:tc>
          <w:tcPr>
            <w:tcW w:w="0" w:type="dxa"/>
            <w:vAlign w:val="bottom"/>
          </w:tcPr>
          <w:p>
            <w:pPr>
              <w:spacing w:after="0"/>
              <w:rPr>
                <w:sz w:val="1"/>
                <w:szCs w:val="1"/>
                <w:color w:val="auto"/>
              </w:rPr>
            </w:pPr>
          </w:p>
        </w:tc>
      </w:tr>
      <w:tr>
        <w:trPr>
          <w:trHeight w:val="134"/>
        </w:trPr>
        <w:tc>
          <w:tcPr>
            <w:tcW w:w="46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2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Depreciation and amortization expenses </w:t>
            </w:r>
            <w:r>
              <w:rPr>
                <w:rFonts w:ascii="Arial" w:cs="Arial" w:eastAsia="Arial" w:hAnsi="Arial"/>
                <w:sz w:val="26"/>
                <w:szCs w:val="26"/>
                <w:color w:val="auto"/>
                <w:vertAlign w:val="superscript"/>
              </w:rPr>
              <w:t>(1)</w:t>
            </w:r>
          </w:p>
        </w:tc>
        <w:tc>
          <w:tcPr>
            <w:tcW w:w="3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13,570</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20,277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3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6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13 Weeks Ended</w:t>
            </w:r>
          </w:p>
        </w:tc>
      </w:tr>
      <w:tr>
        <w:trPr>
          <w:trHeight w:val="135"/>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20" w:type="dxa"/>
            <w:vAlign w:val="bottom"/>
          </w:tcPr>
          <w:p>
            <w:pPr>
              <w:jc w:val="right"/>
              <w:ind w:right="332"/>
              <w:spacing w:after="0" w:line="135" w:lineRule="exact"/>
              <w:rPr>
                <w:sz w:val="20"/>
                <w:szCs w:val="20"/>
                <w:color w:val="auto"/>
              </w:rPr>
            </w:pPr>
            <w:r>
              <w:rPr>
                <w:rFonts w:ascii="Arial" w:cs="Arial" w:eastAsia="Arial" w:hAnsi="Arial"/>
                <w:sz w:val="14"/>
                <w:szCs w:val="14"/>
                <w:b w:val="1"/>
                <w:bCs w:val="1"/>
                <w:color w:val="auto"/>
              </w:rPr>
              <w:t>March 28,</w:t>
            </w:r>
          </w:p>
        </w:tc>
      </w:tr>
      <w:tr>
        <w:trPr>
          <w:trHeight w:val="188"/>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w:t>
            </w:r>
          </w:p>
        </w:tc>
      </w:tr>
      <w:tr>
        <w:trPr>
          <w:trHeight w:val="229"/>
        </w:trPr>
        <w:tc>
          <w:tcPr>
            <w:tcW w:w="81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20,277</w:t>
            </w:r>
          </w:p>
        </w:tc>
      </w:tr>
      <w:tr>
        <w:trPr>
          <w:trHeight w:val="229"/>
        </w:trPr>
        <w:tc>
          <w:tcPr>
            <w:tcW w:w="81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81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29"/>
        </w:trPr>
        <w:tc>
          <w:tcPr>
            <w:tcW w:w="81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30"/>
        </w:trPr>
        <w:tc>
          <w:tcPr>
            <w:tcW w:w="81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2,062</w:t>
            </w:r>
          </w:p>
        </w:tc>
      </w:tr>
      <w:tr>
        <w:trPr>
          <w:trHeight w:val="229"/>
        </w:trPr>
        <w:tc>
          <w:tcPr>
            <w:tcW w:w="81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Amortization of purchase accounting assets and deferred financing costs </w:t>
            </w:r>
            <w:r>
              <w:rPr>
                <w:rFonts w:ascii="Arial" w:cs="Arial" w:eastAsia="Arial" w:hAnsi="Arial"/>
                <w:sz w:val="26"/>
                <w:szCs w:val="26"/>
                <w:color w:val="auto"/>
                <w:vertAlign w:val="superscript"/>
              </w:rPr>
              <w:t>(7)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r>
      <w:tr>
        <w:trPr>
          <w:trHeight w:val="229"/>
        </w:trPr>
        <w:tc>
          <w:tcPr>
            <w:tcW w:w="81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Tax impact of option exercises and vesting of restricted stock units </w:t>
            </w:r>
            <w:r>
              <w:rPr>
                <w:rFonts w:ascii="Arial" w:cs="Arial" w:eastAsia="Arial" w:hAnsi="Arial"/>
                <w:sz w:val="26"/>
                <w:szCs w:val="26"/>
                <w:color w:val="auto"/>
                <w:vertAlign w:val="superscript"/>
              </w:rPr>
              <w:t>(8)</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(4,994)</w:t>
            </w:r>
          </w:p>
        </w:tc>
      </w:tr>
      <w:tr>
        <w:trPr>
          <w:trHeight w:val="230"/>
        </w:trPr>
        <w:tc>
          <w:tcPr>
            <w:tcW w:w="81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Tax effect of total adjustments </w:t>
            </w:r>
            <w:r>
              <w:rPr>
                <w:rFonts w:ascii="Arial" w:cs="Arial" w:eastAsia="Arial" w:hAnsi="Arial"/>
                <w:sz w:val="26"/>
                <w:szCs w:val="26"/>
                <w:color w:val="auto"/>
                <w:vertAlign w:val="superscript"/>
              </w:rPr>
              <w:t>(9)</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Non-GAAP adjusted 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GAAP earnings per share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adjusted earnings per share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GAAP &amp; Non-GAAP weighted average shares outstanding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89,481</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94,869</w:t>
            </w:r>
          </w:p>
        </w:tc>
      </w:tr>
      <w:tr>
        <w:trPr>
          <w:trHeight w:val="139"/>
        </w:trPr>
        <w:tc>
          <w:tcPr>
            <w:tcW w:w="816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bl>
    <w:p>
      <w:pPr>
        <w:spacing w:after="0" w:line="39" w:lineRule="exact"/>
        <w:rPr>
          <w:sz w:val="20"/>
          <w:szCs w:val="20"/>
          <w:color w:val="auto"/>
        </w:rPr>
      </w:pPr>
    </w:p>
    <w:p>
      <w:pPr>
        <w:ind w:left="500" w:hanging="492"/>
        <w:spacing w:after="0" w:line="322"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depreciation related to our distribution centers which is included within the cost of sales line item in our Condensed Consolidated Statements of Operations and Comprehensive Income. See Note 1 to the condensed consolidated financial statements for additional information about the components of cost of sales.</w:t>
      </w:r>
    </w:p>
    <w:p>
      <w:pPr>
        <w:jc w:val="both"/>
        <w:ind w:left="500" w:hanging="492"/>
        <w:spacing w:after="0" w:line="26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non-cash share-based compensation expense and cash dividends paid on vested share-based awards as a result of dividends declared in connection with recapitalizations that occurred in fiscal 2018 and 2016. See "Share-based Compensation Expense" in the “Comparison of the 13 weeks ended April 3, 2021 and March 28, 2020” section below for additional information.</w:t>
      </w:r>
    </w:p>
    <w:p>
      <w:pPr>
        <w:spacing w:after="0" w:line="20" w:lineRule="exact"/>
        <w:rPr>
          <w:rFonts w:ascii="Arial" w:cs="Arial" w:eastAsia="Arial" w:hAnsi="Arial"/>
          <w:sz w:val="16"/>
          <w:szCs w:val="16"/>
          <w:color w:val="auto"/>
        </w:rPr>
      </w:pPr>
    </w:p>
    <w:p>
      <w:pPr>
        <w:ind w:left="500" w:hanging="492"/>
        <w:spacing w:after="0" w:line="300"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growth in recent years.</w:t>
      </w: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impairment charges with respect to planned store closures and gains or losses on dispositions of assets in connection with store transitions to new IOs.</w:t>
      </w:r>
    </w:p>
    <w:p>
      <w:pPr>
        <w:spacing w:after="0" w:line="82" w:lineRule="exact"/>
        <w:rPr>
          <w:rFonts w:ascii="Arial" w:cs="Arial" w:eastAsia="Arial" w:hAnsi="Arial"/>
          <w:sz w:val="14"/>
          <w:szCs w:val="14"/>
          <w:color w:val="auto"/>
        </w:rPr>
      </w:pP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 See Note 2 to the condensed consolidated financial statements for additional information.</w:t>
      </w:r>
    </w:p>
    <w:p>
      <w:pPr>
        <w:spacing w:after="0" w:line="10"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other non-recurring, non-cash or non-operational items, such as transaction related costs, including costs related to employer payroll taxes associated with equity awards, personnel-related costs, store closing costs, legal expenses, secondary equity offerings, debt extinguishment and modification costs, and miscellaneous costs.</w:t>
      </w:r>
    </w:p>
    <w:p>
      <w:pPr>
        <w:spacing w:after="0" w:line="20" w:lineRule="exact"/>
        <w:rPr>
          <w:rFonts w:ascii="Arial" w:cs="Arial" w:eastAsia="Arial" w:hAnsi="Arial"/>
          <w:sz w:val="16"/>
          <w:szCs w:val="16"/>
          <w:color w:val="auto"/>
        </w:rPr>
      </w:pPr>
    </w:p>
    <w:p>
      <w:pPr>
        <w:ind w:left="500" w:hanging="492"/>
        <w:spacing w:after="0" w:line="300"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excess tax benefits related to stock option exercises and vesting of RSUs to be recorded in earnings as discrete items in the reporting period in which they occur.</w:t>
      </w:r>
    </w:p>
    <w:p>
      <w:pPr>
        <w:spacing w:after="0" w:line="10"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We calculate the tax effect of the total adjustments on a discrete basis excluding any non-recurring and unusual tax items.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13 weeks ended April 3, 2021 and March 28, 2020 (amounts in thousands, except percentages)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13 Weeks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April 3,</w:t>
            </w:r>
          </w:p>
        </w:tc>
        <w:tc>
          <w:tcPr>
            <w:tcW w:w="22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March 28,</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2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752,466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760,308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(7,842)</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 decrease in net sales for the 13 weeks ended April 3, 2021 compared to the same period in fiscal 2020 was primarily attributable to a decrease in comparable store sales, offset by non-comparable store sales growth attributable to the net 34 new stores opened over the last 12 months.</w:t>
      </w:r>
    </w:p>
    <w:p>
      <w:pPr>
        <w:spacing w:after="0" w:line="1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Comparable store sales decreased 8.2% for the 13 weeks ended April 3, 2021 compared to the same period in fiscal 2020. The decrease in comparable store sales was due to the initial surge in customer demand and elevated traffic in March 2020 resulting from the onset of the COVID-19 pandemic, which moderated in subsequent periods as customer shopping behaviors changed in response to the outbreak. Compared to the prior year period, the decline in customer traffic for the 13 weeks ended April 3, 2021 was partially offset by an increase in average transaction size.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520,539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523,282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(2,743)</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cost of sales for the 13 weeks ended April 3, 2021 compared to the same period in fiscal 2020 was primarily the result of a decrease in comparable store sales (as discussed above), offset by new store growth.</w:t>
      </w:r>
    </w:p>
    <w:p>
      <w:pPr>
        <w:spacing w:after="0" w:line="62"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Costs as a percentage of sales increased as a result of product inflation, fuel and freight cost increases, and inventory turns more in line with historical averages. For the 13 weeks ended March 28, 2020, costs as a percentage of sales decreased significantly compared to historical averages due to reduced product markdowns and throwaways resulting from faster inventory turns driven by COVID demand.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231,927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237,026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decrease in gross profit for the 13 weeks ended April 3, 2021 compared to the same period in fiscal 2020 was primarily the result of a decrease in comparable store sales (as discussed above), offset by new store growth. Our gross margin decreased modestly for the 13 weeks ended April 3, 2021 compared to the same period in fiscal 2020 primarily due to higher cost of sales as a percentage of sales as discussed previously.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2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SG&amp;A</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188,598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186,931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increase in SG&amp;A for the 13 weeks ended April 3, 2021 compared to the same period in fiscal 2020 was primarily driven by store occupancy and maintenance due to a higher store count, investments in general and administrative infrastructure to support the growth of our business, and higher incremental costs associated with COVID-19. Such increases were offset by decreases in variable commission payments to IOs related to lower sales volume.</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percentage of sales, SG&amp;A increased slightly for the 13 weeks ended April 3, 2021 compared to the same period in fiscal 2020 due to the factors noted above.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2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15,543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12,945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2,598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20.1 %</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the 13 weeks ended April 3, 2021 compared to the same period in fiscal 2020 was primarily driven by new store growth and other store capital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3,939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20,277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(16,338)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decrease in share-based compensation expenses for the 13 weeks ended April 3, 2021 compared to the same period in fiscal 2020 was primarily due to $18.5 million in share-based compensation expense we incurred in February 2020 related to 4.1 million performance-based stock options that vested in connection with the closing of the February 3, 2020 secondary offering, offset by an increase in expense related to RSUs and PSUs granted during fiscal 2021 and 2020. See Note 4 to the condensed consolidated financial statements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3,906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5,834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decrease in net interest expense for the 13 weeks ended April 3, 2021 compared to the same period in fiscal 2020 was primarily driven by lower interest rates under our First Lien Credit Agreement. See Note 3 to the condensed consolidated financial statements for additional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13 Weeks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940" w:type="dxa"/>
            <w:vAlign w:val="bottom"/>
          </w:tcPr>
          <w:p>
            <w:pPr>
              <w:jc w:val="center"/>
              <w:ind w:left="324"/>
              <w:spacing w:after="0" w:line="135" w:lineRule="exact"/>
              <w:rPr>
                <w:sz w:val="20"/>
                <w:szCs w:val="20"/>
                <w:color w:val="auto"/>
              </w:rPr>
            </w:pPr>
            <w:r>
              <w:rPr>
                <w:rFonts w:ascii="Arial" w:cs="Arial" w:eastAsia="Arial" w:hAnsi="Arial"/>
                <w:sz w:val="14"/>
                <w:szCs w:val="14"/>
                <w:b w:val="1"/>
                <w:bCs w:val="1"/>
                <w:color w:val="auto"/>
                <w:w w:val="96"/>
              </w:rPr>
              <w:t>April 3,</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March 28,</w:t>
            </w:r>
          </w:p>
        </w:tc>
        <w:tc>
          <w:tcPr>
            <w:tcW w:w="1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6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extinguishment and modification costs</w:t>
            </w:r>
          </w:p>
        </w:tc>
        <w:tc>
          <w:tcPr>
            <w:tcW w:w="940" w:type="dxa"/>
            <w:vAlign w:val="bottom"/>
            <w:tcBorders>
              <w:top w:val="single" w:sz="8" w:color="auto"/>
            </w:tcBorders>
            <w:shd w:val="clear" w:color="auto" w:fill="CCEEFF"/>
          </w:tcPr>
          <w:p>
            <w:pPr>
              <w:jc w:val="right"/>
              <w:ind w:right="764"/>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91"/>
              </w:rPr>
              <w:t>198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94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13 weeks ended March 28, 2020 we wrote off approximately $0.1 million of debt issuance costs and incurred $0.1 million of debt modification costs related to the repricing and amendment of our First Lien Credit Agreement. See Note 3 to the condensed consolidated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2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1,049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7"/>
                <w:szCs w:val="17"/>
                <w:color w:val="auto"/>
              </w:rPr>
              <w:t>(1,801)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2,850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158.2 %</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13 weeks ended April 3, 2021, we recorded a net income tax expense of $1.0 million, compared to a net income tax benefit of $1.8 million for the 13 weeks ended March 28, 2020. This change was primarily driven by higher pretax income during the 13 weeks ended April 3, 2021 as well as a reduction in excess tax benefits related to the exercise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stock options and vesting of RSUs as compared to the same period in fiscal 2020. Such excess tax benefits totaled $4.3 million for the 13 weeks ended April 3, 2021 compared to $5.0 million for the 13 weeks ended March 28,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1"/>
                <w:szCs w:val="11"/>
                <w:color w:val="auto"/>
              </w:rPr>
            </w:pPr>
          </w:p>
        </w:tc>
        <w:tc>
          <w:tcPr>
            <w:tcW w:w="12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18,892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12,642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6,250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49.4 %</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720" w:firstLine="486"/>
        <w:spacing w:after="0" w:line="362" w:lineRule="auto"/>
        <w:rPr>
          <w:sz w:val="20"/>
          <w:szCs w:val="20"/>
          <w:color w:val="auto"/>
        </w:rPr>
      </w:pPr>
      <w:r>
        <w:rPr>
          <w:rFonts w:ascii="Arial" w:cs="Arial" w:eastAsia="Arial" w:hAnsi="Arial"/>
          <w:sz w:val="18"/>
          <w:szCs w:val="18"/>
          <w:color w:val="auto"/>
        </w:rPr>
        <w:t xml:space="preserve">As a result of the foregoing factors, net income increased for the 13 weeks ended April 3, 2021 compared to the same period in fiscal 2020. </w:t>
      </w:r>
      <w:r>
        <w:rPr>
          <w:rFonts w:ascii="Arial" w:cs="Arial" w:eastAsia="Arial" w:hAnsi="Arial"/>
          <w:sz w:val="18"/>
          <w:szCs w:val="18"/>
          <w:b w:val="1"/>
          <w:bCs w:val="1"/>
          <w:i w:val="1"/>
          <w:iCs w:val="1"/>
          <w:color w:val="auto"/>
        </w:rPr>
        <w:t>Adjusted EBITDA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April 3,</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March 28,</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adjusted EBITDA for the 13 weeks ended April 3, 2021 compared to the same period in fiscal 2020 was primarily due to the decrease in net sales, which was primarily driven by a decrease in comparable store sales of 8.2% for the 13 weeks ended April 3, 2021, along with an increase to SG&amp;A compared to the same period in fiscal 2020, each as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Adjusted Net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13 Weeks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April 3,</w:t>
            </w:r>
          </w:p>
        </w:tc>
        <w:tc>
          <w:tcPr>
            <w:tcW w:w="22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March 28,</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2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adjusted net income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28,753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(5,629)</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non-GAAP adjusted net income for the 13 weeks ended April 3, 2021 compared to the same period in fiscal 2020 was primarily due to an decrease in net sales, which was primarily driven by a decrease in comparable store sales of 8.2% for the 13 weeks ended April 3, 2021, along with an increase to SG&amp;A compared to the same period in fiscal 2020, each as discussed above.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April 3, 2021, we had cash and cash equivalents of $95.3 million, which consisted primarily of cash held in checking and money market accounts with financial institutions.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liquidity requirements arise primarily from our working capital needs, capital expenditures and debt service requirements. We have funded our working capital and capital expenditures requirements with internally generated cash on hand and through proceeds from the initial public offering of our common stock in June 2019. Our current primary sources of liquidity are net cash provided by operating activities and borrowings and availability under our First Lien Credit Agreement. In addition, we also have a $100.0 million revolving credit facility available under our First Lien Credit Agreement. As of April 3, 2021, we had $3.5 million of outstanding standby letters of credit and $96.5 million of remaining borrowing capacity available under this revolving credit facility.</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of our selling stockholders completed a secondary public offering of shares of our common stock. We did not receive any of the proceeds from the sale of these shares by the selling stockholders. We incurred offering costs of $1.1 million, which we recognized in SG&amp;A during the first quarter of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during the second quarter of fiscal 2020. We received $1.6 million in cash (excluding withholding taxes) in connection with the exercise of 269,000 options by certain stockholders participating in this secondary public offering.</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First Incremental Agreement </w:t>
      </w:r>
      <w:r>
        <w:rPr>
          <w:rFonts w:ascii="Arial" w:cs="Arial" w:eastAsia="Arial" w:hAnsi="Arial"/>
          <w:sz w:val="17"/>
          <w:szCs w:val="17"/>
          <w:color w:val="auto"/>
        </w:rPr>
        <w:t>— On July 23, 2019, we entered into an incremental agreement (the "First Incremental Agreement") to amend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Lien Credit Agreement. The First Incremental Agreement refinanced the term loan outstanding under the First Lien Credit Agreement with a replacement $475.2 million senior secured term loan credit facility (the "First Replacement Term Loan") with an applicable margin of 3.50% or 3.25% for Eurodollar loans and 2.50% or 2.25% for base rate loans, in each case depending on the public corporate family rating of GOBP Holdings, Inc. The First Replacement Term Loan was to mature on October 22, 2025, which was the same maturity date as the prior term loan under our First Lien Credit Agreement. On October 23, 2019, we prepaid $15.0 million of principal on the First Replacement Term Loan.</w:t>
      </w:r>
    </w:p>
    <w:p>
      <w:pPr>
        <w:spacing w:after="0" w:line="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Second Incremental Agreement </w:t>
      </w:r>
      <w:r>
        <w:rPr>
          <w:rFonts w:ascii="Arial" w:cs="Arial" w:eastAsia="Arial" w:hAnsi="Arial"/>
          <w:sz w:val="18"/>
          <w:szCs w:val="18"/>
          <w:color w:val="auto"/>
        </w:rPr>
        <w:t>— On January 24, 2020, we entered into a second incremental agreement (the “Second Incremental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amend the First Lien Credit Agreement. The Second Incremental Agreement refinanced the First Replacement Term loan under the First Incremental Agreement with a replacement $460.0 million senior secured term loan credit facility (the "Second Replacement Term Loan") with an applicable margin of 2.75% for Eurodollar loans and 1.75% for base rate loans, and made certain other corresponding technical changes and updates to the previously amended First Lien Credit Agreement. The interest rate on the Second Replacement Term Loan was 2.86% as of April 3, 2021. The Second Replacement Term Loan matures on October 22, 2025, which is the same maturity date as the prior term loans under the original First Lien Credit Agreement and First Incremental Agreement.</w:t>
      </w:r>
    </w:p>
    <w:p>
      <w:pPr>
        <w:spacing w:after="0" w:line="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 On March 19, 2020, we borrowed $90.0 million under the revolving credit facility of our First Lien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April 3, 2021, we had $96.5 million of borrowing capacity available under the revolving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Based on our new store growth plans, we believe our existing cash and cash equivalents position, cash generated from our operations, and borrowings under our revolving credit facility will be adequate to finance our working capital requirements, planned capital expenditures and debt service over the next 12 months.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 We may also, from time to time, in our sole discretion, purchase or retire all or a portion of our existing debt instruments through privately negotiated or open market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 2021,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(amounts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 2021</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2020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(39,164)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(29,793)</w:t>
            </w:r>
          </w:p>
        </w:tc>
        <w:tc>
          <w:tcPr>
            <w:tcW w:w="12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31.5 %</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132,835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(107.6)%</w:t>
            </w:r>
          </w:p>
        </w:tc>
      </w:tr>
      <w:tr>
        <w:trPr>
          <w:trHeight w:val="21"/>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operating activities was $26.4 million for the 13 weeks ended April 3, 2021, compared to $67.8 million for the same period in fiscal 2020. The decrease in net cash provided by operating activities of $41.4 million for the 13 weeks ended April 3, 2021 compared to the same period in fiscal 2020 was primarily the result of the first quarter of fiscal 2020 seeing an increase in working capital largely driven by a reduction in merchandise inventory due to increased net sales resulting from the onset of the COVID-19 pandemic.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investing activities was $39.2 million for the 13 weeks ended April 3, 2021 compared to $29.8 million for the same period in fiscal 2020. The increase in net cash used in investing activities of $9.4 million for the 13 weeks ended April 3, 2021 compared to the same period in fiscal 2020 was primarily related to capital expenditures including the construction of newly opened stores and stores under development as well as existing store capital investments. We had 10 new store openings and two store relocations in the 13 weeks ended April 3, 2021 compared to 10 new store openings and one store relocation in the same period of fiscal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financing activities was $2.7 million for the 13 weeks ended April 3, 2021 compared to $94.8 million net cash provided by financing activities for the same period in fiscal 2020. The net cash provided by financing activities of $2.7 million for the 13 weeks ended April 3, 2021 was primarily due to proceeds from the exercise of stock options while the net cash provided by financing activities of $94.8 million for the same period in fiscal 2020 was primarily related to $90.0 million in proceeds received from our Revolving Credit Facility Loan as well as proceeds from the exercise of share-based awards.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during the 13 weeks ended April 3, 2021 from those disclosed in our 2020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13 weeks ended April 3, 2021 from those disclosed in our 2020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condensed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results are subject to market risk from interest rate fluctuations on our credit facilities, which bear variable interest rates. As of April 3, 2021, our outstanding credit facilities included a $460.0 million term loan (the "Second Replacement Term Loan"). As of April 3, 2021, the interest rate on the Second Replacement Term Loan was 2.86%. See Note 3 to the condensed consolidated financial statements for additional information. Based on the outstanding balance and interest rate of our Second Replacement Term Loan as of April 3, 2021, a hypothetical 10% relative increase or decrease in the effective interest rate would cause an increase or decrease in interest expense of approximately $1.3 million over the next 12 months.</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do not currently use derivative financial instruments for speculative or trading purposes. This practice does not preclude our adoption of specific hedging strategies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at a reasonable assurance level as of April 3,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April 3, 2021,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From time to time, we may be party to litigation that arises in the ordinary course of our business. Management believes that we do not have any pending litigation that, separately or in the aggregate, would have a material adverse effect on our financial condition,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2020 Annual Report on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price.There have been no material changes to our risk factors since the 2020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Exhibit No.</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80" w:type="dxa"/>
            <w:vAlign w:val="bottom"/>
            <w:gridSpan w:val="11"/>
            <w:vMerge w:val="restart"/>
          </w:tcPr>
          <w:p>
            <w:pPr>
              <w:ind w:left="1060"/>
              <w:spacing w:after="0"/>
              <w:rPr>
                <w:sz w:val="20"/>
                <w:szCs w:val="20"/>
                <w:color w:val="auto"/>
              </w:rPr>
            </w:pPr>
            <w:r>
              <w:rPr>
                <w:rFonts w:ascii="Arial" w:cs="Arial" w:eastAsia="Arial" w:hAnsi="Arial"/>
                <w:sz w:val="16"/>
                <w:szCs w:val="16"/>
                <w:b w:val="1"/>
                <w:bCs w:val="1"/>
                <w:color w:val="auto"/>
              </w:rPr>
              <w:t>Exhibit</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3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4"/>
              </w:rPr>
              <w:t>File</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1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80" w:type="dxa"/>
            <w:vAlign w:val="bottom"/>
            <w:gridSpan w:val="11"/>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3"/>
          </w:tcPr>
          <w:p>
            <w:pPr>
              <w:spacing w:after="0" w:line="185"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Amended and Restated Certificate of Incorporation of Grocery Outlet Holding</w:t>
              </w:r>
            </w:hyperlink>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2"/>
              </w:rPr>
              <w:t>S-8</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64">
              <w:r>
                <w:rPr>
                  <w:rFonts w:ascii="Arial" w:cs="Arial" w:eastAsia="Arial" w:hAnsi="Arial"/>
                  <w:sz w:val="18"/>
                  <w:szCs w:val="18"/>
                  <w:color w:val="0000FF"/>
                  <w:w w:val="86"/>
                </w:rPr>
                <w:t>Corp.</w:t>
              </w:r>
            </w:hyperlink>
          </w:p>
        </w:tc>
        <w:tc>
          <w:tcPr>
            <w:tcW w:w="5480" w:type="dxa"/>
            <w:vAlign w:val="bottom"/>
            <w:tcBorders>
              <w:top w:val="single" w:sz="8" w:color="0000FF"/>
            </w:tcBorders>
            <w:gridSpan w:val="11"/>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bottom w:val="single" w:sz="8" w:color="0000FF"/>
            </w:tcBorders>
            <w:gridSpan w:val="4"/>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Amended and Restated Bylaws of Grocery Outlet Holding Corp.</w:t>
              </w:r>
            </w:hyperlink>
          </w:p>
        </w:tc>
        <w:tc>
          <w:tcPr>
            <w:tcW w:w="1340" w:type="dxa"/>
            <w:vAlign w:val="bottom"/>
            <w:gridSpan w:val="10"/>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0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w:t>
            </w:r>
          </w:p>
        </w:tc>
        <w:tc>
          <w:tcPr>
            <w:tcW w:w="20" w:type="dxa"/>
            <w:vAlign w:val="bottom"/>
          </w:tcPr>
          <w:p>
            <w:pPr>
              <w:spacing w:after="0"/>
              <w:rPr>
                <w:sz w:val="18"/>
                <w:szCs w:val="18"/>
                <w:color w:val="auto"/>
              </w:rPr>
            </w:pPr>
          </w:p>
        </w:tc>
        <w:tc>
          <w:tcPr>
            <w:tcW w:w="6000" w:type="dxa"/>
            <w:vAlign w:val="bottom"/>
            <w:gridSpan w:val="14"/>
          </w:tcPr>
          <w:p>
            <w:pPr>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Employment Offer Letter by and between Heather L. Mayo and the Company</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dated August 29, 2019</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4"/>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Certification of Principal Executive Officer pursuant to Exchange Act Rules 13a-</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14(a) and 15d-14(a), as adopted pursuant to Section 302 of the Sarbanes-Oxley</w:t>
              </w:r>
            </w:hyperlink>
          </w:p>
        </w:tc>
        <w:tc>
          <w:tcPr>
            <w:tcW w:w="1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42">
              <w:r>
                <w:rPr>
                  <w:rFonts w:ascii="Arial" w:cs="Arial" w:eastAsia="Arial" w:hAnsi="Arial"/>
                  <w:sz w:val="18"/>
                  <w:szCs w:val="18"/>
                  <w:color w:val="0000FF"/>
                  <w:w w:val="92"/>
                </w:rPr>
                <w:t>Act of 2002</w:t>
              </w:r>
            </w:hyperlink>
          </w:p>
        </w:tc>
        <w:tc>
          <w:tcPr>
            <w:tcW w:w="48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4"/>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Certification of Principal Financial Officer pursuant to Exchange Act Rules 13a-</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10"/>
          </w:tcPr>
          <w:p>
            <w:pPr>
              <w:spacing w:after="0" w:line="156"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14(a) and 15d-14(a), as adopted pursuant to Section 302 of the Sarbanes-Oxley</w:t>
              </w:r>
            </w:hyperlink>
          </w:p>
        </w:tc>
        <w:tc>
          <w:tcPr>
            <w:tcW w:w="2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43">
              <w:r>
                <w:rPr>
                  <w:rFonts w:ascii="Arial" w:cs="Arial" w:eastAsia="Arial" w:hAnsi="Arial"/>
                  <w:sz w:val="18"/>
                  <w:szCs w:val="18"/>
                  <w:color w:val="0000FF"/>
                  <w:w w:val="92"/>
                </w:rPr>
                <w:t>Act of 2002</w:t>
              </w:r>
            </w:hyperlink>
          </w:p>
        </w:tc>
        <w:tc>
          <w:tcPr>
            <w:tcW w:w="48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4"/>
          </w:tcPr>
          <w:p>
            <w:pPr>
              <w:spacing w:after="0"/>
              <w:rPr>
                <w:rFonts w:ascii="Arial" w:cs="Arial" w:eastAsia="Arial" w:hAnsi="Arial"/>
                <w:sz w:val="18"/>
                <w:szCs w:val="18"/>
                <w:color w:val="0000FF"/>
                <w:w w:val="95"/>
              </w:rPr>
            </w:pPr>
            <w:hyperlink w:anchor="page44">
              <w:r>
                <w:rPr>
                  <w:rFonts w:ascii="Arial" w:cs="Arial" w:eastAsia="Arial" w:hAnsi="Arial"/>
                  <w:sz w:val="18"/>
                  <w:szCs w:val="18"/>
                  <w:color w:val="0000FF"/>
                  <w:w w:val="95"/>
                </w:rPr>
                <w:t>Certification of Principal Executive Officer pursuant to 18 U.S.C. Section 1350,</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as adopted pursuant to Section 906 of the Sarbanes-Oxley Act of 2002</w:t>
              </w:r>
            </w:hyperlink>
          </w:p>
        </w:tc>
        <w:tc>
          <w:tcPr>
            <w:tcW w:w="2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5"/>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4"/>
          </w:tcPr>
          <w:p>
            <w:pPr>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Certification of Principal Financial Officer pursuant to 18 U.S.C. Section 1350,</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as adopted pursuant to Section 906 of the Sarbanes-Oxley Act of 2002</w:t>
              </w:r>
            </w:hyperlink>
          </w:p>
        </w:tc>
        <w:tc>
          <w:tcPr>
            <w:tcW w:w="300" w:type="dxa"/>
            <w:vAlign w:val="bottom"/>
            <w:gridSpan w:val="6"/>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5"/>
            <w:shd w:val="clear" w:color="auto" w:fill="0000FF"/>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7"/>
                <w:szCs w:val="17"/>
                <w:color w:val="auto"/>
              </w:rPr>
            </w:pPr>
          </w:p>
        </w:tc>
        <w:tc>
          <w:tcPr>
            <w:tcW w:w="6000" w:type="dxa"/>
            <w:vAlign w:val="bottom"/>
            <w:gridSpan w:val="14"/>
          </w:tcPr>
          <w:p>
            <w:pPr>
              <w:spacing w:after="0" w:line="196" w:lineRule="exact"/>
              <w:rPr>
                <w:sz w:val="20"/>
                <w:szCs w:val="20"/>
                <w:color w:val="auto"/>
              </w:rPr>
            </w:pPr>
            <w:r>
              <w:rPr>
                <w:rFonts w:ascii="Arial" w:cs="Arial" w:eastAsia="Arial" w:hAnsi="Arial"/>
                <w:sz w:val="18"/>
                <w:szCs w:val="18"/>
                <w:color w:val="auto"/>
                <w:w w:val="93"/>
              </w:rPr>
              <w:t>Inline XBRL Instance Document - the instance document does not appear in the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gridSpan w:val="14"/>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4"/>
          </w:tcPr>
          <w:p>
            <w:pPr>
              <w:spacing w:after="0"/>
              <w:rPr>
                <w:sz w:val="20"/>
                <w:szCs w:val="20"/>
                <w:color w:val="auto"/>
              </w:rPr>
            </w:pPr>
            <w:r>
              <w:rPr>
                <w:rFonts w:ascii="Arial" w:cs="Arial" w:eastAsia="Arial" w:hAnsi="Arial"/>
                <w:sz w:val="18"/>
                <w:szCs w:val="18"/>
                <w:color w:val="auto"/>
              </w:rPr>
              <w:t>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9"/>
                <w:szCs w:val="19"/>
                <w:color w:val="auto"/>
              </w:rPr>
            </w:pPr>
          </w:p>
        </w:tc>
        <w:tc>
          <w:tcPr>
            <w:tcW w:w="60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19"/>
                <w:szCs w:val="19"/>
                <w:color w:val="auto"/>
              </w:rPr>
            </w:pPr>
          </w:p>
        </w:tc>
        <w:tc>
          <w:tcPr>
            <w:tcW w:w="6000" w:type="dxa"/>
            <w:vAlign w:val="bottom"/>
            <w:gridSpan w:val="14"/>
          </w:tcPr>
          <w:p>
            <w:pPr>
              <w:spacing w:after="0"/>
              <w:rPr>
                <w:sz w:val="20"/>
                <w:szCs w:val="20"/>
                <w:color w:val="auto"/>
              </w:rPr>
            </w:pPr>
            <w:r>
              <w:rPr>
                <w:rFonts w:ascii="Arial" w:cs="Arial" w:eastAsia="Arial" w:hAnsi="Arial"/>
                <w:sz w:val="18"/>
                <w:szCs w:val="18"/>
                <w:color w:val="auto"/>
              </w:rPr>
              <w:t>Inline XBRL Extension Calculation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6000" w:type="dxa"/>
            <w:vAlign w:val="bottom"/>
            <w:gridSpan w:val="14"/>
          </w:tcPr>
          <w:p>
            <w:pPr>
              <w:spacing w:after="0"/>
              <w:rPr>
                <w:sz w:val="20"/>
                <w:szCs w:val="20"/>
                <w:color w:val="auto"/>
              </w:rPr>
            </w:pPr>
            <w:r>
              <w:rPr>
                <w:rFonts w:ascii="Arial" w:cs="Arial" w:eastAsia="Arial" w:hAnsi="Arial"/>
                <w:sz w:val="18"/>
                <w:szCs w:val="18"/>
                <w:color w:val="auto"/>
              </w:rPr>
              <w:t>Inline XBRL Extension Definition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19"/>
                <w:szCs w:val="19"/>
                <w:color w:val="auto"/>
              </w:rPr>
            </w:pPr>
          </w:p>
        </w:tc>
        <w:tc>
          <w:tcPr>
            <w:tcW w:w="6000" w:type="dxa"/>
            <w:vAlign w:val="bottom"/>
            <w:gridSpan w:val="14"/>
          </w:tcPr>
          <w:p>
            <w:pPr>
              <w:spacing w:after="0"/>
              <w:rPr>
                <w:sz w:val="20"/>
                <w:szCs w:val="20"/>
                <w:color w:val="auto"/>
              </w:rPr>
            </w:pPr>
            <w:r>
              <w:rPr>
                <w:rFonts w:ascii="Arial" w:cs="Arial" w:eastAsia="Arial" w:hAnsi="Arial"/>
                <w:sz w:val="18"/>
                <w:szCs w:val="18"/>
                <w:color w:val="auto"/>
              </w:rPr>
              <w:t>Inline XBRL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0"/>
                <w:szCs w:val="20"/>
                <w:color w:val="auto"/>
              </w:rPr>
            </w:pPr>
          </w:p>
        </w:tc>
        <w:tc>
          <w:tcPr>
            <w:tcW w:w="6000" w:type="dxa"/>
            <w:vAlign w:val="bottom"/>
            <w:gridSpan w:val="14"/>
          </w:tcPr>
          <w:p>
            <w:pPr>
              <w:spacing w:after="0"/>
              <w:rPr>
                <w:sz w:val="20"/>
                <w:szCs w:val="20"/>
                <w:color w:val="auto"/>
              </w:rPr>
            </w:pPr>
            <w:r>
              <w:rPr>
                <w:rFonts w:ascii="Arial" w:cs="Arial" w:eastAsia="Arial" w:hAnsi="Arial"/>
                <w:sz w:val="18"/>
                <w:szCs w:val="18"/>
                <w:color w:val="auto"/>
              </w:rPr>
              <w:t>Inline XBRL Extension Presentation Linkbase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100" w:right="4260" w:hanging="748"/>
        <w:spacing w:after="0" w:line="224"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6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110" w:lineRule="exact"/>
        <w:rPr>
          <w:sz w:val="20"/>
          <w:szCs w:val="20"/>
          <w:color w:val="auto"/>
        </w:rPr>
      </w:pPr>
    </w:p>
    <w:p>
      <w:pPr>
        <w:ind w:left="720" w:hanging="69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720" w:hanging="69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720" w:right="120" w:hanging="694"/>
        <w:spacing w:after="0" w:line="197" w:lineRule="auto"/>
        <w:tabs>
          <w:tab w:leader="none" w:pos="720" w:val="left"/>
        </w:tabs>
        <w:numPr>
          <w:ilvl w:val="0"/>
          <w:numId w:val="19"/>
        </w:numPr>
        <w:rPr>
          <w:rFonts w:ascii="Arial" w:cs="Arial" w:eastAsia="Arial" w:hAnsi="Arial"/>
          <w:sz w:val="32"/>
          <w:szCs w:val="32"/>
          <w:color w:val="auto"/>
          <w:vertAlign w:val="subscript"/>
        </w:rPr>
      </w:pPr>
      <w:r>
        <w:rPr>
          <w:rFonts w:ascii="Arial" w:cs="Arial" w:eastAsia="Arial" w:hAnsi="Arial"/>
          <w:sz w:val="16"/>
          <w:szCs w:val="16"/>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Charles C. Bracher</w:t>
      </w:r>
    </w:p>
    <w:p>
      <w:pPr>
        <w:ind w:left="7100"/>
        <w:spacing w:after="0" w:line="203" w:lineRule="auto"/>
        <w:rPr>
          <w:sz w:val="20"/>
          <w:szCs w:val="20"/>
          <w:color w:val="auto"/>
        </w:rPr>
      </w:pPr>
      <w:r>
        <w:rPr>
          <w:rFonts w:ascii="Arial" w:cs="Arial" w:eastAsia="Arial" w:hAnsi="Arial"/>
          <w:sz w:val="18"/>
          <w:szCs w:val="18"/>
          <w:color w:val="auto"/>
        </w:rPr>
        <w:t>Chief Financial Officer</w:t>
      </w:r>
    </w:p>
    <w:p>
      <w:pPr>
        <w:ind w:left="7100"/>
        <w:spacing w:after="0"/>
        <w:rPr>
          <w:sz w:val="20"/>
          <w:szCs w:val="20"/>
          <w:color w:val="auto"/>
        </w:rPr>
      </w:pPr>
      <w:r>
        <w:rPr>
          <w:rFonts w:ascii="Arial" w:cs="Arial" w:eastAsia="Arial" w:hAnsi="Arial"/>
          <w:sz w:val="18"/>
          <w:szCs w:val="18"/>
          <w:color w:val="auto"/>
        </w:rPr>
        <w:t>(Principal Financial Officer)</w:t>
      </w:r>
    </w:p>
    <w:p>
      <w:pPr>
        <w:spacing w:after="0" w:line="27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Lindsay E. Gray</w:t>
      </w:r>
    </w:p>
    <w:p>
      <w:pPr>
        <w:ind w:left="7100"/>
        <w:spacing w:after="0" w:line="203" w:lineRule="auto"/>
        <w:rPr>
          <w:sz w:val="20"/>
          <w:szCs w:val="20"/>
          <w:color w:val="auto"/>
        </w:rPr>
      </w:pPr>
      <w:r>
        <w:rPr>
          <w:rFonts w:ascii="Arial" w:cs="Arial" w:eastAsia="Arial" w:hAnsi="Arial"/>
          <w:sz w:val="18"/>
          <w:szCs w:val="18"/>
          <w:color w:val="auto"/>
        </w:rPr>
        <w:t>Vice President and Corporate Controller</w:t>
      </w:r>
    </w:p>
    <w:p>
      <w:pPr>
        <w:ind w:left="71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478155</wp:posOffset>
            </wp:positionV>
            <wp:extent cx="1423035" cy="1423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230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August 29,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Heather Mayo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Dear Heather,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Congratulations! This letter is our offer of employment to you, and your opportunity to join Grocery Outlet family. We hope you give this offer serious consideration. Should you decide to accept this offer, Human Resources will e-mail an electronic version of this letter via DocuSign for your signature of acceptance.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letter briefly outlines our hiring process, compensation and benefits for the position. Further details regarding employee pay and benefits will be available to you in the Employee Handbook and in the Summary Plan Descriptions, should you accept this offer. As with any employment relationship, your duties, responsibilities, pay and benefits may change over time as Grocery Outlet continues to grow and we become more familiar with your unique skills and capabilities.</w:t>
      </w:r>
    </w:p>
    <w:p>
      <w:pPr>
        <w:sectPr>
          <w:pgSz w:w="11900" w:h="16838" w:orient="portrait"/>
          <w:cols w:equalWidth="0" w:num="1">
            <w:col w:w="11240"/>
          </w:cols>
          <w:pgMar w:left="320" w:top="115"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Title:</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Location: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Start Date: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Reports To:</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Salary: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Vice President, Sales &amp; Merchandising-East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Grocery Outlet PA Corporate Office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Monday, October 7,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Lindberg |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$400,000 base salary – EXEMPT</w:t>
      </w:r>
    </w:p>
    <w:p>
      <w:pPr>
        <w:spacing w:after="0" w:line="200" w:lineRule="exact"/>
        <w:rPr>
          <w:sz w:val="20"/>
          <w:szCs w:val="20"/>
          <w:color w:val="auto"/>
        </w:rPr>
      </w:pPr>
    </w:p>
    <w:p>
      <w:pPr>
        <w:sectPr>
          <w:pgSz w:w="11900" w:h="16838" w:orient="portrait"/>
          <w:cols w:equalWidth="0" w:num="2">
            <w:col w:w="1040" w:space="720"/>
            <w:col w:w="9480"/>
          </w:cols>
          <w:pgMar w:left="320" w:top="115" w:right="339" w:bottom="1440" w:gutter="0" w:footer="0" w:header="0"/>
          <w:type w:val="continuous"/>
        </w:sectPr>
      </w:pPr>
    </w:p>
    <w:p>
      <w:pPr>
        <w:spacing w:after="0" w:line="201" w:lineRule="exact"/>
        <w:rPr>
          <w:sz w:val="20"/>
          <w:szCs w:val="20"/>
          <w:color w:val="auto"/>
        </w:rPr>
      </w:pPr>
    </w:p>
    <w:p>
      <w:pPr>
        <w:ind w:left="1720" w:right="1340" w:hanging="1295"/>
        <w:spacing w:after="0" w:line="312" w:lineRule="auto"/>
        <w:rPr>
          <w:sz w:val="20"/>
          <w:szCs w:val="20"/>
          <w:color w:val="auto"/>
        </w:rPr>
      </w:pPr>
      <w:r>
        <w:rPr>
          <w:rFonts w:ascii="Arial" w:cs="Arial" w:eastAsia="Arial" w:hAnsi="Arial"/>
          <w:sz w:val="17"/>
          <w:szCs w:val="17"/>
          <w:b w:val="1"/>
          <w:bCs w:val="1"/>
          <w:color w:val="auto"/>
        </w:rPr>
        <w:t xml:space="preserve">50% of base salary </w:t>
      </w:r>
      <w:r>
        <w:rPr>
          <w:rFonts w:ascii="Arial" w:cs="Arial" w:eastAsia="Arial" w:hAnsi="Arial"/>
          <w:sz w:val="17"/>
          <w:szCs w:val="17"/>
          <w:color w:val="auto"/>
        </w:rPr>
        <w:t>per year predicated on achievement of Company objectives with eligibility for bonus beginning with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2019 and commencing with the first day of employment, prorated from your start date for the first year.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1, 2020, your bonus opportunity will increase to 60% of your base salary.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20" w:right="1360" w:hanging="1295"/>
        <w:spacing w:after="0" w:line="294" w:lineRule="auto"/>
        <w:rPr>
          <w:sz w:val="20"/>
          <w:szCs w:val="20"/>
          <w:color w:val="auto"/>
        </w:rPr>
      </w:pPr>
      <w:r>
        <w:rPr>
          <w:rFonts w:ascii="Arial" w:cs="Arial" w:eastAsia="Arial" w:hAnsi="Arial"/>
          <w:sz w:val="16"/>
          <w:szCs w:val="16"/>
          <w:color w:val="auto"/>
        </w:rPr>
        <w:t xml:space="preserve">Subject to board approval, you will be provided with equity grants equal to </w:t>
      </w:r>
      <w:r>
        <w:rPr>
          <w:rFonts w:ascii="Arial" w:cs="Arial" w:eastAsia="Arial" w:hAnsi="Arial"/>
          <w:sz w:val="16"/>
          <w:szCs w:val="16"/>
          <w:b w:val="1"/>
          <w:bCs w:val="1"/>
          <w:color w:val="auto"/>
        </w:rPr>
        <w:t>$1,000,000</w:t>
      </w:r>
      <w:r>
        <w:rPr>
          <w:rFonts w:ascii="Arial" w:cs="Arial" w:eastAsia="Arial" w:hAnsi="Arial"/>
          <w:sz w:val="16"/>
          <w:szCs w:val="16"/>
          <w:color w:val="auto"/>
        </w:rPr>
        <w:t xml:space="preserve"> in value. The grants shall be made pursuant to the 2019 Incentive Plan. A portion of the grant will be made as part of the annual grant program in Q1 2020 and will be a mix of time based and performance based restricted stock units and/or options. Please note that the form of the ongoing equity program is being finalized by the Compensation Committee. The remaining portion of the grant shall be in the form of an RSU with a four-year cliff vesting (i.e., 100% of the RSU would vest four years from your initial hire date). The grants will be subject to all terms and other provisions set forth in the Plan.</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Signing</w:t>
      </w:r>
    </w:p>
    <w:p>
      <w:pPr>
        <w:spacing w:after="0" w:line="27" w:lineRule="exact"/>
        <w:rPr>
          <w:sz w:val="20"/>
          <w:szCs w:val="20"/>
          <w:color w:val="auto"/>
        </w:rPr>
      </w:pPr>
    </w:p>
    <w:p>
      <w:pPr>
        <w:ind w:left="1760" w:right="180" w:hanging="1739"/>
        <w:spacing w:after="0" w:line="277" w:lineRule="auto"/>
        <w:tabs>
          <w:tab w:leader="none" w:pos="1740" w:val="left"/>
        </w:tabs>
        <w:rPr>
          <w:sz w:val="20"/>
          <w:szCs w:val="20"/>
          <w:color w:val="auto"/>
        </w:rPr>
      </w:pPr>
      <w:r>
        <w:rPr>
          <w:rFonts w:ascii="Arial" w:cs="Arial" w:eastAsia="Arial" w:hAnsi="Arial"/>
          <w:sz w:val="18"/>
          <w:szCs w:val="18"/>
          <w:b w:val="1"/>
          <w:bCs w:val="1"/>
          <w:color w:val="auto"/>
        </w:rPr>
        <w:t>Bonus:</w:t>
      </w:r>
      <w:r>
        <w:rPr>
          <w:sz w:val="20"/>
          <w:szCs w:val="20"/>
          <w:color w:val="auto"/>
        </w:rPr>
        <w:tab/>
      </w:r>
      <w:r>
        <w:rPr>
          <w:rFonts w:ascii="Arial" w:cs="Arial" w:eastAsia="Arial" w:hAnsi="Arial"/>
          <w:sz w:val="18"/>
          <w:szCs w:val="18"/>
          <w:color w:val="auto"/>
        </w:rPr>
        <w:t>Grocery Outlet will provide you with a sign-on bonus of $25,000 (net), payment to be granted to you as soon as feasibly possible after your start date.</w:t>
      </w:r>
    </w:p>
    <w:p>
      <w:pPr>
        <w:sectPr>
          <w:pgSz w:w="11900" w:h="16838" w:orient="portrait"/>
          <w:cols w:equalWidth="0" w:num="1">
            <w:col w:w="11240"/>
          </w:cols>
          <w:pgMar w:left="320" w:top="11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Relocation</w:t>
      </w:r>
    </w:p>
    <w:p>
      <w:pPr>
        <w:spacing w:after="0" w:line="27" w:lineRule="exact"/>
        <w:rPr>
          <w:sz w:val="20"/>
          <w:szCs w:val="20"/>
          <w:color w:val="auto"/>
        </w:rPr>
      </w:pPr>
    </w:p>
    <w:p>
      <w:pPr>
        <w:ind w:left="1680" w:right="2180" w:hanging="1673"/>
        <w:spacing w:after="0" w:line="358" w:lineRule="auto"/>
        <w:rPr>
          <w:sz w:val="20"/>
          <w:szCs w:val="20"/>
          <w:color w:val="auto"/>
        </w:rPr>
      </w:pPr>
      <w:r>
        <w:rPr>
          <w:rFonts w:ascii="Arial" w:cs="Arial" w:eastAsia="Arial" w:hAnsi="Arial"/>
          <w:sz w:val="16"/>
          <w:szCs w:val="16"/>
          <w:b w:val="1"/>
          <w:bCs w:val="1"/>
          <w:color w:val="auto"/>
        </w:rPr>
        <w:t>Allowance:</w:t>
      </w:r>
      <w:r>
        <w:rPr>
          <w:rFonts w:ascii="Arial" w:cs="Arial" w:eastAsia="Arial" w:hAnsi="Arial"/>
          <w:sz w:val="16"/>
          <w:szCs w:val="16"/>
          <w:color w:val="auto"/>
        </w:rPr>
        <w:t>GroceryOutlet will provide you with a relocation allowance of</w:t>
      </w:r>
      <w:r>
        <w:rPr>
          <w:rFonts w:ascii="Arial" w:cs="Arial" w:eastAsia="Arial" w:hAnsi="Arial"/>
          <w:sz w:val="16"/>
          <w:szCs w:val="16"/>
          <w:b w:val="1"/>
          <w:bCs w:val="1"/>
          <w:color w:val="auto"/>
        </w:rPr>
        <w:t xml:space="preserve"> $75,000 </w:t>
      </w:r>
      <w:r>
        <w:rPr>
          <w:rFonts w:ascii="Arial" w:cs="Arial" w:eastAsia="Arial" w:hAnsi="Arial"/>
          <w:sz w:val="16"/>
          <w:szCs w:val="16"/>
          <w:color w:val="auto"/>
        </w:rPr>
        <w:t>(net) for you move to the Philadelphia Area. This</w:t>
      </w:r>
      <w:r>
        <w:rPr>
          <w:rFonts w:ascii="Arial" w:cs="Arial" w:eastAsia="Arial" w:hAnsi="Arial"/>
          <w:sz w:val="16"/>
          <w:szCs w:val="16"/>
          <w:b w:val="1"/>
          <w:bCs w:val="1"/>
          <w:color w:val="auto"/>
        </w:rPr>
        <w:t xml:space="preserve"> </w:t>
      </w:r>
      <w:r>
        <w:rPr>
          <w:rFonts w:ascii="Arial" w:cs="Arial" w:eastAsia="Arial" w:hAnsi="Arial"/>
          <w:sz w:val="16"/>
          <w:szCs w:val="16"/>
          <w:color w:val="auto"/>
        </w:rPr>
        <w:t>relocation allowance will be paid to you as soon as feasibly possible after your start date.</w:t>
      </w:r>
    </w:p>
    <w:p>
      <w:pPr>
        <w:spacing w:after="0" w:line="135" w:lineRule="exact"/>
        <w:rPr>
          <w:sz w:val="20"/>
          <w:szCs w:val="20"/>
          <w:color w:val="auto"/>
        </w:rPr>
      </w:pPr>
    </w:p>
    <w:p>
      <w:pPr>
        <w:ind w:left="1680" w:right="1700" w:hanging="1457"/>
        <w:spacing w:after="0" w:line="282" w:lineRule="auto"/>
        <w:rPr>
          <w:sz w:val="20"/>
          <w:szCs w:val="20"/>
          <w:color w:val="auto"/>
        </w:rPr>
      </w:pPr>
      <w:r>
        <w:rPr>
          <w:rFonts w:ascii="Arial" w:cs="Arial" w:eastAsia="Arial" w:hAnsi="Arial"/>
          <w:sz w:val="18"/>
          <w:szCs w:val="18"/>
          <w:b w:val="1"/>
          <w:bCs w:val="1"/>
          <w:color w:val="auto"/>
        </w:rPr>
        <w:t>If you voluntarily terminate your employment with Grocery Outlet, repayment of all or a portion of the sign-on bonus or relocation allowance may be required based on the following schedule:</w:t>
      </w:r>
    </w:p>
    <w:p>
      <w:pPr>
        <w:sectPr>
          <w:pgSz w:w="11900" w:h="16838" w:orient="portrait"/>
          <w:cols w:equalWidth="0" w:num="1">
            <w:col w:w="11180"/>
          </w:cols>
          <w:pgMar w:left="340" w:top="133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Temporary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Housing:</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260" w:right="1460" w:hanging="15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Within twelve (12) months of your start date – 100% of the sign-on bonus and relocation allowance (less applicable local, state and federal taxes)</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Grocery Outlet will reimburse you for up to a maximum of </w:t>
      </w:r>
      <w:r>
        <w:rPr>
          <w:rFonts w:ascii="Arial" w:cs="Arial" w:eastAsia="Arial" w:hAnsi="Arial"/>
          <w:sz w:val="18"/>
          <w:szCs w:val="18"/>
          <w:b w:val="1"/>
          <w:bCs w:val="1"/>
          <w:color w:val="auto"/>
        </w:rPr>
        <w:t>$1,500 per month</w:t>
      </w:r>
      <w:r>
        <w:rPr>
          <w:rFonts w:ascii="Arial" w:cs="Arial" w:eastAsia="Arial" w:hAnsi="Arial"/>
          <w:sz w:val="18"/>
          <w:szCs w:val="18"/>
          <w:color w:val="auto"/>
        </w:rPr>
        <w:t xml:space="preserve"> for temporary housing for a </w:t>
      </w:r>
      <w:r>
        <w:rPr>
          <w:rFonts w:ascii="Arial" w:cs="Arial" w:eastAsia="Arial" w:hAnsi="Arial"/>
          <w:sz w:val="18"/>
          <w:szCs w:val="18"/>
          <w:b w:val="1"/>
          <w:bCs w:val="1"/>
          <w:color w:val="auto"/>
        </w:rPr>
        <w:t>period of twelve (12)</w:t>
      </w:r>
      <w:r>
        <w:rPr>
          <w:rFonts w:ascii="Arial" w:cs="Arial" w:eastAsia="Arial" w:hAnsi="Arial"/>
          <w:sz w:val="18"/>
          <w:szCs w:val="18"/>
          <w:color w:val="auto"/>
        </w:rPr>
        <w:t xml:space="preserve"> </w:t>
      </w:r>
      <w:r>
        <w:rPr>
          <w:rFonts w:ascii="Arial" w:cs="Arial" w:eastAsia="Arial" w:hAnsi="Arial"/>
          <w:sz w:val="18"/>
          <w:szCs w:val="18"/>
          <w:b w:val="1"/>
          <w:bCs w:val="1"/>
          <w:color w:val="auto"/>
        </w:rPr>
        <w:t>months</w:t>
      </w:r>
      <w:r>
        <w:rPr>
          <w:rFonts w:ascii="Arial" w:cs="Arial" w:eastAsia="Arial" w:hAnsi="Arial"/>
          <w:sz w:val="18"/>
          <w:szCs w:val="18"/>
          <w:color w:val="auto"/>
        </w:rPr>
        <w:t>, as required for business related decisions, with the intent to extend this period, if determined necessary due to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(office location determination).</w:t>
      </w:r>
    </w:p>
    <w:p>
      <w:pPr>
        <w:spacing w:after="0" w:line="135" w:lineRule="exact"/>
        <w:rPr>
          <w:sz w:val="20"/>
          <w:szCs w:val="20"/>
          <w:color w:val="auto"/>
        </w:rPr>
      </w:pPr>
    </w:p>
    <w:p>
      <w:pPr>
        <w:sectPr>
          <w:pgSz w:w="11900" w:h="16838" w:orient="portrait"/>
          <w:cols w:equalWidth="0" w:num="2">
            <w:col w:w="1020" w:space="720"/>
            <w:col w:w="9440"/>
          </w:cols>
          <w:pgMar w:left="340" w:top="1336"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Home Visits:</w:t>
      </w:r>
    </w:p>
    <w:p>
      <w:pPr>
        <w:spacing w:after="0" w:line="387"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Transportation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Pre-Employment Background &amp; Drug Checks:</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Arial" w:cs="Arial" w:eastAsia="Arial" w:hAnsi="Arial"/>
          <w:sz w:val="18"/>
          <w:szCs w:val="18"/>
          <w:color w:val="auto"/>
        </w:rPr>
        <w:t xml:space="preserve">Grocery Outlet will reimburse your airfare and airport parking or transportation fees for </w:t>
      </w:r>
      <w:r>
        <w:rPr>
          <w:rFonts w:ascii="Arial" w:cs="Arial" w:eastAsia="Arial" w:hAnsi="Arial"/>
          <w:sz w:val="18"/>
          <w:szCs w:val="18"/>
          <w:b w:val="1"/>
          <w:bCs w:val="1"/>
          <w:color w:val="auto"/>
        </w:rPr>
        <w:t>two (2) home visit per month</w:t>
      </w:r>
      <w:r>
        <w:rPr>
          <w:rFonts w:ascii="Arial" w:cs="Arial" w:eastAsia="Arial" w:hAnsi="Arial"/>
          <w:sz w:val="18"/>
          <w:szCs w:val="18"/>
          <w:color w:val="auto"/>
        </w:rPr>
        <w:t xml:space="preserve"> for a </w:t>
      </w:r>
      <w:r>
        <w:rPr>
          <w:rFonts w:ascii="Arial" w:cs="Arial" w:eastAsia="Arial" w:hAnsi="Arial"/>
          <w:sz w:val="18"/>
          <w:szCs w:val="18"/>
          <w:b w:val="1"/>
          <w:bCs w:val="1"/>
          <w:color w:val="auto"/>
        </w:rPr>
        <w:t>period of twelve (12) months</w:t>
      </w:r>
      <w:r>
        <w:rPr>
          <w:rFonts w:ascii="Arial" w:cs="Arial" w:eastAsia="Arial" w:hAnsi="Arial"/>
          <w:sz w:val="18"/>
          <w:szCs w:val="18"/>
          <w:color w:val="auto"/>
        </w:rPr>
        <w:t>.</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Grocery Outlet will reimburse you for the lease of a vehicle up to a </w:t>
      </w:r>
      <w:r>
        <w:rPr>
          <w:rFonts w:ascii="Arial" w:cs="Arial" w:eastAsia="Arial" w:hAnsi="Arial"/>
          <w:sz w:val="18"/>
          <w:szCs w:val="18"/>
          <w:b w:val="1"/>
          <w:bCs w:val="1"/>
          <w:color w:val="auto"/>
        </w:rPr>
        <w:t>maximum of $650 per month</w:t>
      </w:r>
      <w:r>
        <w:rPr>
          <w:rFonts w:ascii="Arial" w:cs="Arial" w:eastAsia="Arial" w:hAnsi="Arial"/>
          <w:sz w:val="18"/>
          <w:szCs w:val="18"/>
          <w:color w:val="auto"/>
        </w:rPr>
        <w:t xml:space="preserve"> for a </w:t>
      </w:r>
      <w:r>
        <w:rPr>
          <w:rFonts w:ascii="Arial" w:cs="Arial" w:eastAsia="Arial" w:hAnsi="Arial"/>
          <w:sz w:val="18"/>
          <w:szCs w:val="18"/>
          <w:b w:val="1"/>
          <w:bCs w:val="1"/>
          <w:color w:val="auto"/>
        </w:rPr>
        <w:t>period of twelve (12)</w:t>
      </w:r>
      <w:r>
        <w:rPr>
          <w:rFonts w:ascii="Arial" w:cs="Arial" w:eastAsia="Arial" w:hAnsi="Arial"/>
          <w:sz w:val="18"/>
          <w:szCs w:val="18"/>
          <w:color w:val="auto"/>
        </w:rPr>
        <w:t xml:space="preserve"> </w:t>
      </w:r>
      <w:r>
        <w:rPr>
          <w:rFonts w:ascii="Arial" w:cs="Arial" w:eastAsia="Arial" w:hAnsi="Arial"/>
          <w:sz w:val="18"/>
          <w:szCs w:val="18"/>
          <w:b w:val="1"/>
          <w:bCs w:val="1"/>
          <w:color w:val="auto"/>
        </w:rPr>
        <w:t>months</w:t>
      </w:r>
      <w:r>
        <w:rPr>
          <w:rFonts w:ascii="Arial" w:cs="Arial" w:eastAsia="Arial" w:hAnsi="Arial"/>
          <w:sz w:val="18"/>
          <w:szCs w:val="18"/>
          <w:color w:val="auto"/>
        </w:rPr>
        <w:t>. In addition, Grocery Outlet will reimburse you for maintenance expenses for the leased vehicle up for a period of twelve</w:t>
      </w:r>
      <w:r>
        <w:rPr>
          <w:rFonts w:ascii="Arial" w:cs="Arial" w:eastAsia="Arial" w:hAnsi="Arial"/>
          <w:sz w:val="18"/>
          <w:szCs w:val="18"/>
          <w:b w:val="1"/>
          <w:bCs w:val="1"/>
          <w:color w:val="auto"/>
        </w:rPr>
        <w:t xml:space="preserve"> </w:t>
      </w:r>
      <w:r>
        <w:rPr>
          <w:rFonts w:ascii="Arial" w:cs="Arial" w:eastAsia="Arial" w:hAnsi="Arial"/>
          <w:sz w:val="18"/>
          <w:szCs w:val="18"/>
          <w:color w:val="auto"/>
        </w:rPr>
        <w:t>(12) months.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 the temporary housing, home visits and transportation expense outlined above, Grocery Outlet requires receipts for all expenses incurred in order to be eligible for reimbursement.</w:t>
      </w:r>
    </w:p>
    <w:p>
      <w:pPr>
        <w:spacing w:after="0" w:line="3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Housing during the emersion time (October – December/January) will be paid be Grocery Outlet as travel reimbursement expense. This will include airfare, hotel/meals (until appropriate accommodation is identified - corporate or longer term AirBnB), transportation to/from the airport and car rental. This is not considered part of the relocation or temporary housing plan.</w:t>
      </w:r>
    </w:p>
    <w:p>
      <w:pPr>
        <w:spacing w:after="0" w:line="200" w:lineRule="exact"/>
        <w:rPr>
          <w:sz w:val="20"/>
          <w:szCs w:val="20"/>
          <w:color w:val="auto"/>
        </w:rPr>
      </w:pPr>
    </w:p>
    <w:p>
      <w:pPr>
        <w:spacing w:after="0" w:line="390" w:lineRule="exact"/>
        <w:rPr>
          <w:sz w:val="20"/>
          <w:szCs w:val="20"/>
          <w:color w:val="auto"/>
        </w:rPr>
      </w:pPr>
    </w:p>
    <w:p>
      <w:pPr>
        <w:jc w:val="both"/>
        <w:ind w:left="740"/>
        <w:spacing w:after="0" w:line="257" w:lineRule="auto"/>
        <w:rPr>
          <w:sz w:val="20"/>
          <w:szCs w:val="20"/>
          <w:color w:val="auto"/>
        </w:rPr>
      </w:pPr>
      <w:r>
        <w:rPr>
          <w:rFonts w:ascii="Arial" w:cs="Arial" w:eastAsia="Arial" w:hAnsi="Arial"/>
          <w:sz w:val="18"/>
          <w:szCs w:val="18"/>
          <w:b w:val="1"/>
          <w:bCs w:val="1"/>
          <w:color w:val="auto"/>
        </w:rPr>
        <w:t xml:space="preserve">This offer of employment is conditional and is contingent upon satisfactory completion of a background check and pre-employment drug test. </w:t>
      </w:r>
      <w:r>
        <w:rPr>
          <w:rFonts w:ascii="Arial" w:cs="Arial" w:eastAsia="Arial" w:hAnsi="Arial"/>
          <w:sz w:val="18"/>
          <w:szCs w:val="18"/>
          <w:color w:val="auto"/>
        </w:rPr>
        <w:t>Grocery Outlet will provide you with instructions for scheduling your drug test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required information for completion of a background check.</w:t>
      </w:r>
    </w:p>
    <w:p>
      <w:pPr>
        <w:spacing w:after="0" w:line="1" w:lineRule="exact"/>
        <w:rPr>
          <w:sz w:val="20"/>
          <w:szCs w:val="20"/>
          <w:color w:val="auto"/>
        </w:rPr>
      </w:pPr>
    </w:p>
    <w:p>
      <w:pPr>
        <w:ind w:left="1060" w:hanging="162"/>
        <w:spacing w:after="0" w:line="260" w:lineRule="auto"/>
        <w:tabs>
          <w:tab w:leader="none" w:pos="10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You must successfully complete a pre-employment drug screen test within 48-business hours of receipt of instructions for scheduling from Grocery Outlet.</w:t>
      </w:r>
    </w:p>
    <w:p>
      <w:pPr>
        <w:spacing w:after="0" w:line="77"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In some situations, you may start work while the results of your background check and/or drug test are still pending. In such cases, we reserve the right to terminate your employment with Grocery Outlet should the results of your background check will not be satisfactory or if you fail your drug test.</w:t>
      </w:r>
    </w:p>
    <w:p>
      <w:pPr>
        <w:spacing w:after="0" w:line="200" w:lineRule="exact"/>
        <w:rPr>
          <w:sz w:val="20"/>
          <w:szCs w:val="20"/>
          <w:color w:val="auto"/>
        </w:rPr>
      </w:pPr>
    </w:p>
    <w:p>
      <w:pPr>
        <w:sectPr>
          <w:pgSz w:w="11900" w:h="16838" w:orient="portrait"/>
          <w:cols w:equalWidth="0" w:num="2">
            <w:col w:w="1320" w:space="420"/>
            <w:col w:w="9440"/>
          </w:cols>
          <w:pgMar w:left="340" w:top="1336" w:right="37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w:t>
      </w:r>
    </w:p>
    <w:p>
      <w:pPr>
        <w:spacing w:after="0" w:line="27" w:lineRule="exact"/>
        <w:rPr>
          <w:sz w:val="20"/>
          <w:szCs w:val="20"/>
          <w:color w:val="auto"/>
        </w:rPr>
      </w:pPr>
    </w:p>
    <w:p>
      <w:pPr>
        <w:jc w:val="both"/>
        <w:ind w:left="1680" w:right="1460" w:hanging="1673"/>
        <w:spacing w:after="0" w:line="271" w:lineRule="auto"/>
        <w:rPr>
          <w:sz w:val="20"/>
          <w:szCs w:val="20"/>
          <w:color w:val="auto"/>
        </w:rPr>
      </w:pPr>
      <w:r>
        <w:rPr>
          <w:rFonts w:ascii="Arial" w:cs="Arial" w:eastAsia="Arial" w:hAnsi="Arial"/>
          <w:sz w:val="18"/>
          <w:szCs w:val="18"/>
          <w:b w:val="1"/>
          <w:bCs w:val="1"/>
          <w:color w:val="auto"/>
        </w:rPr>
        <w:t xml:space="preserve">Verification:Pursuant to federal law, you will be asked to provide satisfactory proof of your eligibility to work in the United States on your first day of work. </w:t>
      </w:r>
      <w:r>
        <w:rPr>
          <w:rFonts w:ascii="Arial" w:cs="Arial" w:eastAsia="Arial" w:hAnsi="Arial"/>
          <w:sz w:val="18"/>
          <w:szCs w:val="18"/>
          <w:color w:val="auto"/>
        </w:rPr>
        <w:t>Information regarding the required documentation will be provided to you upon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job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857885</wp:posOffset>
            </wp:positionV>
            <wp:extent cx="685800" cy="685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ectPr>
          <w:pgSz w:w="11900" w:h="16838" w:orient="portrait"/>
          <w:cols w:equalWidth="0" w:num="1">
            <w:col w:w="11180"/>
          </w:cols>
          <w:pgMar w:left="340" w:top="1336" w:right="37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18"/>
          <w:szCs w:val="18"/>
          <w:b w:val="1"/>
          <w:bCs w:val="1"/>
          <w:color w:val="auto"/>
        </w:rPr>
        <w:t>At-Will</w:t>
      </w:r>
    </w:p>
    <w:p>
      <w:pPr>
        <w:spacing w:after="0" w:line="27" w:lineRule="exact"/>
        <w:rPr>
          <w:sz w:val="20"/>
          <w:szCs w:val="20"/>
          <w:color w:val="auto"/>
        </w:rPr>
      </w:pPr>
    </w:p>
    <w:p>
      <w:pPr>
        <w:jc w:val="both"/>
        <w:ind w:left="2020" w:right="1500" w:hanging="1983"/>
        <w:spacing w:after="0" w:line="273" w:lineRule="auto"/>
        <w:rPr>
          <w:sz w:val="20"/>
          <w:szCs w:val="20"/>
          <w:color w:val="auto"/>
        </w:rPr>
      </w:pPr>
      <w:r>
        <w:rPr>
          <w:rFonts w:ascii="Arial" w:cs="Arial" w:eastAsia="Arial" w:hAnsi="Arial"/>
          <w:sz w:val="17"/>
          <w:szCs w:val="17"/>
          <w:b w:val="1"/>
          <w:bCs w:val="1"/>
          <w:color w:val="auto"/>
        </w:rPr>
        <w:t>Employment:</w:t>
      </w:r>
      <w:r>
        <w:rPr>
          <w:rFonts w:ascii="Arial" w:cs="Arial" w:eastAsia="Arial" w:hAnsi="Arial"/>
          <w:sz w:val="17"/>
          <w:szCs w:val="17"/>
          <w:color w:val="auto"/>
        </w:rPr>
        <w:t>Youremployment with the Company is at all times “At-Will.” This means that you have the right to terminate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at any time and for any reason. Likewise, the Company may terminate your employment with or without cause at any time and for any reason. Accordingly, this letter is not to be construed or interpreted as containing any guarantee of continued employment. As such, the recitation of certain time periods in this letter is solely for the purpose of defining your compensation. It is also not to be construed or interpreted as containing any guarantee of any level or nature of compensation.</w:t>
      </w:r>
    </w:p>
    <w:p>
      <w:pPr>
        <w:spacing w:after="0" w:line="137" w:lineRule="exact"/>
        <w:rPr>
          <w:sz w:val="20"/>
          <w:szCs w:val="20"/>
          <w:color w:val="auto"/>
        </w:rPr>
      </w:pPr>
    </w:p>
    <w:p>
      <w:pPr>
        <w:jc w:val="both"/>
        <w:ind w:left="1720" w:right="1320" w:hanging="1295"/>
        <w:spacing w:after="0" w:line="259" w:lineRule="auto"/>
        <w:rPr>
          <w:sz w:val="20"/>
          <w:szCs w:val="20"/>
          <w:color w:val="auto"/>
        </w:rPr>
      </w:pPr>
      <w:r>
        <w:rPr>
          <w:rFonts w:ascii="Arial" w:cs="Arial" w:eastAsia="Arial" w:hAnsi="Arial"/>
          <w:sz w:val="18"/>
          <w:szCs w:val="18"/>
          <w:color w:val="auto"/>
        </w:rPr>
        <w:t>Employees are eligible to defer up to 50% of their annual compensation (up to the legally allowed maximum) and are eligible to participate immediately following three months of continuous service with automatic enrollment beginning with a 4% contribution and an automatic annual increase of 1% per year up to a cap of 10%, unless you elect otherwise.</w:t>
      </w:r>
    </w:p>
    <w:p>
      <w:pPr>
        <w:spacing w:after="0" w:line="214" w:lineRule="exact"/>
        <w:rPr>
          <w:sz w:val="20"/>
          <w:szCs w:val="20"/>
          <w:color w:val="auto"/>
        </w:rPr>
      </w:pPr>
    </w:p>
    <w:p>
      <w:pPr>
        <w:jc w:val="both"/>
        <w:ind w:left="1720" w:right="1340" w:hanging="1295"/>
        <w:spacing w:after="0" w:line="257" w:lineRule="auto"/>
        <w:rPr>
          <w:sz w:val="20"/>
          <w:szCs w:val="20"/>
          <w:color w:val="auto"/>
        </w:rPr>
      </w:pPr>
      <w:r>
        <w:rPr>
          <w:rFonts w:ascii="Arial" w:cs="Arial" w:eastAsia="Arial" w:hAnsi="Arial"/>
          <w:sz w:val="18"/>
          <w:szCs w:val="18"/>
          <w:color w:val="auto"/>
        </w:rPr>
        <w:t>Grocery Outlet will contribute $0.35 for each dollar that you contribute up to a maximum of 6% of your eligible pay. To be eligible for discretionary matching contributions you are required to: make employee pretax deferral contributions or Roth 401(k) after tax deferral contributions. Contributions made by Grocery Outlet to your 401(k) are subject to a vesting schedule. Further information regarding the 401(k), discretionary contributions and the vesting schedule will be provided at time of enrollment.</w:t>
      </w:r>
    </w:p>
    <w:p>
      <w:pPr>
        <w:sectPr>
          <w:pgSz w:w="11900" w:h="16838" w:orient="portrait"/>
          <w:cols w:equalWidth="0" w:num="1">
            <w:col w:w="11240"/>
          </w:cols>
          <w:pgMar w:left="320" w:top="135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Life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line="347" w:lineRule="auto"/>
        <w:rPr>
          <w:sz w:val="20"/>
          <w:szCs w:val="20"/>
          <w:color w:val="auto"/>
        </w:rPr>
      </w:pPr>
      <w:r>
        <w:rPr>
          <w:rFonts w:ascii="Arial" w:cs="Arial" w:eastAsia="Arial" w:hAnsi="Arial"/>
          <w:sz w:val="16"/>
          <w:szCs w:val="16"/>
          <w:b w:val="1"/>
          <w:bCs w:val="1"/>
          <w:color w:val="auto"/>
        </w:rPr>
        <w:t>Medical, Dental &amp; Vision:</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Holidays: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Vacation: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Sick Leave: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Group Term life and Accidental Dismemberment Insurance equal to one time your annual base salary is provided on the first day of the month following the month you complete 30 days of continuous employment. The cost of coverage is paid in full by the Company.</w:t>
      </w:r>
    </w:p>
    <w:p>
      <w:pPr>
        <w:spacing w:after="0" w:line="373"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color w:val="auto"/>
        </w:rPr>
        <w:t xml:space="preserve">Eligible for Medical, Vision, Dental and Long-Term Disability Insurance </w:t>
      </w:r>
      <w:r>
        <w:rPr>
          <w:rFonts w:ascii="Arial" w:cs="Arial" w:eastAsia="Arial" w:hAnsi="Arial"/>
          <w:sz w:val="18"/>
          <w:szCs w:val="18"/>
          <w:u w:val="single" w:color="auto"/>
          <w:color w:val="auto"/>
        </w:rPr>
        <w:t>starting the first day of the month following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month you complete 30 days of continuous employment</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Grocery Outlet Corporate Offices observes </w:t>
      </w:r>
      <w:r>
        <w:rPr>
          <w:rFonts w:ascii="Arial" w:cs="Arial" w:eastAsia="Arial" w:hAnsi="Arial"/>
          <w:sz w:val="18"/>
          <w:szCs w:val="18"/>
          <w:b w:val="1"/>
          <w:bCs w:val="1"/>
          <w:color w:val="auto"/>
        </w:rPr>
        <w:t>nine (9) holidays per year.</w:t>
      </w:r>
    </w:p>
    <w:p>
      <w:pPr>
        <w:spacing w:after="0" w:line="189"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You will be eligible to participate in the Executive Vacation Plan. This plan enables you to self-manage your work/life balance through offering unlimited vacation days. The Company does require appropriate notification of any planned time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Grocery Outlet will compensate you for your pre-arranged vacation October 15-22, 2019.</w:t>
      </w:r>
    </w:p>
    <w:p>
      <w:pPr>
        <w:spacing w:after="0" w:line="387"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Upon hire all employees will begin to accrue </w:t>
      </w:r>
      <w:r>
        <w:rPr>
          <w:rFonts w:ascii="Arial" w:cs="Arial" w:eastAsia="Arial" w:hAnsi="Arial"/>
          <w:sz w:val="18"/>
          <w:szCs w:val="18"/>
          <w:b w:val="1"/>
          <w:bCs w:val="1"/>
          <w:color w:val="auto"/>
        </w:rPr>
        <w:t>one (1) hour for every thirty (30) hours worked</w:t>
      </w:r>
      <w:r>
        <w:rPr>
          <w:rFonts w:ascii="Arial" w:cs="Arial" w:eastAsia="Arial" w:hAnsi="Arial"/>
          <w:sz w:val="18"/>
          <w:szCs w:val="18"/>
          <w:color w:val="auto"/>
        </w:rPr>
        <w:t xml:space="preserve"> towards the accrual of Paid Absence Days. Paid Absence Days accrue only in one-hour increments. Paid Absence Days accrue to a maximum of seventy-two (72) hours and can be carried over from year to year.</w:t>
      </w:r>
    </w:p>
    <w:p>
      <w:pPr>
        <w:spacing w:after="0" w:line="200" w:lineRule="exact"/>
        <w:rPr>
          <w:sz w:val="20"/>
          <w:szCs w:val="20"/>
          <w:color w:val="auto"/>
        </w:rPr>
      </w:pPr>
    </w:p>
    <w:p>
      <w:pPr>
        <w:sectPr>
          <w:pgSz w:w="11900" w:h="16838" w:orient="portrait"/>
          <w:cols w:equalWidth="0" w:num="2">
            <w:col w:w="1240" w:space="520"/>
            <w:col w:w="9480"/>
          </w:cols>
          <w:pgMar w:left="320" w:top="1350" w:right="339" w:bottom="1440" w:gutter="0" w:footer="0" w:header="0"/>
          <w:type w:val="continuous"/>
        </w:sectPr>
      </w:pPr>
    </w:p>
    <w:p>
      <w:pPr>
        <w:spacing w:after="0" w:line="12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Heather, I think you understand the uniqueness of Grocery Outlet and the people who make it what it is. We are confident that a career at Grocery Outlet will be highly rewarding and are most eager to have you join us. Please call or email me if you have any questions regarding this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846455</wp:posOffset>
            </wp:positionV>
            <wp:extent cx="685800" cy="685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t>/s/ Eric Lindberg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Lindberg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ectPr>
          <w:pgSz w:w="11900" w:h="16838" w:orient="portrait"/>
          <w:cols w:equalWidth="0" w:num="1">
            <w:col w:w="10139"/>
          </w:cols>
          <w:pgMar w:left="320" w:top="1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Heather Mayo</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Heather Mayo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9/9/2019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691515</wp:posOffset>
            </wp:positionV>
            <wp:extent cx="685800" cy="685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ectPr>
          <w:pgSz w:w="11900" w:h="16838" w:orient="portrait"/>
          <w:cols w:equalWidth="0" w:num="2">
            <w:col w:w="5440" w:space="720"/>
            <w:col w:w="3979"/>
          </w:cols>
          <w:pgMar w:left="320" w:top="1286" w:right="1440"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23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21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4" w:lineRule="exact"/>
        <w:rPr>
          <w:rFonts w:ascii="Arial" w:cs="Arial" w:eastAsia="Arial" w:hAnsi="Arial"/>
          <w:sz w:val="20"/>
          <w:szCs w:val="20"/>
          <w:color w:val="auto"/>
        </w:rPr>
      </w:pPr>
    </w:p>
    <w:p>
      <w:pPr>
        <w:jc w:val="both"/>
        <w:ind w:left="660" w:hanging="328"/>
        <w:spacing w:after="0" w:line="263"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22"/>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9"/>
          <w:szCs w:val="19"/>
          <w:color w:val="auto"/>
        </w:rPr>
      </w:pPr>
    </w:p>
    <w:p>
      <w:pPr>
        <w:ind w:left="660" w:hanging="328"/>
        <w:spacing w:after="0" w:line="277"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May 12, 2021</w:t>
            </w:r>
          </w:p>
        </w:tc>
        <w:tc>
          <w:tcPr>
            <w:tcW w:w="5800" w:type="dxa"/>
            <w:vAlign w:val="bottom"/>
            <w:gridSpan w:val="2"/>
          </w:tcPr>
          <w:p>
            <w:pPr>
              <w:ind w:left="2480"/>
              <w:spacing w:after="0"/>
              <w:rPr>
                <w:sz w:val="20"/>
                <w:szCs w:val="20"/>
                <w:color w:val="auto"/>
              </w:rPr>
            </w:pPr>
            <w:r>
              <w:rPr>
                <w:rFonts w:ascii="Arial" w:cs="Arial" w:eastAsia="Arial" w:hAnsi="Arial"/>
                <w:sz w:val="18"/>
                <w:szCs w:val="18"/>
                <w:color w:val="auto"/>
              </w:rPr>
              <w:t>By: /s/ Eric J. Lindberg, Jr.</w:t>
            </w:r>
          </w:p>
        </w:tc>
      </w:tr>
      <w:tr>
        <w:trPr>
          <w:trHeight w:val="222"/>
        </w:trPr>
        <w:tc>
          <w:tcPr>
            <w:tcW w:w="3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3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Charles C. Bracher, certify that:</w:t>
      </w:r>
    </w:p>
    <w:p>
      <w:pPr>
        <w:spacing w:after="0" w:line="23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21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4" w:lineRule="exact"/>
        <w:rPr>
          <w:rFonts w:ascii="Arial" w:cs="Arial" w:eastAsia="Arial" w:hAnsi="Arial"/>
          <w:sz w:val="20"/>
          <w:szCs w:val="20"/>
          <w:color w:val="auto"/>
        </w:rPr>
      </w:pPr>
    </w:p>
    <w:p>
      <w:pPr>
        <w:jc w:val="both"/>
        <w:ind w:left="660" w:hanging="328"/>
        <w:spacing w:after="0" w:line="263"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23"/>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9"/>
          <w:szCs w:val="19"/>
          <w:color w:val="auto"/>
        </w:rPr>
      </w:pPr>
    </w:p>
    <w:p>
      <w:pPr>
        <w:ind w:left="660" w:hanging="328"/>
        <w:spacing w:after="0" w:line="277"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May 12, 2021</w:t>
            </w:r>
          </w:p>
        </w:tc>
        <w:tc>
          <w:tcPr>
            <w:tcW w:w="5800" w:type="dxa"/>
            <w:vAlign w:val="bottom"/>
            <w:gridSpan w:val="2"/>
          </w:tcPr>
          <w:p>
            <w:pPr>
              <w:ind w:left="2480"/>
              <w:spacing w:after="0"/>
              <w:rPr>
                <w:sz w:val="20"/>
                <w:szCs w:val="20"/>
                <w:color w:val="auto"/>
              </w:rPr>
            </w:pPr>
            <w:r>
              <w:rPr>
                <w:rFonts w:ascii="Arial" w:cs="Arial" w:eastAsia="Arial" w:hAnsi="Arial"/>
                <w:sz w:val="18"/>
                <w:szCs w:val="18"/>
                <w:color w:val="auto"/>
              </w:rPr>
              <w:t>By: /s/ Charles C. Bracher</w:t>
            </w:r>
          </w:p>
        </w:tc>
      </w:tr>
      <w:tr>
        <w:trPr>
          <w:trHeight w:val="222"/>
        </w:trPr>
        <w:tc>
          <w:tcPr>
            <w:tcW w:w="3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3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April 3, 2021 as filed with the Securities and Exchange Commission on the date hereof (the “Report”), I, Eric J. Lindberg, Jr.,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12, 2021</w:t>
            </w:r>
          </w:p>
        </w:tc>
        <w:tc>
          <w:tcPr>
            <w:tcW w:w="5480" w:type="dxa"/>
            <w:vAlign w:val="bottom"/>
            <w:gridSpan w:val="2"/>
          </w:tcPr>
          <w:p>
            <w:pPr>
              <w:ind w:left="2160"/>
              <w:spacing w:after="0"/>
              <w:rPr>
                <w:sz w:val="20"/>
                <w:szCs w:val="20"/>
                <w:color w:val="auto"/>
              </w:rPr>
            </w:pPr>
            <w:r>
              <w:rPr>
                <w:rFonts w:ascii="Arial" w:cs="Arial" w:eastAsia="Arial" w:hAnsi="Arial"/>
                <w:sz w:val="18"/>
                <w:szCs w:val="18"/>
                <w:color w:val="auto"/>
              </w:rPr>
              <w:t>By: /s/ Eric J. Lindberg, Jr.</w:t>
            </w:r>
          </w:p>
        </w:tc>
      </w:tr>
      <w:tr>
        <w:trPr>
          <w:trHeight w:val="222"/>
        </w:trPr>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29"/>
        </w:trPr>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April 3, 2021 as filed with the Securities and Exchange Commission on the date hereof (the “Report”), I, Charles C. Bracher,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12, 2021</w:t>
            </w:r>
          </w:p>
        </w:tc>
        <w:tc>
          <w:tcPr>
            <w:tcW w:w="5480" w:type="dxa"/>
            <w:vAlign w:val="bottom"/>
            <w:gridSpan w:val="2"/>
          </w:tcPr>
          <w:p>
            <w:pPr>
              <w:ind w:left="2160"/>
              <w:spacing w:after="0"/>
              <w:rPr>
                <w:sz w:val="20"/>
                <w:szCs w:val="20"/>
                <w:color w:val="auto"/>
              </w:rPr>
            </w:pPr>
            <w:r>
              <w:rPr>
                <w:rFonts w:ascii="Arial" w:cs="Arial" w:eastAsia="Arial" w:hAnsi="Arial"/>
                <w:sz w:val="18"/>
                <w:szCs w:val="18"/>
                <w:color w:val="auto"/>
              </w:rPr>
              <w:t>By: /s/ Charles C. Bracher</w:t>
            </w:r>
          </w:p>
        </w:tc>
      </w:tr>
      <w:tr>
        <w:trPr>
          <w:trHeight w:val="222"/>
        </w:trPr>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29"/>
        </w:trPr>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04"/>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64" Type="http://schemas.openxmlformats.org/officeDocument/2006/relationships/hyperlink" Target="http://www.sec.gov/Archives/edgar/data/1771515/000119312519180291/d729208dex41.htm" TargetMode="External"/><Relationship Id="rId65" Type="http://schemas.openxmlformats.org/officeDocument/2006/relationships/hyperlink" Target="http://www.sec.gov/Archives/edgar/data/1771515/000119312519180291/d72920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2021-05-12T15:26:36Z</dcterms:created>
  <dcterms:modified xsi:type="dcterms:W3CDTF">2021-05-12T15:26:36Z</dcterms:modified>
</cp:coreProperties>
</file>