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364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Miller Paul Blaine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39"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EMERYVILLE</w:t>
        <w:tab/>
        <w:t>CA</w:t>
      </w:r>
      <w:r>
        <w:rPr>
          <w:sz w:val="20"/>
          <w:szCs w:val="20"/>
          <w:color w:val="auto"/>
        </w:rPr>
        <w:tab/>
      </w:r>
      <w:r>
        <w:rPr>
          <w:rFonts w:ascii="Times New Roman" w:cs="Times New Roman" w:eastAsia="Times New Roman" w:hAnsi="Times New Roman"/>
          <w:sz w:val="16"/>
          <w:szCs w:val="16"/>
          <w:color w:val="0000FF"/>
        </w:rPr>
        <w:t>94608</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200" w:space="6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27,431</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49,171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41,146</w:t>
            </w:r>
          </w:p>
        </w:tc>
        <w:tc>
          <w:tcPr>
            <w:tcW w:w="30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41,146</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41,146</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27,431 restricted stock units ("RSUs") granted on June 15, 2026 to the reporting person that will entitle the reporting person to receive one share of the Issuer's Common Stock per RSU. The RSUs will vest in three equal installments on May 20 of each of 2027, 2028 and 2029, subject to the reporting person's completion of service through such vesting dates.</w:t>
      </w:r>
    </w:p>
    <w:p>
      <w:pPr>
        <w:spacing w:after="0" w:line="18" w:lineRule="exact"/>
        <w:rPr>
          <w:rFonts w:ascii="Times New Roman" w:cs="Times New Roman" w:eastAsia="Times New Roman" w:hAnsi="Times New Roman"/>
          <w:sz w:val="13"/>
          <w:szCs w:val="13"/>
          <w:color w:val="008000"/>
        </w:rPr>
      </w:pPr>
    </w:p>
    <w:p>
      <w:pPr>
        <w:ind w:left="40" w:right="16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performance-based RSUs ("PSUs"). Each PSU represents a right to receive one share of the Issuer's common stock upon vesting. The PSUs are earned based on the achievement of specified share price goals for specified time periods during a three-year performance period ending on the last day of the Issuer's fiscal year 2028. The Reporting Person could earn 0-200% of the amount reported depending on the level of performance achieved. The PSUs will vest upon the certification of achievement by the Compensation Committee of the Board of Directors of the Issuer following the end of the performance period, subject to the Reporting Person's continued employment or service with the Issuer as contemplated in the PSU Award Agreement.</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person's title is EVP, Chief Purchasing &amp; Merchandising Officer.</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Luke D. Thompson, Luke D.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Thompson,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14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41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40135"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2026-06-16T17:40:56Z</dcterms:created>
  <dcterms:modified xsi:type="dcterms:W3CDTF">2026-06-16T17:40:56Z</dcterms:modified>
</cp:coreProperties>
</file>