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07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07149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91"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1">
        <w:r>
          <w:rPr>
            <w:rFonts w:ascii="Times New Roman" w:cs="Times New Roman" w:eastAsia="Times New Roman" w:hAnsi="Times New Roman"/>
            <w:sz w:val="17"/>
            <w:szCs w:val="17"/>
            <w:u w:val="single" w:color="auto"/>
            <w:color w:val="0000EE"/>
          </w:rPr>
          <w:t>Leary Susan Michelle</w:t>
        </w:r>
      </w:hyperlink>
    </w:p>
    <w:p>
      <w:pPr>
        <w:spacing w:after="0" w:line="232"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GROCERY OUTLET HOLDING CORP.</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5650 HOLLIS STREET</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720" w:type="dxa"/>
            <w:vAlign w:val="bottom"/>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1"/>
                <w:szCs w:val="11"/>
                <w:color w:val="auto"/>
              </w:rPr>
            </w:pPr>
          </w:p>
        </w:tc>
      </w:tr>
      <w:tr>
        <w:trPr>
          <w:trHeight w:val="184"/>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EMERYVILLE   CA</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94608</w:t>
            </w: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253" w:lineRule="auto"/>
        <w:tabs>
          <w:tab w:leader="none" w:pos="115" w:val="left"/>
        </w:tabs>
        <w:numPr>
          <w:ilvl w:val="0"/>
          <w:numId w:val="1"/>
        </w:numPr>
        <w:rPr>
          <w:rFonts w:ascii="Arial" w:cs="Arial" w:eastAsia="Arial" w:hAnsi="Arial"/>
          <w:sz w:val="10"/>
          <w:szCs w:val="10"/>
          <w:color w:val="auto"/>
        </w:rPr>
      </w:pPr>
      <w:r>
        <w:rPr>
          <w:rFonts w:ascii="Arial" w:cs="Arial" w:eastAsia="Arial" w:hAnsi="Arial"/>
          <w:sz w:val="10"/>
          <w:szCs w:val="10"/>
          <w:color w:val="auto"/>
        </w:rPr>
        <w:t>Date of Event Requiring Statement (Month/Day/Year)</w:t>
      </w:r>
    </w:p>
    <w:p>
      <w:pPr>
        <w:spacing w:after="0"/>
        <w:rPr>
          <w:sz w:val="20"/>
          <w:szCs w:val="20"/>
          <w:color w:val="auto"/>
        </w:rPr>
      </w:pPr>
      <w:r>
        <w:rPr>
          <w:rFonts w:ascii="Times New Roman" w:cs="Times New Roman" w:eastAsia="Times New Roman" w:hAnsi="Times New Roman"/>
          <w:sz w:val="13"/>
          <w:szCs w:val="13"/>
          <w:color w:val="0000FF"/>
        </w:rPr>
        <w:t>06/09/2026</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Grocery Outlet Holding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080" w:type="dxa"/>
            <w:vAlign w:val="bottom"/>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80" w:type="dxa"/>
            <w:vAlign w:val="bottom"/>
          </w:tcPr>
          <w:p>
            <w:pPr>
              <w:ind w:left="520"/>
              <w:spacing w:after="0" w:line="93" w:lineRule="exact"/>
              <w:rPr>
                <w:sz w:val="20"/>
                <w:szCs w:val="20"/>
                <w:color w:val="auto"/>
              </w:rPr>
            </w:pPr>
            <w:r>
              <w:rPr>
                <w:rFonts w:ascii="Arial" w:cs="Arial" w:eastAsia="Arial" w:hAnsi="Arial"/>
                <w:sz w:val="10"/>
                <w:szCs w:val="10"/>
                <w:color w:val="auto"/>
              </w:rPr>
              <w:t>Director</w:t>
            </w:r>
          </w:p>
        </w:tc>
        <w:tc>
          <w:tcPr>
            <w:tcW w:w="1180" w:type="dxa"/>
            <w:vAlign w:val="bottom"/>
          </w:tcPr>
          <w:p>
            <w:pPr>
              <w:ind w:left="4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80" w:type="dxa"/>
            <w:vAlign w:val="bottom"/>
          </w:tcPr>
          <w:p>
            <w:pPr>
              <w:ind w:left="520"/>
              <w:spacing w:after="0"/>
              <w:rPr>
                <w:sz w:val="20"/>
                <w:szCs w:val="20"/>
                <w:color w:val="auto"/>
              </w:rPr>
            </w:pPr>
            <w:r>
              <w:rPr>
                <w:rFonts w:ascii="Arial" w:cs="Arial" w:eastAsia="Arial" w:hAnsi="Arial"/>
                <w:sz w:val="10"/>
                <w:szCs w:val="10"/>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74"/>
        </w:trPr>
        <w:tc>
          <w:tcPr>
            <w:tcW w:w="2080" w:type="dxa"/>
            <w:vAlign w:val="bottom"/>
            <w:vMerge w:val="restart"/>
          </w:tcPr>
          <w:p>
            <w:pPr>
              <w:ind w:left="520"/>
              <w:spacing w:after="0"/>
              <w:rPr>
                <w:sz w:val="20"/>
                <w:szCs w:val="20"/>
                <w:color w:val="auto"/>
              </w:rPr>
            </w:pPr>
            <w:r>
              <w:rPr>
                <w:rFonts w:ascii="Arial" w:cs="Arial" w:eastAsia="Arial" w:hAnsi="Arial"/>
                <w:sz w:val="10"/>
                <w:szCs w:val="10"/>
                <w:color w:val="auto"/>
              </w:rPr>
              <w:t>below)</w:t>
            </w: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62"/>
        </w:trPr>
        <w:tc>
          <w:tcPr>
            <w:tcW w:w="2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80" w:type="dxa"/>
            <w:vAlign w:val="bottom"/>
            <w:vMerge w:val="restart"/>
          </w:tcPr>
          <w:p>
            <w:pPr>
              <w:ind w:left="1140"/>
              <w:spacing w:after="0"/>
              <w:rPr>
                <w:sz w:val="20"/>
                <w:szCs w:val="20"/>
                <w:color w:val="auto"/>
              </w:rPr>
            </w:pPr>
            <w:r>
              <w:rPr>
                <w:rFonts w:ascii="Times New Roman" w:cs="Times New Roman" w:eastAsia="Times New Roman" w:hAnsi="Times New Roman"/>
                <w:sz w:val="13"/>
                <w:szCs w:val="13"/>
                <w:color w:val="0000FF"/>
              </w:rPr>
              <w:t>SVP, Accounting</w:t>
            </w: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3">
            <w:col w:w="2640" w:space="720"/>
            <w:col w:w="1300" w:space="340"/>
            <w:col w:w="602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jc w:val="right"/>
              <w:ind w:right="902"/>
              <w:spacing w:after="0"/>
              <w:rPr>
                <w:sz w:val="20"/>
                <w:szCs w:val="20"/>
                <w:color w:val="auto"/>
              </w:rPr>
            </w:pPr>
            <w:r>
              <w:rPr>
                <w:rFonts w:ascii="Times New Roman" w:cs="Times New Roman" w:eastAsia="Times New Roman" w:hAnsi="Times New Roman"/>
                <w:sz w:val="13"/>
                <w:szCs w:val="13"/>
                <w:color w:val="0000FF"/>
              </w:rPr>
              <w:t>46,209</w:t>
            </w:r>
            <w:r>
              <w:rPr>
                <w:rFonts w:ascii="Times New Roman" w:cs="Times New Roman" w:eastAsia="Times New Roman" w:hAnsi="Times New Roman"/>
                <w:sz w:val="17"/>
                <w:szCs w:val="17"/>
                <w:color w:val="008000"/>
                <w:vertAlign w:val="superscript"/>
              </w:rPr>
              <w:t>(1)(2)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jc w:val="right"/>
              <w:ind w:right="36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w:t>
            </w:r>
          </w:p>
        </w:tc>
        <w:tc>
          <w:tcPr>
            <w:tcW w:w="16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(3)</w:t>
            </w:r>
          </w:p>
        </w:tc>
        <w:tc>
          <w:tcPr>
            <w:tcW w:w="620" w:type="dxa"/>
            <w:vAlign w:val="bottom"/>
          </w:tcPr>
          <w:p>
            <w:pPr>
              <w:jc w:val="right"/>
              <w:ind w:right="211"/>
              <w:spacing w:after="0"/>
              <w:rPr>
                <w:sz w:val="20"/>
                <w:szCs w:val="20"/>
                <w:color w:val="auto"/>
              </w:rPr>
            </w:pPr>
            <w:r>
              <w:rPr>
                <w:rFonts w:ascii="Times New Roman" w:cs="Times New Roman" w:eastAsia="Times New Roman" w:hAnsi="Times New Roman"/>
                <w:sz w:val="9"/>
                <w:szCs w:val="9"/>
                <w:color w:val="008000"/>
              </w:rPr>
              <w:t>(3)</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18,809</w:t>
            </w:r>
          </w:p>
        </w:tc>
        <w:tc>
          <w:tcPr>
            <w:tcW w:w="720" w:type="dxa"/>
            <w:vAlign w:val="bottom"/>
          </w:tcPr>
          <w:p>
            <w:pPr>
              <w:ind w:left="320"/>
              <w:spacing w:after="0"/>
              <w:rPr>
                <w:sz w:val="20"/>
                <w:szCs w:val="20"/>
                <w:color w:val="auto"/>
              </w:rPr>
            </w:pPr>
            <w:r>
              <w:rPr>
                <w:rFonts w:ascii="Times New Roman" w:cs="Times New Roman" w:eastAsia="Times New Roman" w:hAnsi="Times New Roman"/>
                <w:sz w:val="9"/>
                <w:szCs w:val="9"/>
                <w:color w:val="008000"/>
              </w:rPr>
              <w:t>(3)</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60" w:hanging="6"/>
        <w:spacing w:after="0" w:line="251"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34,212 unvested restricted stock units ("RSUs") previously granted on various dates to the reporting person that will entitle the reporting person to receive one share of the Issuer's Common Stock per RSU. The RSUs are subject to the reporting person's completion of service through the following vesting dates: (i) 782 unvested RSUs granted on February 29, 2024 will vest on March 1, 2027; (ii) 3,567 unvested RSUs granted on February 28, 2025 will vest in two remaining equal installments on March 1 of each of 2027 and 2028; (iii) 3,627 unvested RSUs granted on June 12, 2025 will vest in two remaining equal installments on May 20 of each of 2027 and 2028; (iv) 12,540 RSUs granted on March 12, 2026 will vest in three equal installments on March 1 of each of 2027, 2028 and 2029; and (v) 13,696 RSUs granted on March 12, 2026 will vest on March 1, 2027.</w:t>
      </w:r>
    </w:p>
    <w:p>
      <w:pPr>
        <w:spacing w:after="0" w:line="16" w:lineRule="exact"/>
        <w:rPr>
          <w:rFonts w:ascii="Times New Roman" w:cs="Times New Roman" w:eastAsia="Times New Roman" w:hAnsi="Times New Roman"/>
          <w:sz w:val="10"/>
          <w:szCs w:val="10"/>
          <w:color w:val="008000"/>
        </w:rPr>
      </w:pPr>
    </w:p>
    <w:p>
      <w:pPr>
        <w:jc w:val="both"/>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Does not include the following unvested performance-based RSUs ("PSUs") which are eligible to vest upon the achievement of certain performance-based vesting conditions: (i) up to an additional 3,518 unvested PSUs granted on February 29, 2024 at target achievement (or up to an additional 7,036 unvested PSUs at maximum achievement); and (ii) up to an additional 8,025 unvested PSUs granted on February 28, 2025 at target achievement (or up to an additional 16,050 unvested PSUs at maximum achievement).</w:t>
      </w:r>
    </w:p>
    <w:p>
      <w:pPr>
        <w:spacing w:after="0" w:line="3" w:lineRule="exact"/>
        <w:rPr>
          <w:rFonts w:ascii="Times New Roman" w:cs="Times New Roman" w:eastAsia="Times New Roman" w:hAnsi="Times New Roman"/>
          <w:sz w:val="10"/>
          <w:szCs w:val="10"/>
          <w:color w:val="008000"/>
        </w:rPr>
      </w:pPr>
    </w:p>
    <w:p>
      <w:pPr>
        <w:ind w:left="40" w:right="20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grant of PSUs. Each PSU represents a right to receive one share of the Issuer's common stock upon vesting. The PSUs are earned based on the achievement of specified share price goals for specified time periods during a three-year performance period ending on the last day of the Issuer's fiscal year 2028. The Reporting Person could earn 0-200% of the amount reported depending on the level of performance achieved. The PSUs will vest upon the certification of achievement by the Compensation Committee of the Board of Directors of the Issuer following the end of the performance period, subject to the Reporting Person's continued employment or service with the Issuer as contemplated in the PSU Award Agreement.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Luke D. Thompson, Luke D.</w:t>
            </w:r>
          </w:p>
        </w:tc>
        <w:tc>
          <w:tcPr>
            <w:tcW w:w="24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06/16/2026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6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Thompson, Attorney-in-Fact</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420" w:type="dxa"/>
            <w:vAlign w:val="bottom"/>
            <w:gridSpan w:val="2"/>
          </w:tcPr>
          <w:p>
            <w:pPr>
              <w:spacing w:after="0"/>
              <w:rPr>
                <w:sz w:val="15"/>
                <w:szCs w:val="15"/>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54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2140131" TargetMode="External"/><Relationship Id="rId12"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2026-06-16T16:48:36Z</dcterms:created>
  <dcterms:modified xsi:type="dcterms:W3CDTF">2026-06-16T16:48:36Z</dcterms:modified>
</cp:coreProperties>
</file>