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49530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198120</wp:posOffset>
            </wp:positionV>
            <wp:extent cx="327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400" w:hanging="334"/>
        <w:spacing w:after="0"/>
        <w:tabs>
          <w:tab w:leader="none" w:pos="4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2,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 w:lineRule="exact"/>
        <w:rPr>
          <w:sz w:val="24"/>
          <w:szCs w:val="24"/>
          <w:color w:val="auto"/>
        </w:rPr>
      </w:pPr>
    </w:p>
    <w:p>
      <w:pPr>
        <w:ind w:left="400" w:hanging="334"/>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925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Grocery Outlet Holding Corp.</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00" w:type="dxa"/>
            <w:vAlign w:val="bottom"/>
            <w:gridSpan w:val="2"/>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80" w:type="dxa"/>
            <w:vAlign w:val="bottom"/>
            <w:gridSpan w:val="2"/>
          </w:tcPr>
          <w:p>
            <w:pPr>
              <w:jc w:val="right"/>
              <w:ind w:right="753"/>
              <w:spacing w:after="0"/>
              <w:rPr>
                <w:sz w:val="20"/>
                <w:szCs w:val="20"/>
                <w:color w:val="auto"/>
              </w:rPr>
            </w:pPr>
            <w:r>
              <w:rPr>
                <w:rFonts w:ascii="Times New Roman" w:cs="Times New Roman" w:eastAsia="Times New Roman" w:hAnsi="Times New Roman"/>
                <w:sz w:val="18"/>
                <w:szCs w:val="18"/>
                <w:b w:val="1"/>
                <w:bCs w:val="1"/>
                <w:color w:val="auto"/>
              </w:rPr>
              <w:t>47-1874201</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814"/>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40" w:type="dxa"/>
            <w:vAlign w:val="bottom"/>
          </w:tcPr>
          <w:p>
            <w:pPr>
              <w:ind w:left="110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c>
          <w:tcPr>
            <w:tcW w:w="0" w:type="dxa"/>
            <w:vAlign w:val="bottom"/>
          </w:tcPr>
          <w:p>
            <w:pPr>
              <w:spacing w:after="0"/>
              <w:rPr>
                <w:sz w:val="1"/>
                <w:szCs w:val="1"/>
                <w:color w:val="auto"/>
              </w:rPr>
            </w:pPr>
          </w:p>
        </w:tc>
      </w:tr>
      <w:tr>
        <w:trPr>
          <w:trHeight w:val="238"/>
        </w:trPr>
        <w:tc>
          <w:tcPr>
            <w:tcW w:w="3700" w:type="dxa"/>
            <w:vAlign w:val="bottom"/>
            <w:gridSpan w:val="2"/>
          </w:tcPr>
          <w:p>
            <w:pPr>
              <w:jc w:val="center"/>
              <w:ind w:left="814"/>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jc w:val="center"/>
              <w:ind w:left="393"/>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c>
          <w:tcPr>
            <w:tcW w:w="0" w:type="dxa"/>
            <w:vAlign w:val="bottom"/>
          </w:tcPr>
          <w:p>
            <w:pPr>
              <w:spacing w:after="0"/>
              <w:rPr>
                <w:sz w:val="1"/>
                <w:szCs w:val="1"/>
                <w:color w:val="auto"/>
              </w:rPr>
            </w:pPr>
          </w:p>
        </w:tc>
      </w:tr>
      <w:tr>
        <w:trPr>
          <w:trHeight w:val="335"/>
        </w:trPr>
        <w:tc>
          <w:tcPr>
            <w:tcW w:w="7560" w:type="dxa"/>
            <w:vAlign w:val="bottom"/>
            <w:gridSpan w:val="7"/>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5650 Hollis Street, Emeryville, California</w:t>
            </w:r>
          </w:p>
        </w:tc>
        <w:tc>
          <w:tcPr>
            <w:tcW w:w="3680" w:type="dxa"/>
            <w:vAlign w:val="bottom"/>
            <w:gridSpan w:val="2"/>
          </w:tcPr>
          <w:p>
            <w:pPr>
              <w:jc w:val="right"/>
              <w:ind w:right="973"/>
              <w:spacing w:after="0"/>
              <w:rPr>
                <w:sz w:val="20"/>
                <w:szCs w:val="20"/>
                <w:color w:val="auto"/>
              </w:rPr>
            </w:pPr>
            <w:r>
              <w:rPr>
                <w:rFonts w:ascii="Times New Roman" w:cs="Times New Roman" w:eastAsia="Times New Roman" w:hAnsi="Times New Roman"/>
                <w:sz w:val="18"/>
                <w:szCs w:val="18"/>
                <w:b w:val="1"/>
                <w:bCs w:val="1"/>
                <w:color w:val="auto"/>
              </w:rPr>
              <w:t>94608</w:t>
            </w:r>
          </w:p>
        </w:tc>
        <w:tc>
          <w:tcPr>
            <w:tcW w:w="0" w:type="dxa"/>
            <w:vAlign w:val="bottom"/>
          </w:tcPr>
          <w:p>
            <w:pPr>
              <w:spacing w:after="0"/>
              <w:rPr>
                <w:sz w:val="1"/>
                <w:szCs w:val="1"/>
                <w:color w:val="auto"/>
              </w:rPr>
            </w:pPr>
          </w:p>
        </w:tc>
      </w:tr>
      <w:tr>
        <w:trPr>
          <w:trHeight w:val="212"/>
        </w:trPr>
        <w:tc>
          <w:tcPr>
            <w:tcW w:w="3700" w:type="dxa"/>
            <w:vAlign w:val="bottom"/>
            <w:gridSpan w:val="2"/>
          </w:tcPr>
          <w:p>
            <w:pPr>
              <w:jc w:val="center"/>
              <w:ind w:left="814"/>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3160" w:type="dxa"/>
            <w:vAlign w:val="bottom"/>
            <w:gridSpan w:val="3"/>
            <w:vMerge w:val="restart"/>
          </w:tcPr>
          <w:p>
            <w:pPr>
              <w:jc w:val="center"/>
              <w:ind w:left="596"/>
              <w:spacing w:after="0"/>
              <w:rPr>
                <w:sz w:val="20"/>
                <w:szCs w:val="20"/>
                <w:color w:val="auto"/>
              </w:rPr>
            </w:pPr>
            <w:r>
              <w:rPr>
                <w:rFonts w:ascii="Times New Roman" w:cs="Times New Roman" w:eastAsia="Times New Roman" w:hAnsi="Times New Roman"/>
                <w:sz w:val="18"/>
                <w:szCs w:val="18"/>
                <w:b w:val="1"/>
                <w:bCs w:val="1"/>
                <w:color w:val="auto"/>
                <w:w w:val="99"/>
              </w:rPr>
              <w:t>(510) 845-1999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40" w:type="dxa"/>
            <w:vAlign w:val="bottom"/>
          </w:tcPr>
          <w:p>
            <w:pPr>
              <w:jc w:val="center"/>
              <w:ind w:left="393"/>
              <w:spacing w:after="0"/>
              <w:rPr>
                <w:sz w:val="20"/>
                <w:szCs w:val="20"/>
                <w:color w:val="auto"/>
              </w:rPr>
            </w:pPr>
            <w:r>
              <w:rPr>
                <w:rFonts w:ascii="Times New Roman" w:cs="Times New Roman" w:eastAsia="Times New Roman" w:hAnsi="Times New Roman"/>
                <w:sz w:val="16"/>
                <w:szCs w:val="16"/>
                <w:b w:val="1"/>
                <w:bCs w:val="1"/>
                <w:color w:val="auto"/>
              </w:rPr>
              <w:t>(Zip Code)</w:t>
            </w:r>
          </w:p>
        </w:tc>
        <w:tc>
          <w:tcPr>
            <w:tcW w:w="0" w:type="dxa"/>
            <w:vAlign w:val="bottom"/>
          </w:tcPr>
          <w:p>
            <w:pPr>
              <w:spacing w:after="0"/>
              <w:rPr>
                <w:sz w:val="1"/>
                <w:szCs w:val="1"/>
                <w:color w:val="auto"/>
              </w:rPr>
            </w:pPr>
          </w:p>
        </w:tc>
      </w:tr>
      <w:tr>
        <w:trPr>
          <w:trHeight w:val="233"/>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8"/>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6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700" w:type="dxa"/>
            <w:vAlign w:val="bottom"/>
            <w:gridSpan w:val="2"/>
          </w:tcPr>
          <w:p>
            <w:pPr>
              <w:jc w:val="center"/>
              <w:ind w:left="454"/>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gridSpan w:val="3"/>
          </w:tcPr>
          <w:p>
            <w:pPr>
              <w:jc w:val="center"/>
              <w:ind w:right="700"/>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3680" w:type="dxa"/>
            <w:vAlign w:val="bottom"/>
            <w:gridSpan w:val="2"/>
          </w:tcPr>
          <w:p>
            <w:pPr>
              <w:jc w:val="center"/>
              <w:ind w:right="493"/>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7"/>
        </w:trPr>
        <w:tc>
          <w:tcPr>
            <w:tcW w:w="3700" w:type="dxa"/>
            <w:vAlign w:val="bottom"/>
            <w:tcBorders>
              <w:top w:val="single" w:sz="8" w:color="auto"/>
            </w:tcBorders>
            <w:gridSpan w:val="2"/>
          </w:tcPr>
          <w:p>
            <w:pPr>
              <w:jc w:val="center"/>
              <w:ind w:left="454"/>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5"/>
              </w:rPr>
              <w:t>GO</w:t>
            </w: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680" w:type="dxa"/>
            <w:vAlign w:val="bottom"/>
            <w:tcBorders>
              <w:top w:val="single" w:sz="8" w:color="auto"/>
            </w:tcBorders>
            <w:gridSpan w:val="2"/>
          </w:tcPr>
          <w:p>
            <w:pPr>
              <w:jc w:val="center"/>
              <w:ind w:right="493"/>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7" w:lineRule="exact"/>
        <w:rPr>
          <w:sz w:val="24"/>
          <w:szCs w:val="24"/>
          <w:color w:val="auto"/>
        </w:rPr>
      </w:pPr>
    </w:p>
    <w:p>
      <w:pPr>
        <w:jc w:val="both"/>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4"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60" w:type="dxa"/>
        <w:tblCellMar>
          <w:top w:w="0" w:type="dxa"/>
          <w:left w:w="0" w:type="dxa"/>
          <w:bottom w:w="0" w:type="dxa"/>
          <w:right w:w="0" w:type="dxa"/>
        </w:tblCellMar>
      </w:tblPr>
      <w:tr>
        <w:trPr>
          <w:trHeight w:val="296"/>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0" w:lineRule="exact"/>
        <w:rPr>
          <w:sz w:val="24"/>
          <w:szCs w:val="24"/>
          <w:color w:val="auto"/>
        </w:rPr>
      </w:pPr>
    </w:p>
    <w:p>
      <w:pPr>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740"/>
        <w:spacing w:after="0" w:line="27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4, 2022, the registrant had 96,930,442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814705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spacing w:after="0" w:line="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9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20" w:type="dxa"/>
            <w:vAlign w:val="bottom"/>
            <w:gridSpan w:val="3"/>
          </w:tcPr>
          <w:p>
            <w:pPr>
              <w:ind w:left="33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195"/>
        </w:trPr>
        <w:tc>
          <w:tcPr>
            <w:tcW w:w="7380" w:type="dxa"/>
            <w:vAlign w:val="bottom"/>
            <w:gridSpan w:val="20"/>
          </w:tcPr>
          <w:p>
            <w:pPr>
              <w:spacing w:after="0" w:line="195" w:lineRule="exact"/>
              <w:rPr>
                <w:sz w:val="20"/>
                <w:szCs w:val="20"/>
                <w:color w:val="auto"/>
              </w:rPr>
            </w:pPr>
            <w:r>
              <w:rPr>
                <w:rFonts w:ascii="Times New Roman" w:cs="Times New Roman" w:eastAsia="Times New Roman" w:hAnsi="Times New Roman"/>
                <w:sz w:val="18"/>
                <w:szCs w:val="18"/>
                <w:color w:val="3051F2"/>
              </w:rPr>
              <w:t>Special Note Regarding Forward-Looking Statements</w:t>
            </w:r>
          </w:p>
        </w:tc>
        <w:tc>
          <w:tcPr>
            <w:tcW w:w="3540" w:type="dxa"/>
            <w:vAlign w:val="bottom"/>
            <w:gridSpan w:val="2"/>
          </w:tcPr>
          <w:p>
            <w:pPr>
              <w:jc w:val="center"/>
              <w:ind w:left="3299"/>
              <w:spacing w:after="0"/>
              <w:rPr>
                <w:sz w:val="20"/>
                <w:szCs w:val="20"/>
                <w:color w:val="auto"/>
              </w:rPr>
            </w:pPr>
            <w:r>
              <w:rPr>
                <w:rFonts w:ascii="Times New Roman" w:cs="Times New Roman" w:eastAsia="Times New Roman" w:hAnsi="Times New Roman"/>
                <w:sz w:val="16"/>
                <w:szCs w:val="16"/>
                <w:color w:val="3051F2"/>
                <w:w w:val="99"/>
              </w:rPr>
              <w:t>2</w:t>
            </w:r>
          </w:p>
        </w:tc>
        <w:tc>
          <w:tcPr>
            <w:tcW w:w="80" w:type="dxa"/>
            <w:vAlign w:val="bottom"/>
          </w:tcPr>
          <w:p>
            <w:pPr>
              <w:spacing w:after="0"/>
              <w:rPr>
                <w:sz w:val="16"/>
                <w:szCs w:val="16"/>
                <w:color w:val="auto"/>
              </w:rPr>
            </w:pPr>
          </w:p>
        </w:tc>
      </w:tr>
      <w:tr>
        <w:trPr>
          <w:trHeight w:val="520"/>
        </w:trPr>
        <w:tc>
          <w:tcPr>
            <w:tcW w:w="940" w:type="dxa"/>
            <w:vAlign w:val="bottom"/>
            <w:tcBorders>
              <w:top w:val="single" w:sz="8" w:color="3051F2"/>
            </w:tcBorders>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56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320" w:type="dxa"/>
            <w:vAlign w:val="bottom"/>
            <w:tcBorders>
              <w:top w:val="single" w:sz="8" w:color="3051F2"/>
            </w:tcBorders>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2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3051F2"/>
            </w:tcBorders>
            <w:gridSpan w:val="8"/>
          </w:tcPr>
          <w:p>
            <w:pPr>
              <w:spacing w:after="0"/>
              <w:rPr>
                <w:sz w:val="20"/>
                <w:szCs w:val="20"/>
                <w:color w:val="auto"/>
              </w:rPr>
            </w:pPr>
            <w:r>
              <w:rPr>
                <w:rFonts w:ascii="Times New Roman" w:cs="Times New Roman" w:eastAsia="Times New Roman" w:hAnsi="Times New Roman"/>
                <w:sz w:val="18"/>
                <w:szCs w:val="18"/>
                <w:color w:val="3051F2"/>
                <w:w w:val="99"/>
              </w:rPr>
              <w:t>Financial Statements (Unaudited)</w:t>
            </w:r>
          </w:p>
        </w:tc>
        <w:tc>
          <w:tcPr>
            <w:tcW w:w="4020" w:type="dxa"/>
            <w:vAlign w:val="bottom"/>
            <w:gridSpan w:val="11"/>
          </w:tcPr>
          <w:p>
            <w:pPr>
              <w:spacing w:after="0"/>
              <w:rPr>
                <w:sz w:val="24"/>
                <w:szCs w:val="24"/>
                <w:color w:val="auto"/>
              </w:rPr>
            </w:pPr>
          </w:p>
        </w:tc>
        <w:tc>
          <w:tcPr>
            <w:tcW w:w="3420" w:type="dxa"/>
            <w:vAlign w:val="bottom"/>
          </w:tcPr>
          <w:p>
            <w:pPr>
              <w:spacing w:after="0"/>
              <w:rPr>
                <w:sz w:val="24"/>
                <w:szCs w:val="24"/>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3</w:t>
            </w:r>
          </w:p>
        </w:tc>
        <w:tc>
          <w:tcPr>
            <w:tcW w:w="80" w:type="dxa"/>
            <w:vAlign w:val="bottom"/>
          </w:tcPr>
          <w:p>
            <w:pPr>
              <w:spacing w:after="0"/>
              <w:rPr>
                <w:sz w:val="24"/>
                <w:szCs w:val="24"/>
                <w:color w:val="auto"/>
              </w:rPr>
            </w:pPr>
          </w:p>
        </w:tc>
      </w:tr>
      <w:tr>
        <w:trPr>
          <w:trHeight w:val="209"/>
        </w:trPr>
        <w:tc>
          <w:tcPr>
            <w:tcW w:w="940" w:type="dxa"/>
            <w:vAlign w:val="bottom"/>
          </w:tcPr>
          <w:p>
            <w:pPr>
              <w:spacing w:after="0"/>
              <w:rPr>
                <w:sz w:val="18"/>
                <w:szCs w:val="18"/>
                <w:color w:val="auto"/>
              </w:rPr>
            </w:pPr>
          </w:p>
        </w:tc>
        <w:tc>
          <w:tcPr>
            <w:tcW w:w="2940" w:type="dxa"/>
            <w:vAlign w:val="bottom"/>
            <w:tcBorders>
              <w:bottom w:val="single" w:sz="8" w:color="3051F2"/>
            </w:tcBorders>
            <w:gridSpan w:val="10"/>
          </w:tcPr>
          <w:p>
            <w:pPr>
              <w:spacing w:after="0"/>
              <w:rPr>
                <w:sz w:val="20"/>
                <w:szCs w:val="20"/>
                <w:color w:val="auto"/>
              </w:rPr>
            </w:pPr>
            <w:r>
              <w:rPr>
                <w:rFonts w:ascii="Times New Roman" w:cs="Times New Roman" w:eastAsia="Times New Roman" w:hAnsi="Times New Roman"/>
                <w:sz w:val="18"/>
                <w:szCs w:val="18"/>
                <w:color w:val="3051F2"/>
                <w:w w:val="99"/>
              </w:rPr>
              <w:t>Condensed Consolidated Balance Sheets</w:t>
            </w:r>
          </w:p>
        </w:tc>
        <w:tc>
          <w:tcPr>
            <w:tcW w:w="3500" w:type="dxa"/>
            <w:vAlign w:val="bottom"/>
            <w:gridSpan w:val="9"/>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3</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5720" w:type="dxa"/>
            <w:vAlign w:val="bottom"/>
            <w:tcBorders>
              <w:bottom w:val="single" w:sz="8" w:color="3051F2"/>
            </w:tcBorders>
            <w:gridSpan w:val="18"/>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Operations and Comprehensive Income</w:t>
            </w:r>
          </w:p>
        </w:tc>
        <w:tc>
          <w:tcPr>
            <w:tcW w:w="7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4</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Condensed Consolidated Statements of Stockholders' Equity</w:t>
            </w:r>
          </w:p>
        </w:tc>
        <w:tc>
          <w:tcPr>
            <w:tcW w:w="3540" w:type="dxa"/>
            <w:vAlign w:val="bottom"/>
            <w:gridSpan w:val="2"/>
          </w:tcPr>
          <w:p>
            <w:pPr>
              <w:jc w:val="center"/>
              <w:ind w:left="3299"/>
              <w:spacing w:after="0"/>
              <w:rPr>
                <w:sz w:val="20"/>
                <w:szCs w:val="20"/>
                <w:color w:val="auto"/>
              </w:rPr>
            </w:pPr>
            <w:r>
              <w:rPr>
                <w:rFonts w:ascii="Times New Roman" w:cs="Times New Roman" w:eastAsia="Times New Roman" w:hAnsi="Times New Roman"/>
                <w:sz w:val="16"/>
                <w:szCs w:val="16"/>
                <w:color w:val="3051F2"/>
                <w:w w:val="99"/>
              </w:rPr>
              <w:t>5</w:t>
            </w:r>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720" w:type="dxa"/>
            <w:vAlign w:val="bottom"/>
            <w:tcBorders>
              <w:top w:val="single" w:sz="8" w:color="3051F2"/>
              <w:bottom w:val="single" w:sz="8" w:color="3051F2"/>
            </w:tcBorders>
            <w:gridSpan w:val="13"/>
          </w:tcPr>
          <w:p>
            <w:pPr>
              <w:spacing w:after="0"/>
              <w:rPr>
                <w:sz w:val="20"/>
                <w:szCs w:val="20"/>
                <w:color w:val="auto"/>
              </w:rPr>
            </w:pPr>
            <w:r>
              <w:rPr>
                <w:rFonts w:ascii="Times New Roman" w:cs="Times New Roman" w:eastAsia="Times New Roman" w:hAnsi="Times New Roman"/>
                <w:sz w:val="18"/>
                <w:szCs w:val="18"/>
                <w:color w:val="3051F2"/>
                <w:w w:val="99"/>
              </w:rPr>
              <w:t>Condensed Consolidated Statements of Cash Flows</w:t>
            </w:r>
          </w:p>
        </w:tc>
        <w:tc>
          <w:tcPr>
            <w:tcW w:w="640" w:type="dxa"/>
            <w:vAlign w:val="bottom"/>
            <w:tcBorders>
              <w:top w:val="single" w:sz="8" w:color="3051F2"/>
            </w:tcBorders>
            <w:gridSpan w:val="4"/>
          </w:tcPr>
          <w:p>
            <w:pPr>
              <w:spacing w:after="0"/>
              <w:rPr>
                <w:sz w:val="18"/>
                <w:szCs w:val="18"/>
                <w:color w:val="auto"/>
              </w:rPr>
            </w:pPr>
          </w:p>
        </w:tc>
        <w:tc>
          <w:tcPr>
            <w:tcW w:w="2080" w:type="dxa"/>
            <w:vAlign w:val="bottom"/>
            <w:gridSpan w:val="2"/>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top w:val="single" w:sz="8" w:color="3051F2"/>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7</w:t>
            </w:r>
          </w:p>
        </w:tc>
        <w:tc>
          <w:tcPr>
            <w:tcW w:w="8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4000" w:type="dxa"/>
            <w:vAlign w:val="bottom"/>
            <w:tcBorders>
              <w:bottom w:val="single" w:sz="8" w:color="3051F2"/>
            </w:tcBorders>
            <w:gridSpan w:val="14"/>
          </w:tcPr>
          <w:p>
            <w:pPr>
              <w:spacing w:after="0"/>
              <w:rPr>
                <w:sz w:val="20"/>
                <w:szCs w:val="20"/>
                <w:color w:val="auto"/>
              </w:rPr>
            </w:pPr>
            <w:r>
              <w:rPr>
                <w:rFonts w:ascii="Times New Roman" w:cs="Times New Roman" w:eastAsia="Times New Roman" w:hAnsi="Times New Roman"/>
                <w:sz w:val="18"/>
                <w:szCs w:val="18"/>
                <w:color w:val="3051F2"/>
                <w:w w:val="99"/>
              </w:rPr>
              <w:t>Notes to Condensed Consolidated Financial Statements</w:t>
            </w:r>
          </w:p>
        </w:tc>
        <w:tc>
          <w:tcPr>
            <w:tcW w:w="2440" w:type="dxa"/>
            <w:vAlign w:val="bottom"/>
            <w:gridSpan w:val="5"/>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Borders>
              <w:bottom w:val="single" w:sz="8" w:color="3051F2"/>
            </w:tcBorders>
          </w:tcPr>
          <w:p>
            <w:pPr>
              <w:jc w:val="center"/>
              <w:spacing w:after="0"/>
              <w:rPr>
                <w:sz w:val="20"/>
                <w:szCs w:val="20"/>
                <w:color w:val="auto"/>
              </w:rPr>
            </w:pPr>
            <w:r>
              <w:rPr>
                <w:rFonts w:ascii="Times New Roman" w:cs="Times New Roman" w:eastAsia="Times New Roman" w:hAnsi="Times New Roman"/>
                <w:sz w:val="16"/>
                <w:szCs w:val="16"/>
                <w:color w:val="3051F2"/>
                <w:w w:val="99"/>
              </w:rPr>
              <w:t>8</w:t>
            </w:r>
          </w:p>
        </w:tc>
        <w:tc>
          <w:tcPr>
            <w:tcW w:w="80" w:type="dxa"/>
            <w:vAlign w:val="bottom"/>
          </w:tcPr>
          <w:p>
            <w:pPr>
              <w:spacing w:after="0"/>
              <w:rPr>
                <w:sz w:val="18"/>
                <w:szCs w:val="18"/>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w w:val="99"/>
              </w:rPr>
              <w:t>Management's Discussion and Analysis of Financial Condition and Results of Operations</w:t>
            </w: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19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360" w:type="dxa"/>
            <w:vAlign w:val="bottom"/>
            <w:shd w:val="clear" w:color="auto" w:fill="3051F2"/>
          </w:tcPr>
          <w:p>
            <w:pPr>
              <w:spacing w:after="0" w:line="20" w:lineRule="exact"/>
              <w:rPr>
                <w:sz w:val="1"/>
                <w:szCs w:val="1"/>
                <w:color w:val="auto"/>
              </w:rPr>
            </w:pPr>
          </w:p>
        </w:tc>
        <w:tc>
          <w:tcPr>
            <w:tcW w:w="720" w:type="dxa"/>
            <w:vAlign w:val="bottom"/>
            <w:shd w:val="clear" w:color="auto" w:fill="3051F2"/>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Overview</w:t>
            </w: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19</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3051F2"/>
                <w:w w:val="98"/>
              </w:rPr>
              <w:t>Results of Operations</w:t>
            </w:r>
          </w:p>
        </w:tc>
        <w:tc>
          <w:tcPr>
            <w:tcW w:w="4880" w:type="dxa"/>
            <w:vAlign w:val="bottom"/>
            <w:gridSpan w:val="1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22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Liquidity and Capital Resources</w:t>
            </w:r>
          </w:p>
        </w:tc>
        <w:tc>
          <w:tcPr>
            <w:tcW w:w="362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color w:val="3051F2"/>
                <w:w w:val="99"/>
              </w:rPr>
              <w:t>30</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Critical Accounting Policies and Estimates</w:t>
            </w:r>
          </w:p>
        </w:tc>
        <w:tc>
          <w:tcPr>
            <w:tcW w:w="362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color w:val="3051F2"/>
                <w:w w:val="99"/>
              </w:rPr>
              <w:t>31</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120" w:type="dxa"/>
            <w:vAlign w:val="bottom"/>
            <w:shd w:val="clear" w:color="auto" w:fill="3051F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3080" w:type="dxa"/>
            <w:vAlign w:val="bottom"/>
            <w:gridSpan w:val="12"/>
          </w:tcPr>
          <w:p>
            <w:pPr>
              <w:spacing w:after="0"/>
              <w:rPr>
                <w:sz w:val="20"/>
                <w:szCs w:val="20"/>
                <w:color w:val="auto"/>
              </w:rPr>
            </w:pPr>
            <w:r>
              <w:rPr>
                <w:rFonts w:ascii="Times New Roman" w:cs="Times New Roman" w:eastAsia="Times New Roman" w:hAnsi="Times New Roman"/>
                <w:sz w:val="18"/>
                <w:szCs w:val="18"/>
                <w:color w:val="3051F2"/>
              </w:rPr>
              <w:t>Recent Accounting Pronouncements</w:t>
            </w:r>
          </w:p>
        </w:tc>
        <w:tc>
          <w:tcPr>
            <w:tcW w:w="3360" w:type="dxa"/>
            <w:vAlign w:val="bottom"/>
            <w:gridSpan w:val="7"/>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31</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w w:val="99"/>
              </w:rPr>
              <w:t>Quantitative and Qualitative Disclosure about Market Risk</w:t>
            </w:r>
          </w:p>
        </w:tc>
        <w:tc>
          <w:tcPr>
            <w:tcW w:w="2200" w:type="dxa"/>
            <w:vAlign w:val="bottom"/>
            <w:gridSpan w:val="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440" w:type="dxa"/>
            <w:vAlign w:val="bottom"/>
            <w:tcBorders>
              <w:left w:val="single" w:sz="8" w:color="3051F2"/>
            </w:tcBorders>
            <w:gridSpan w:val="2"/>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920" w:type="dxa"/>
            <w:vAlign w:val="bottom"/>
            <w:gridSpan w:val="8"/>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240" w:type="dxa"/>
            <w:vAlign w:val="bottom"/>
            <w:gridSpan w:val="15"/>
          </w:tcPr>
          <w:p>
            <w:pPr>
              <w:spacing w:after="0"/>
              <w:rPr>
                <w:sz w:val="20"/>
                <w:szCs w:val="20"/>
                <w:color w:val="auto"/>
              </w:rPr>
            </w:pPr>
            <w:r>
              <w:rPr>
                <w:rFonts w:ascii="Times New Roman" w:cs="Times New Roman" w:eastAsia="Times New Roman" w:hAnsi="Times New Roman"/>
                <w:sz w:val="18"/>
                <w:szCs w:val="18"/>
                <w:color w:val="3051F2"/>
              </w:rPr>
              <w:t>Controls and Procedures</w:t>
            </w:r>
          </w:p>
        </w:tc>
        <w:tc>
          <w:tcPr>
            <w:tcW w:w="2200" w:type="dxa"/>
            <w:vAlign w:val="bottom"/>
            <w:gridSpan w:val="4"/>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33</w:t>
            </w:r>
          </w:p>
        </w:tc>
      </w:tr>
      <w:tr>
        <w:trPr>
          <w:trHeight w:val="520"/>
        </w:trPr>
        <w:tc>
          <w:tcPr>
            <w:tcW w:w="940" w:type="dxa"/>
            <w:vAlign w:val="bottom"/>
          </w:tcPr>
          <w:p>
            <w:pPr>
              <w:spacing w:after="0"/>
              <w:rPr>
                <w:sz w:val="24"/>
                <w:szCs w:val="24"/>
                <w:color w:val="auto"/>
              </w:rPr>
            </w:pPr>
          </w:p>
        </w:tc>
        <w:tc>
          <w:tcPr>
            <w:tcW w:w="600" w:type="dxa"/>
            <w:vAlign w:val="bottom"/>
            <w:tcBorders>
              <w:top w:val="single" w:sz="8" w:color="3051F2"/>
            </w:tcBorders>
          </w:tcPr>
          <w:p>
            <w:pPr>
              <w:spacing w:after="0"/>
              <w:rPr>
                <w:sz w:val="24"/>
                <w:szCs w:val="24"/>
                <w:color w:val="auto"/>
              </w:rPr>
            </w:pPr>
          </w:p>
        </w:tc>
        <w:tc>
          <w:tcPr>
            <w:tcW w:w="10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420" w:type="dxa"/>
            <w:vAlign w:val="bottom"/>
            <w:tcBorders>
              <w:top w:val="single" w:sz="8" w:color="3051F2"/>
            </w:tcBorders>
          </w:tcPr>
          <w:p>
            <w:pPr>
              <w:spacing w:after="0"/>
              <w:rPr>
                <w:sz w:val="24"/>
                <w:szCs w:val="24"/>
                <w:color w:val="auto"/>
              </w:rPr>
            </w:pPr>
          </w:p>
        </w:tc>
        <w:tc>
          <w:tcPr>
            <w:tcW w:w="240" w:type="dxa"/>
            <w:vAlign w:val="bottom"/>
            <w:tcBorders>
              <w:top w:val="single" w:sz="8" w:color="3051F2"/>
            </w:tcBorders>
          </w:tcPr>
          <w:p>
            <w:pPr>
              <w:spacing w:after="0"/>
              <w:rPr>
                <w:sz w:val="24"/>
                <w:szCs w:val="24"/>
                <w:color w:val="auto"/>
              </w:rPr>
            </w:pPr>
          </w:p>
        </w:tc>
        <w:tc>
          <w:tcPr>
            <w:tcW w:w="200" w:type="dxa"/>
            <w:vAlign w:val="bottom"/>
            <w:tcBorders>
              <w:top w:val="single" w:sz="8" w:color="3051F2"/>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7"/>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PART II. OTHER INFORMATION</w:t>
            </w:r>
          </w:p>
        </w:tc>
        <w:tc>
          <w:tcPr>
            <w:tcW w:w="3420" w:type="dxa"/>
            <w:vAlign w:val="bottom"/>
          </w:tcPr>
          <w:p>
            <w:pPr>
              <w:spacing w:after="0"/>
              <w:rPr>
                <w:sz w:val="24"/>
                <w:szCs w:val="24"/>
                <w:color w:val="auto"/>
              </w:rPr>
            </w:pPr>
          </w:p>
        </w:tc>
        <w:tc>
          <w:tcPr>
            <w:tcW w:w="120" w:type="dxa"/>
            <w:vAlign w:val="bottom"/>
            <w:tcBorders>
              <w:top w:val="single" w:sz="8" w:color="3051F2"/>
            </w:tcBorders>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5"/>
              </w:rPr>
              <w:t>Legal Proceedings</w:t>
            </w:r>
          </w:p>
        </w:tc>
        <w:tc>
          <w:tcPr>
            <w:tcW w:w="5120" w:type="dxa"/>
            <w:vAlign w:val="bottom"/>
            <w:gridSpan w:val="15"/>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1000" w:type="dxa"/>
            <w:vAlign w:val="bottom"/>
            <w:tcBorders>
              <w:left w:val="single" w:sz="8" w:color="3051F2"/>
            </w:tcBorders>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rPr>
              <w:t>Risk Factors</w:t>
            </w:r>
          </w:p>
        </w:tc>
        <w:tc>
          <w:tcPr>
            <w:tcW w:w="5120" w:type="dxa"/>
            <w:vAlign w:val="bottom"/>
            <w:gridSpan w:val="15"/>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9"/>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3051F2"/>
              </w:rPr>
              <w:t>Unregistered Sales of Equity Securities and Use of Proceeds</w:t>
            </w:r>
          </w:p>
        </w:tc>
        <w:tc>
          <w:tcPr>
            <w:tcW w:w="3620" w:type="dxa"/>
            <w:vAlign w:val="bottom"/>
            <w:gridSpan w:val="3"/>
          </w:tcPr>
          <w:p>
            <w:pPr>
              <w:jc w:val="center"/>
              <w:ind w:left="3219"/>
              <w:spacing w:after="0"/>
              <w:rPr>
                <w:sz w:val="20"/>
                <w:szCs w:val="20"/>
                <w:color w:val="auto"/>
              </w:rPr>
            </w:pPr>
            <w:r>
              <w:rPr>
                <w:rFonts w:ascii="Times New Roman" w:cs="Times New Roman" w:eastAsia="Times New Roman" w:hAnsi="Times New Roman"/>
                <w:sz w:val="16"/>
                <w:szCs w:val="16"/>
                <w:color w:val="3051F2"/>
                <w:w w:val="99"/>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1000" w:type="dxa"/>
            <w:vAlign w:val="bottom"/>
            <w:tcBorders>
              <w:left w:val="single" w:sz="8" w:color="3051F2"/>
            </w:tcBorders>
            <w:gridSpan w:val="3"/>
            <w:shd w:val="clear" w:color="auto" w:fill="3051F2"/>
          </w:tcPr>
          <w:p>
            <w:pPr>
              <w:spacing w:after="0" w:line="20" w:lineRule="exact"/>
              <w:rPr>
                <w:sz w:val="1"/>
                <w:szCs w:val="1"/>
                <w:color w:val="auto"/>
              </w:rPr>
            </w:pPr>
          </w:p>
        </w:tc>
        <w:tc>
          <w:tcPr>
            <w:tcW w:w="2020" w:type="dxa"/>
            <w:vAlign w:val="bottom"/>
            <w:gridSpan w:val="9"/>
            <w:shd w:val="clear" w:color="auto" w:fill="3051F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16"/>
          </w:tcPr>
          <w:p>
            <w:pPr>
              <w:spacing w:after="0"/>
              <w:rPr>
                <w:sz w:val="20"/>
                <w:szCs w:val="20"/>
                <w:color w:val="auto"/>
              </w:rPr>
            </w:pPr>
            <w:r>
              <w:rPr>
                <w:rFonts w:ascii="Times New Roman" w:cs="Times New Roman" w:eastAsia="Times New Roman" w:hAnsi="Times New Roman"/>
                <w:sz w:val="18"/>
                <w:szCs w:val="18"/>
                <w:color w:val="3051F2"/>
              </w:rPr>
              <w:t>Defaults Upon Senior Securities</w:t>
            </w:r>
          </w:p>
        </w:tc>
        <w:tc>
          <w:tcPr>
            <w:tcW w:w="2100" w:type="dxa"/>
            <w:vAlign w:val="bottom"/>
            <w:gridSpan w:val="3"/>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200" w:type="dxa"/>
            <w:vAlign w:val="bottom"/>
            <w:tcBorders>
              <w:left w:val="single" w:sz="8" w:color="3051F2"/>
            </w:tcBorders>
            <w:shd w:val="clear" w:color="auto" w:fill="3051F2"/>
          </w:tcPr>
          <w:p>
            <w:pPr>
              <w:spacing w:after="0" w:line="20" w:lineRule="exact"/>
              <w:rPr>
                <w:sz w:val="1"/>
                <w:szCs w:val="1"/>
                <w:color w:val="auto"/>
              </w:rPr>
            </w:pPr>
          </w:p>
        </w:tc>
        <w:tc>
          <w:tcPr>
            <w:tcW w:w="420" w:type="dxa"/>
            <w:vAlign w:val="bottom"/>
            <w:shd w:val="clear" w:color="auto" w:fill="3051F2"/>
          </w:tcPr>
          <w:p>
            <w:pPr>
              <w:spacing w:after="0" w:line="20" w:lineRule="exact"/>
              <w:rPr>
                <w:sz w:val="1"/>
                <w:szCs w:val="1"/>
                <w:color w:val="auto"/>
              </w:rPr>
            </w:pPr>
          </w:p>
        </w:tc>
        <w:tc>
          <w:tcPr>
            <w:tcW w:w="240" w:type="dxa"/>
            <w:vAlign w:val="bottom"/>
            <w:tcBorders>
              <w:left w:val="single" w:sz="8" w:color="3051F2"/>
            </w:tcBorders>
            <w:shd w:val="clear" w:color="auto" w:fill="3051F2"/>
          </w:tcPr>
          <w:p>
            <w:pPr>
              <w:spacing w:after="0" w:line="20" w:lineRule="exact"/>
              <w:rPr>
                <w:sz w:val="1"/>
                <w:szCs w:val="1"/>
                <w:color w:val="auto"/>
              </w:rPr>
            </w:pPr>
          </w:p>
        </w:tc>
        <w:tc>
          <w:tcPr>
            <w:tcW w:w="200" w:type="dxa"/>
            <w:vAlign w:val="bottom"/>
            <w:shd w:val="clear" w:color="auto" w:fill="3051F2"/>
          </w:tcPr>
          <w:p>
            <w:pPr>
              <w:spacing w:after="0" w:line="20" w:lineRule="exact"/>
              <w:rPr>
                <w:sz w:val="1"/>
                <w:szCs w:val="1"/>
                <w:color w:val="auto"/>
              </w:rPr>
            </w:pPr>
          </w:p>
        </w:tc>
        <w:tc>
          <w:tcPr>
            <w:tcW w:w="56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3051F2"/>
              </w:rPr>
              <w:t>Mine Safety Disclosures</w:t>
            </w:r>
          </w:p>
        </w:tc>
        <w:tc>
          <w:tcPr>
            <w:tcW w:w="4120" w:type="dxa"/>
            <w:vAlign w:val="bottom"/>
            <w:gridSpan w:val="12"/>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440" w:type="dxa"/>
            <w:vAlign w:val="bottom"/>
            <w:tcBorders>
              <w:left w:val="single" w:sz="8" w:color="3051F2"/>
            </w:tcBorders>
            <w:gridSpan w:val="2"/>
            <w:shd w:val="clear" w:color="auto" w:fill="3051F2"/>
          </w:tcPr>
          <w:p>
            <w:pPr>
              <w:spacing w:after="0" w:line="20" w:lineRule="exact"/>
              <w:rPr>
                <w:sz w:val="1"/>
                <w:szCs w:val="1"/>
                <w:color w:val="auto"/>
              </w:rPr>
            </w:pPr>
          </w:p>
        </w:tc>
        <w:tc>
          <w:tcPr>
            <w:tcW w:w="4680" w:type="dxa"/>
            <w:vAlign w:val="bottom"/>
            <w:gridSpan w:val="13"/>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3051F2"/>
                <w:w w:val="97"/>
              </w:rPr>
              <w:t>Other Information</w:t>
            </w:r>
          </w:p>
        </w:tc>
        <w:tc>
          <w:tcPr>
            <w:tcW w:w="440" w:type="dxa"/>
            <w:vAlign w:val="bottom"/>
            <w:gridSpan w:val="2"/>
          </w:tcPr>
          <w:p>
            <w:pPr>
              <w:spacing w:after="0"/>
              <w:rPr>
                <w:sz w:val="18"/>
                <w:szCs w:val="18"/>
                <w:color w:val="auto"/>
              </w:rPr>
            </w:pPr>
          </w:p>
        </w:tc>
        <w:tc>
          <w:tcPr>
            <w:tcW w:w="4680" w:type="dxa"/>
            <w:vAlign w:val="bottom"/>
            <w:gridSpan w:val="13"/>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34</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shd w:val="clear" w:color="auto" w:fill="3051F2"/>
          </w:tcPr>
          <w:p>
            <w:pPr>
              <w:spacing w:after="0" w:line="20" w:lineRule="exact"/>
              <w:rPr>
                <w:sz w:val="1"/>
                <w:szCs w:val="1"/>
                <w:color w:val="auto"/>
              </w:rPr>
            </w:pPr>
          </w:p>
        </w:tc>
        <w:tc>
          <w:tcPr>
            <w:tcW w:w="620" w:type="dxa"/>
            <w:vAlign w:val="bottom"/>
            <w:tcBorders>
              <w:left w:val="single" w:sz="8" w:color="3051F2"/>
            </w:tcBorders>
            <w:gridSpan w:val="2"/>
            <w:shd w:val="clear" w:color="auto" w:fill="3051F2"/>
          </w:tcPr>
          <w:p>
            <w:pPr>
              <w:spacing w:after="0" w:line="20" w:lineRule="exact"/>
              <w:rPr>
                <w:sz w:val="1"/>
                <w:szCs w:val="1"/>
                <w:color w:val="auto"/>
              </w:rPr>
            </w:pPr>
          </w:p>
        </w:tc>
        <w:tc>
          <w:tcPr>
            <w:tcW w:w="5120" w:type="dxa"/>
            <w:vAlign w:val="bottom"/>
            <w:gridSpan w:val="15"/>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3051F2"/>
                <w:w w:val="96"/>
              </w:rPr>
              <w:t>Exhibits</w:t>
            </w:r>
          </w:p>
        </w:tc>
        <w:tc>
          <w:tcPr>
            <w:tcW w:w="720" w:type="dxa"/>
            <w:vAlign w:val="bottom"/>
            <w:gridSpan w:val="3"/>
          </w:tcPr>
          <w:p>
            <w:pPr>
              <w:spacing w:after="0"/>
              <w:rPr>
                <w:sz w:val="18"/>
                <w:szCs w:val="18"/>
                <w:color w:val="auto"/>
              </w:rPr>
            </w:pPr>
          </w:p>
        </w:tc>
        <w:tc>
          <w:tcPr>
            <w:tcW w:w="5120" w:type="dxa"/>
            <w:vAlign w:val="bottom"/>
            <w:gridSpan w:val="15"/>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35</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740" w:type="dxa"/>
            <w:vAlign w:val="bottom"/>
            <w:gridSpan w:val="17"/>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E32E1"/>
                <w:w w:val="86"/>
              </w:rPr>
              <w:t>Signatures</w:t>
            </w:r>
          </w:p>
        </w:tc>
        <w:tc>
          <w:tcPr>
            <w:tcW w:w="5740" w:type="dxa"/>
            <w:vAlign w:val="bottom"/>
            <w:gridSpan w:val="17"/>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3051F2"/>
                <w:w w:val="74"/>
              </w:rPr>
              <w:t>36</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tcBorders>
              <w:left w:val="single" w:sz="8" w:color="0E32E1"/>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20" w:type="dxa"/>
            <w:vAlign w:val="bottom"/>
            <w:tcBorders>
              <w:right w:val="single" w:sz="8" w:color="3051F2"/>
            </w:tcBorders>
          </w:tcPr>
          <w:p>
            <w:pPr>
              <w:spacing w:after="0" w:line="20" w:lineRule="exact"/>
              <w:rPr>
                <w:sz w:val="1"/>
                <w:szCs w:val="1"/>
                <w:color w:val="auto"/>
              </w:rPr>
            </w:pPr>
          </w:p>
        </w:tc>
        <w:tc>
          <w:tcPr>
            <w:tcW w:w="120" w:type="dxa"/>
            <w:vAlign w:val="bottom"/>
            <w:tcBorders>
              <w:right w:val="single" w:sz="8" w:color="3051F2"/>
            </w:tcBorders>
            <w:shd w:val="clear" w:color="auto" w:fill="3051F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1"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231F20"/>
        </w:rPr>
        <w:t>Certain statements contained in this Quarterly Report on Form 10-Q ("Form 10-Q" or "report") constitute "forward-looking statements" within the meaning of the Private Securities Litigation Reform Act of 1995. All statements contained in this report other than statements of historical fact, including statements regarding our future operating results and financial position, our business strategy and plans, business trends, our objectives for future operations, and the sufficiency of our cash balances, working capital and cash generated from operating, investing and financing activities for our future liquidity and capital resource needs may constitute forward-looking statements.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and elsewhere in our Annual Report on Form 10-K for the fiscal year ended January 1, 2022 (the "</w:t>
      </w:r>
      <w:r>
        <w:rPr>
          <w:rFonts w:ascii="Times New Roman" w:cs="Times New Roman" w:eastAsia="Times New Roman" w:hAnsi="Times New Roman"/>
          <w:sz w:val="18"/>
          <w:szCs w:val="18"/>
          <w:i w:val="1"/>
          <w:iCs w:val="1"/>
          <w:color w:val="000000"/>
        </w:rPr>
        <w:t>2021</w:t>
      </w:r>
      <w:r>
        <w:rPr>
          <w:rFonts w:ascii="Times New Roman" w:cs="Times New Roman" w:eastAsia="Times New Roman" w:hAnsi="Times New Roman"/>
          <w:sz w:val="18"/>
          <w:szCs w:val="18"/>
          <w:i w:val="1"/>
          <w:iCs w:val="1"/>
          <w:color w:val="231F20"/>
        </w:rPr>
        <w:t xml:space="preserve"> Form 10-K"), and as described in other subsequent reports we file with the United States ("U.S.") Securities and Exchange Commission (the "SEC"), including this report. We encourage you to read this report and our other filings with the SEC carefully.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7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231F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74"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140,085</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Independent operator receivables and current portion of independent operator notes, net of allowance $1,885</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$1,406</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accounts receivable, net of allowance $79 and $57</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Merchandise inventories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275,502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442,745</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notes, net of allowance $11,212 and $10,506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499,387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898,152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51,921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747,943</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122,110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49,025</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51,136</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237,906</w:t>
            </w:r>
          </w:p>
        </w:tc>
        <w:tc>
          <w:tcPr>
            <w:tcW w:w="0" w:type="dxa"/>
            <w:vAlign w:val="bottom"/>
          </w:tcPr>
          <w:p>
            <w:pPr>
              <w:spacing w:after="0"/>
              <w:rPr>
                <w:sz w:val="1"/>
                <w:szCs w:val="1"/>
                <w:color w:val="auto"/>
              </w:rPr>
            </w:pPr>
          </w:p>
        </w:tc>
      </w:tr>
      <w:tr>
        <w:trPr>
          <w:trHeight w:val="229"/>
        </w:trPr>
        <w:tc>
          <w:tcPr>
            <w:tcW w:w="8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451,468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982,499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961,746</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1,636,705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1,660,536</w:t>
            </w:r>
          </w:p>
        </w:tc>
        <w:tc>
          <w:tcPr>
            <w:tcW w:w="0" w:type="dxa"/>
            <w:vAlign w:val="bottom"/>
          </w:tcPr>
          <w:p>
            <w:pPr>
              <w:spacing w:after="0"/>
              <w:rPr>
                <w:sz w:val="1"/>
                <w:szCs w:val="1"/>
                <w:color w:val="auto"/>
              </w:rPr>
            </w:pPr>
          </w:p>
        </w:tc>
      </w:tr>
      <w:tr>
        <w:trPr>
          <w:trHeight w:val="21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par value $0.001 per share, 500,000,000 shares authorized; 96,846,980 and 96,144,433 shares</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Series A preferred stock, par value $0.001 per share, 50,000,000 shares authorized; no shares issued and</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3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811,701</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197,475</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2,693,396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452"/>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2"/>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5"/>
        </w:trPr>
        <w:tc>
          <w:tcPr>
            <w:tcW w:w="4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1,528,001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1,198,786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1,058,276</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469,725</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381,553</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32,502</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483,961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422,204</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vMerge w:val="continue"/>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7"/>
                <w:szCs w:val="17"/>
                <w:color w:val="auto"/>
              </w:rPr>
            </w:pPr>
          </w:p>
        </w:tc>
        <w:tc>
          <w:tcPr>
            <w:tcW w:w="500" w:type="dxa"/>
            <w:vAlign w:val="bottom"/>
          </w:tcPr>
          <w:p>
            <w:pPr>
              <w:jc w:val="right"/>
              <w:ind w:right="2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0.33</w:t>
            </w:r>
          </w:p>
        </w:tc>
        <w:tc>
          <w:tcPr>
            <w:tcW w:w="120" w:type="dxa"/>
            <w:vAlign w:val="bottom"/>
          </w:tcPr>
          <w:p>
            <w:pPr>
              <w:spacing w:after="0"/>
              <w:rPr>
                <w:sz w:val="17"/>
                <w:szCs w:val="17"/>
                <w:color w:val="auto"/>
              </w:rPr>
            </w:pPr>
          </w:p>
        </w:tc>
        <w:tc>
          <w:tcPr>
            <w:tcW w:w="500" w:type="dxa"/>
            <w:vAlign w:val="bottom"/>
          </w:tcPr>
          <w:p>
            <w:pPr>
              <w:jc w:val="right"/>
              <w:ind w:right="3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95,449</w:t>
            </w:r>
          </w:p>
        </w:tc>
        <w:tc>
          <w:tcPr>
            <w:tcW w:w="0" w:type="dxa"/>
            <w:vAlign w:val="bottom"/>
          </w:tcPr>
          <w:p>
            <w:pPr>
              <w:spacing w:after="0"/>
              <w:rPr>
                <w:sz w:val="1"/>
                <w:szCs w:val="1"/>
                <w:color w:val="auto"/>
              </w:rPr>
            </w:pPr>
          </w:p>
        </w:tc>
      </w:tr>
      <w:tr>
        <w:trPr>
          <w:trHeight w:val="234"/>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99,587</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0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96,144,433</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197,475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276,473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11,574</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2,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96,281,188</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1,024,070</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565,792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2, 2022</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96,846,980</w:t>
            </w: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827,451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229,143</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1,056,691</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000" w:type="dxa"/>
            <w:vAlign w:val="bottom"/>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6"/>
                <w:szCs w:val="16"/>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98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54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5440" w:type="dxa"/>
            <w:vAlign w:val="bottom"/>
          </w:tcPr>
          <w:p>
            <w:pPr>
              <w:spacing w:after="0"/>
              <w:rPr>
                <w:sz w:val="16"/>
                <w:szCs w:val="16"/>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8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98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94,854,336</w:t>
            </w:r>
          </w:p>
        </w:tc>
        <w:tc>
          <w:tcPr>
            <w:tcW w:w="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787,047</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922,307</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647,137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18,892</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 2021</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95,501,473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793,933</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154,057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948,086</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and vesting of share-based awards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95,837,220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173,697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973,883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8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Pr>
          <w:p>
            <w:pPr>
              <w:spacing w:after="0"/>
              <w:rPr>
                <w:sz w:val="11"/>
                <w:szCs w:val="11"/>
                <w:color w:val="auto"/>
              </w:rPr>
            </w:pPr>
          </w:p>
        </w:tc>
        <w:tc>
          <w:tcPr>
            <w:tcW w:w="980" w:type="dxa"/>
            <w:vAlign w:val="bottom"/>
          </w:tcPr>
          <w:p>
            <w:pPr>
              <w:jc w:val="right"/>
              <w:ind w:right="451"/>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8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29"/>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29,969</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and 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 and discounts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30"/>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accounts receivable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insurance recoveries - business interruption and inventory</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Independent operator and other accounts receivable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r>
      <w:tr>
        <w:trPr>
          <w:trHeight w:val="229"/>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Merchandise inventories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30"/>
        </w:trPr>
        <w:tc>
          <w:tcPr>
            <w:tcW w:w="8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and other taxes payable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9"/>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accounts payable, accrued compensation and other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(11,279)</w:t>
            </w:r>
          </w:p>
        </w:tc>
      </w:tr>
      <w:tr>
        <w:trPr>
          <w:trHeight w:val="230"/>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Changes in operating lease assets and liabilities, net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8,570</w:t>
            </w:r>
          </w:p>
        </w:tc>
      </w:tr>
      <w:tr>
        <w:trPr>
          <w:trHeight w:val="223"/>
        </w:trPr>
        <w:tc>
          <w:tcPr>
            <w:tcW w:w="8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84,727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85,139</w:t>
            </w:r>
          </w:p>
        </w:tc>
      </w:tr>
      <w:tr>
        <w:trPr>
          <w:trHeight w:val="23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Advances to independent operators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(4,945)</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advances from independent operators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(63,988)</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sales of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 in intangible assets and licenses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insurance recoveries - property and equipment</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23"/>
        </w:trPr>
        <w:tc>
          <w:tcPr>
            <w:tcW w:w="81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(65,378)</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(68,219)</w:t>
            </w:r>
          </w:p>
        </w:tc>
      </w:tr>
      <w:tr>
        <w:trPr>
          <w:trHeight w:val="22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payments on senior term loan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finance leases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81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(75,174)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4,377</w:t>
            </w:r>
          </w:p>
        </w:tc>
      </w:tr>
      <w:tr>
        <w:trPr>
          <w:trHeight w:val="22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21,297</w:t>
            </w:r>
          </w:p>
        </w:tc>
      </w:tr>
      <w:tr>
        <w:trPr>
          <w:trHeight w:val="23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140,085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105,326</w:t>
            </w: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126,623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Summary of Significant Accounting Policies</w:t>
      </w:r>
    </w:p>
    <w:p>
      <w:pPr>
        <w:spacing w:after="0" w:line="117"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Description of Business </w:t>
      </w:r>
      <w:r>
        <w:rPr>
          <w:rFonts w:ascii="Times New Roman" w:cs="Times New Roman" w:eastAsia="Times New Roman" w:hAnsi="Times New Roman"/>
          <w:sz w:val="18"/>
          <w:szCs w:val="18"/>
          <w:color w:val="auto"/>
        </w:rPr>
        <w:t>— Based in Emeryville, California, and incorporated in Delaware in 2014, Grocery Outlet Holding Corp. (together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wholly owned subsidiaries, collectively, "Grocery Outlet," "we," or the "Company") is a high-growth, extreme value retailer of quality, name-brand consumables and fresh products sold through a network of independently operated stores. As of July 2, 2022, we had 425 stores throughout California, Washington, Oregon, Pennsylvania, Idaho, Nevada, New Jersey and Maryland.</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("GAAP") and the applicable rules and regulations of the United States ("U.S.") Securities and Exchange Commission (the "SEC") for interim reporting. Certain information and note disclosures included in our annual financial statements prepared in accordance with GAAP have been condensed or omitted pursuant to such rules and regulations. The accompanying unaudited condensed consolidated financial statements should be read in conjunction with the audited consolidated financial statements included in our Annual Report on Form 10-K for the fiscal year ended January 1, 2022 (the "2021 Form 10-K"). The condensed consolidated balance sheet as of January 1, 2022 included herein has been derived from those audited consolidated financial statements.</w:t>
      </w:r>
    </w:p>
    <w:p>
      <w:pPr>
        <w:spacing w:after="0" w:line="7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unaudited condensed consolidated financial statements include the accounts of Grocery Outlet Holding Corp. and its wholly owned subsidiaries. All intercompany balances and transactions were eliminated. In the opinion of management, these condensed consolidated financial statements include all adjustments, consisting of normal recurring adjustments, necessary for a fair statement of the results for the periods presented. The interim results of operations and cash flows are not necessarily indicative of those results and cash flows expected for any future interim or annual period. Certain prior period amounts in the notes to the condensed consolidated financial statements have been reclassified to conform to the current period presentation. The reclassification of these items had no impact on net income, earnings per share, or retained earnings in the current or prior period.</w:t>
      </w:r>
    </w:p>
    <w:p>
      <w:pPr>
        <w:spacing w:after="0" w:line="7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 The preparation of condensed consolidated financial statements in conformity with GAAP requires management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estimates and 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 xml:space="preserve">Segment Reporting </w:t>
      </w:r>
      <w:r>
        <w:rPr>
          <w:rFonts w:ascii="Times New Roman" w:cs="Times New Roman" w:eastAsia="Times New Roman" w:hAnsi="Times New Roman"/>
          <w:sz w:val="18"/>
          <w:szCs w:val="18"/>
          <w:color w:val="auto"/>
        </w:rPr>
        <w:t>— We manage our business as one operating segment. In addition, all of our sales were made to customers located in the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property and equipment is located in the U.S.</w:t>
      </w:r>
    </w:p>
    <w:p>
      <w:pPr>
        <w:spacing w:after="0" w:line="95"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Merchandise Inventories </w:t>
      </w:r>
      <w:r>
        <w:rPr>
          <w:rFonts w:ascii="Times New Roman" w:cs="Times New Roman" w:eastAsia="Times New Roman" w:hAnsi="Times New Roman"/>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6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We determine if an arrangement is a lease at inception. Operating leases are included in operating lease right-of-use assets, current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and long-term lease liabilities on our condensed consolidated balance sheets. Finance leases are included in other assets, current lease liabilities, and long-term lease liabilities on our condensed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Fair value is defined as the exchange price, or exit price, representing the amount that would be received to sell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or inputs that are observable</w:t>
      </w:r>
    </w:p>
    <w:p>
      <w:pPr>
        <w:spacing w:after="0" w:line="63" w:lineRule="exact"/>
        <w:rPr>
          <w:sz w:val="20"/>
          <w:szCs w:val="20"/>
          <w:color w:val="auto"/>
        </w:rPr>
      </w:pPr>
    </w:p>
    <w:p>
      <w:pPr>
        <w:ind w:left="1540" w:hanging="89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in which there is little or no market data, which requires us to develop our own assumptions when pricing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such as cash flow modeling assumptions</w:t>
      </w:r>
    </w:p>
    <w:p>
      <w:pPr>
        <w:spacing w:after="0" w:line="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assets or liabilities measured at fair value on a recurring or non-recurring basis as of July 2, 2022 or January 1, 2022. Generally, assets are recorded at fair value on a nonrecurring basis as a result of impairment charges. There were no transfers of assets or liabilities between levels within the fair value hierarchy during the 26 weeks ended July 2, 2022.</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assets and liabilities are carried at cost, which generally approximates their fair value, as described below:</w:t>
      </w:r>
    </w:p>
    <w:p>
      <w:pPr>
        <w:spacing w:after="0" w:line="115"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independent operator ("IO") receivables, other accounts receivable and accounts payable </w:t>
      </w:r>
      <w:r>
        <w:rPr>
          <w:rFonts w:ascii="Times New Roman" w:cs="Times New Roman" w:eastAsia="Times New Roman" w:hAnsi="Times New Roman"/>
          <w:sz w:val="18"/>
          <w:szCs w:val="18"/>
          <w:color w:val="auto"/>
        </w:rPr>
        <w:t>— The carrying value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approximates their fair value due to factors such as their short-term nature or their variable interest rates.</w:t>
      </w:r>
    </w:p>
    <w:p>
      <w:pPr>
        <w:spacing w:after="0" w:line="50"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IO notes receivable (net) </w:t>
      </w:r>
      <w:r>
        <w:rPr>
          <w:rFonts w:ascii="Times New Roman" w:cs="Times New Roman" w:eastAsia="Times New Roman" w:hAnsi="Times New Roman"/>
          <w:sz w:val="18"/>
          <w:szCs w:val="18"/>
          <w:color w:val="auto"/>
        </w:rPr>
        <w:t>— The carrying value of such financial instruments approximates their fair value due to the effect of the related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expected credit losses.</w:t>
      </w:r>
    </w:p>
    <w:p>
      <w:pPr>
        <w:spacing w:after="0" w:line="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the carrying amounts and estimated fair values of our significant financial liabilities that are not recorded at fair value on the condensed consolidated balance sheets (amounts in thousands):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jc w:val="right"/>
              <w:ind w:right="179"/>
              <w:spacing w:after="0" w:line="151" w:lineRule="exact"/>
              <w:rPr>
                <w:sz w:val="20"/>
                <w:szCs w:val="20"/>
                <w:color w:val="auto"/>
              </w:rPr>
            </w:pPr>
            <w:r>
              <w:rPr>
                <w:rFonts w:ascii="Times New Roman" w:cs="Times New Roman" w:eastAsia="Times New Roman" w:hAnsi="Times New Roman"/>
                <w:sz w:val="14"/>
                <w:szCs w:val="14"/>
                <w:b w:val="1"/>
                <w:bCs w:val="1"/>
                <w:color w:val="auto"/>
              </w:rPr>
              <w:t>July 2,</w:t>
            </w: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ind w:right="119"/>
              <w:spacing w:after="0" w:line="151" w:lineRule="exact"/>
              <w:rPr>
                <w:sz w:val="20"/>
                <w:szCs w:val="20"/>
                <w:color w:val="auto"/>
              </w:rPr>
            </w:pPr>
            <w:r>
              <w:rPr>
                <w:rFonts w:ascii="Times New Roman" w:cs="Times New Roman" w:eastAsia="Times New Roman" w:hAnsi="Times New Roman"/>
                <w:sz w:val="14"/>
                <w:szCs w:val="14"/>
                <w:b w:val="1"/>
                <w:bCs w:val="1"/>
                <w:color w:val="auto"/>
              </w:rPr>
              <w:t>January 1,</w:t>
            </w: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50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23"/>
                <w:szCs w:val="23"/>
                <w:b w:val="1"/>
                <w:bCs w:val="1"/>
                <w:color w:val="auto"/>
                <w:vertAlign w:val="superscript"/>
              </w:rPr>
              <w:t>(1)</w:t>
            </w:r>
          </w:p>
        </w:tc>
        <w:tc>
          <w:tcPr>
            <w:tcW w:w="1480" w:type="dxa"/>
            <w:vAlign w:val="bottom"/>
            <w:gridSpan w:val="2"/>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10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606"/>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10"/>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term loan (Level 2)</w:t>
            </w: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378,794</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366,713</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451,468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6"/>
              <w:spacing w:after="0"/>
              <w:rPr>
                <w:sz w:val="20"/>
                <w:szCs w:val="20"/>
                <w:color w:val="auto"/>
              </w:rPr>
            </w:pPr>
            <w:r>
              <w:rPr>
                <w:rFonts w:ascii="Times New Roman" w:cs="Times New Roman" w:eastAsia="Times New Roman" w:hAnsi="Times New Roman"/>
                <w:sz w:val="18"/>
                <w:szCs w:val="18"/>
                <w:color w:val="auto"/>
              </w:rPr>
              <w:t>457,700</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line="280"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amounts as of July 2, 2022 and January 1, 2022 are net of unamortized debt discounts of $0.7 million and $1.0 million, respectively, and debt issuance costs of $5.5 million and $7.5 million, respectively.</w:t>
      </w:r>
    </w:p>
    <w:p>
      <w:pPr>
        <w:spacing w:after="0" w:line="2" w:lineRule="exact"/>
        <w:rPr>
          <w:rFonts w:ascii="Times New Roman" w:cs="Times New Roman" w:eastAsia="Times New Roman" w:hAnsi="Times New Roman"/>
          <w:sz w:val="16"/>
          <w:szCs w:val="16"/>
          <w:color w:val="auto"/>
        </w:rPr>
      </w:pPr>
    </w:p>
    <w:p>
      <w:pPr>
        <w:ind w:left="500" w:right="20" w:hanging="492"/>
        <w:spacing w:after="0" w:line="298"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fair value of our senior term loan was determined based on the average quoted bid-ask prices for the senior term loan in an over-the-counter market on the last trading day of the periods presented.</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1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 We recognize revenue from the sale of products at the point of sale, net of any taxes or deposits collected and remitted to governmental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w:t>
      </w:r>
    </w:p>
    <w:p>
      <w:pPr>
        <w:spacing w:after="0" w:line="7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do not have any material contract assets or receivables from contracts with customers, any revenue recognized in the current year from performance obligations satisfied in previous periods, any performance obligations, or any material costs to obtain or fulfill a contract as of July 2, 2022 and January 1, 2022.</w:t>
      </w:r>
    </w:p>
    <w:p>
      <w:pPr>
        <w:spacing w:after="0" w:line="64"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Gift Cards </w:t>
      </w:r>
      <w:r>
        <w:rPr>
          <w:rFonts w:ascii="Times New Roman" w:cs="Times New Roman" w:eastAsia="Times New Roman" w:hAnsi="Times New Roman"/>
          <w:sz w:val="18"/>
          <w:szCs w:val="18"/>
          <w:color w:val="auto"/>
        </w:rPr>
        <w:t>— We record a deferred revenue liability when a Grocery Outlet gift card is sold. Revenue related to gift cards is recognized as the gift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$2.8 million and $3.6 million as of July 2, 2022 and January 1, 2022, respectively. Breakage amounts were immaterial for the 13 and 26 weeks ended July 2, 2022 and July 3, 2021.</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Disaggregated Revenues </w:t>
      </w:r>
      <w:r>
        <w:rPr>
          <w:rFonts w:ascii="Times New Roman" w:cs="Times New Roman" w:eastAsia="Times New Roman" w:hAnsi="Times New Roman"/>
          <w:sz w:val="18"/>
          <w:szCs w:val="18"/>
          <w:color w:val="auto"/>
        </w:rPr>
        <w:t>— The following table presents net sales revenue by type of product for the periods indicated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49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457"/>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7"/>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49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498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7"/>
                <w:szCs w:val="17"/>
                <w:color w:val="auto"/>
              </w:rPr>
              <w:t xml:space="preserve">Perishable </w:t>
            </w:r>
            <w:r>
              <w:rPr>
                <w:rFonts w:ascii="Times New Roman" w:cs="Times New Roman" w:eastAsia="Times New Roman" w:hAnsi="Times New Roman"/>
                <w:sz w:val="26"/>
                <w:szCs w:val="26"/>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626,382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532,274</w:t>
            </w: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Non-perishable </w:t>
            </w:r>
            <w:r>
              <w:rPr>
                <w:rFonts w:ascii="Times New Roman" w:cs="Times New Roman" w:eastAsia="Times New Roman" w:hAnsi="Times New Roman"/>
                <w:sz w:val="26"/>
                <w:szCs w:val="26"/>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572,119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1,102,704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995,727</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1,729,086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1,528,001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Perishable departments include dairy and deli; produce and floral; and fresh meat and seafood.</w:t>
      </w:r>
    </w:p>
    <w:p>
      <w:pPr>
        <w:spacing w:after="0" w:line="59"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Non-perishable departments include non-perishable grocery; general merchandise; health and beauty care; frozen foods; and beer and wine.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Variable Interest Entities </w:t>
      </w:r>
      <w:r>
        <w:rPr>
          <w:rFonts w:ascii="Times New Roman" w:cs="Times New Roman" w:eastAsia="Times New Roman" w:hAnsi="Times New Roman"/>
          <w:sz w:val="18"/>
          <w:szCs w:val="18"/>
          <w:color w:val="auto"/>
        </w:rPr>
        <w:t>— In accordance with the variable interest entities sub-section of Accounting Standards Codification ("ASC") Topic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we assess at each reporting period whether we, or any consolidated entity, are considered the primary beneficiary of a variable interest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7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had 421, 411 and 396 stores operated by IOs as of July 2, 2022, January 1, 2022 and July 3, 2021,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IOs are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8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consignor of all merchandise to each IO, the aggregate net sales proceeds from merchandise sales belongs to us. Net sales related to IO stores were $883.0 million and $762.1 million for the 13 weeks ended July 2, 2022 and July 3, 2021, respectively, and $1.70 billion and $1.50 billion for the 26 weeks ended July 2, 2022 and July 3, 2021, respectively. We, in turn, pay IOs a commission based on a share of the gross profit of the store. Inventories and related net sales proceeds are our property, and we are responsible for store rent and related occupancy costs. IO commissions were expensed and included in SG&amp;A. IO commissions were $136.5 million and $115.4 million for the 13 weeks ended July 2, 2022 and July 3, 2021, respectively, and $259.2 million and $228.1 million for the 26 weeks ended July 2, 2022 and July 3, 2021, respectively. IO commissions of $9.9 million and $9.1 million were included in accrued expenses as of July 2, 2022 and January 1, 2022, respectively.</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IOs may fund their initial store investment from existing capital, a third-party loan or most commonly through a loan from us, as further discussed in Note 2. As collateral for IO obligations and performance, the Operator Agreements grant us the security interests in the assets owned by the IOs related to the respective store. Since the total investment at risk associated with each IO is not sufficient to permit each IO to finance its activities without additional subordinated financial support, the IOs are VIEs which we have variable interests in. To determine if we are the primary beneficiary of these VIEs,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spacing w:after="0" w:line="8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their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Agreements illustrate the lack of ultimate control over the IO. Therefore, the Company is not the primary beneficiary of these VIEs.</w:t>
      </w:r>
    </w:p>
    <w:p>
      <w:pPr>
        <w:spacing w:after="0" w:line="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maximum exposure, in accordance with ASC Topic 810, to the IOs is generally limited to the IO notes and IO receivables due from these entities, which was $43.0 million and $40.6 million as of July 2, 2022 and January 1, 2022, respectively. See Note 2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recently adopted accounting pronouncements had a material effect on our condensed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Accounting Standards Update ("ASU") No. 2022-02 </w:t>
      </w:r>
      <w:r>
        <w:rPr>
          <w:rFonts w:ascii="Times New Roman" w:cs="Times New Roman" w:eastAsia="Times New Roman" w:hAnsi="Times New Roman"/>
          <w:sz w:val="18"/>
          <w:szCs w:val="18"/>
          <w:color w:val="auto"/>
        </w:rPr>
        <w:t>— In March 2022, the Financial Accounting Standards Board issued ASU No. 2022-02,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Troubled Debt Restructurings and Vintage Disclosures ("ASU 2022-02"). ASU 2022-02</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ASU 2022-02 is effective for fiscal years beginning after December 15, 2022, including interim periods within those fiscal years. We will adopt ASU 2022-02 beginning in the first quarter of fiscal 2023. We do not expect the adoption of ASU 2022-02 to have a material impact on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Independent Operator Notes and Independent Operator Receivables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amounts included in IO notes and IO receivables consist primarily of funds we loaned to IOs, net of estimated uncollectible amounts. IO notes are payable on demand and typically bear interest at rates between 3.00% and 9.95%. Accrued interest receivable on IO notes is included within the "independent operator receivables and current portion of independent operator notes, net of allowance" line item on the condensed consolidated balance sheets and was $0.7 million and $0.5 million as of July 2, 2022 and January 1, 2022, respectively. There were no IO notes that were past due or on a non-accrual status due to delinquency as of July 2, 2022 or January 1, 2022. Notes and receivables from our IOs participating in our TCAP, as defined below, are not considered to be past due or on a non-accrual status due to delinquency and are excluded from such measures.</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 indicators. The primary shared risk characteristic and credit quality indicator pools that we use as a basis for collective evaluation include:</w:t>
      </w:r>
    </w:p>
    <w:p>
      <w:pPr>
        <w:spacing w:after="0" w:line="72" w:lineRule="exact"/>
        <w:rPr>
          <w:sz w:val="20"/>
          <w:szCs w:val="20"/>
          <w:color w:val="auto"/>
        </w:rPr>
      </w:pPr>
    </w:p>
    <w:p>
      <w:pPr>
        <w:jc w:val="both"/>
        <w:ind w:left="980" w:hanging="324"/>
        <w:spacing w:after="0" w:line="261"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67" w:lineRule="exact"/>
        <w:rPr>
          <w:rFonts w:ascii="Times New Roman" w:cs="Times New Roman" w:eastAsia="Times New Roman" w:hAnsi="Times New Roman"/>
          <w:sz w:val="18"/>
          <w:szCs w:val="18"/>
          <w:b w:val="1"/>
          <w:bCs w:val="1"/>
          <w:color w:val="auto"/>
        </w:rPr>
      </w:pPr>
    </w:p>
    <w:p>
      <w:pPr>
        <w:ind w:left="980" w:right="20" w:hanging="324"/>
        <w:spacing w:after="0" w:line="286"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Non-TCAP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from IOs with stores that have been open for more than 18 months that are not participating in TCAP as of the end of each reporting period.</w:t>
      </w:r>
    </w:p>
    <w:p>
      <w:pPr>
        <w:spacing w:after="0" w:line="46"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7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New store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Includes the notes and receivables from IOs with stores that have been open for less than 18 months as of the end of each reporting period.</w:t>
      </w:r>
    </w:p>
    <w:p>
      <w:pPr>
        <w:spacing w:after="0" w:line="5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4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Amounts due from IOs and the related allowances as of July 2, 2022 and January 1, 2022 consisted of the following (amounts in thousands)</w:t>
      </w:r>
      <w:r>
        <w:rPr>
          <w:rFonts w:ascii="Times New Roman" w:cs="Times New Roman" w:eastAsia="Times New Roman" w:hAnsi="Times New Roman"/>
          <w:sz w:val="19"/>
          <w:szCs w:val="19"/>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3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980" w:type="dxa"/>
            <w:vAlign w:val="bottom"/>
          </w:tcPr>
          <w:p>
            <w:pPr>
              <w:jc w:val="center"/>
              <w:ind w:right="77"/>
              <w:spacing w:after="0" w:line="155"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3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16"/>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2, 2022</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23,437</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42,968</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29,871</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300" w:type="dxa"/>
            <w:vAlign w:val="bottom"/>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Current Portion</w:t>
            </w:r>
          </w:p>
        </w:tc>
        <w:tc>
          <w:tcPr>
            <w:tcW w:w="160" w:type="dxa"/>
            <w:vAlign w:val="bottom"/>
          </w:tcPr>
          <w:p>
            <w:pPr>
              <w:spacing w:after="0"/>
              <w:rPr>
                <w:sz w:val="13"/>
                <w:szCs w:val="13"/>
                <w:color w:val="auto"/>
              </w:rPr>
            </w:pPr>
          </w:p>
        </w:tc>
        <w:tc>
          <w:tcPr>
            <w:tcW w:w="98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15"/>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January 1, 2022</w:t>
            </w: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operator notes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w:t>
            </w:r>
          </w:p>
        </w:tc>
        <w:tc>
          <w:tcPr>
            <w:tcW w:w="120" w:type="dxa"/>
            <w:vAlign w:val="bottom"/>
          </w:tcPr>
          <w:p>
            <w:pPr>
              <w:spacing w:after="0"/>
              <w:rPr>
                <w:sz w:val="19"/>
                <w:szCs w:val="19"/>
                <w:color w:val="auto"/>
              </w:rPr>
            </w:pP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22,904</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Independent operator receivables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40,647</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28,735</w:t>
            </w: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21,516</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activity in the IO notes and IO receivables allowance was as follows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280" w:type="dxa"/>
            <w:vAlign w:val="bottom"/>
          </w:tcPr>
          <w:p>
            <w:pPr>
              <w:spacing w:after="0"/>
              <w:rPr>
                <w:sz w:val="16"/>
                <w:szCs w:val="16"/>
                <w:color w:val="auto"/>
              </w:rPr>
            </w:pPr>
          </w:p>
        </w:tc>
        <w:tc>
          <w:tcPr>
            <w:tcW w:w="2320" w:type="dxa"/>
            <w:vAlign w:val="bottom"/>
            <w:gridSpan w:val="4"/>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26 Weeks Ended</w:t>
            </w:r>
          </w:p>
        </w:tc>
      </w:tr>
      <w:tr>
        <w:trPr>
          <w:trHeight w:val="23"/>
        </w:trPr>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9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36"/>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9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8,109</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IO notes and IO receivables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provision for IO notes and IO receivables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10,177</w:t>
            </w:r>
          </w:p>
        </w:tc>
      </w:tr>
      <w:tr>
        <w:trPr>
          <w:trHeight w:val="21"/>
        </w:trPr>
        <w:tc>
          <w:tcPr>
            <w:tcW w:w="5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amortized cost basis of IO notes by year of origination and credit quality indicator as of July 2, 2022 (amounts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Credit Quality Indicator</w:t>
            </w:r>
          </w:p>
        </w:tc>
        <w:tc>
          <w:tcPr>
            <w:tcW w:w="18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2022 (YTD)</w:t>
            </w: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Prior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TCAP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Non-TCAP</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15,662</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8,596</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35,331</w:t>
            </w:r>
          </w:p>
        </w:tc>
        <w:tc>
          <w:tcPr>
            <w:tcW w:w="0" w:type="dxa"/>
            <w:vAlign w:val="bottom"/>
          </w:tcPr>
          <w:p>
            <w:pPr>
              <w:spacing w:after="0"/>
              <w:rPr>
                <w:sz w:val="1"/>
                <w:szCs w:val="1"/>
                <w:color w:val="auto"/>
              </w:rPr>
            </w:pPr>
          </w:p>
        </w:tc>
      </w:tr>
      <w:tr>
        <w:trPr>
          <w:trHeight w:val="21"/>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Long-term Debt</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9"/>
        </w:trPr>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20" w:type="dxa"/>
            <w:vAlign w:val="bottom"/>
            <w:gridSpan w:val="10"/>
          </w:tcPr>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 (amounts in thousands):</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July 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4"/>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Credit Agreement: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term loan</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w w:val="99"/>
              </w:rPr>
              <w:t>385,000</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23"/>
        </w:trPr>
        <w:tc>
          <w:tcPr>
            <w:tcW w:w="2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gross</w:t>
            </w:r>
          </w:p>
        </w:tc>
        <w:tc>
          <w:tcPr>
            <w:tcW w:w="1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385,000</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460,000</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and debt discounts</w:t>
            </w:r>
          </w:p>
        </w:tc>
        <w:tc>
          <w:tcPr>
            <w:tcW w:w="28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0" w:type="dxa"/>
            <w:vAlign w:val="bottom"/>
          </w:tcPr>
          <w:p>
            <w:pPr>
              <w:spacing w:after="0"/>
              <w:rPr>
                <w:sz w:val="1"/>
                <w:szCs w:val="1"/>
                <w:color w:val="auto"/>
              </w:rPr>
            </w:pPr>
          </w:p>
        </w:tc>
      </w:tr>
      <w:tr>
        <w:trPr>
          <w:trHeight w:val="248"/>
        </w:trPr>
        <w:tc>
          <w:tcPr>
            <w:tcW w:w="2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w w:val="99"/>
              </w:rPr>
              <w:t>378,794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451,468</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GOBP Holdings, Inc. ("GOBP Holdings"), our wholly owned subsidiary, together with another of our wholly owned subsidiaries, has a first lien credit agreement (the "First Lien Credit Agreement") with a syndicate of lenders that consists of a $385.0 million senior term loan and a revolving credit facility for an amount up to $100.0 million, with sub-commitments for a $35.0 million letter of credit and $20.0 million of swingline loans as of July 2, 2022. The First Lien Credit Agreement permits voluntary prepayment on borrowings without premium or penalty. Borrowings under the First Lien Credit Agreement are secured by substantially all the assets of the borrower subsidiary and its guarantors.</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Senior Term Loan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29, 2022, we prepaid $75.0 million of principal on the senior term loan outstanding under our First Lien Credit Agreement. In connection with the payment, we wrote off $1.3 million of previously unamortized debt issuance costs and debt discounts.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$385.0 million senior term loan matures on October 22, 2025, has an applicable margin of 2.75% for Eurodollar loans and 1.75% for base rate loans, and had an effective interest rate of 4.42% as of July 2, 2022. Due to previous prepayments on the senior term loan, no further principal payment on the senior term loan will be due until the maturity date.</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July 2, 2022, we had $3.5 million of outstanding standby letters of credit and $96.5 million of remaining borrowing capacity available under the revolving credit facility, which matures on October 23, 2023. No amounts were outstanding under the revolving credit facility as of July 2, 2022 and January 1, 2022.</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required to pay a quarterly commitment fee ranging from 0.25% to 0.50% on the daily unused amount of the commitment under the revolving credit facility based upon the leverage ratio defined in the agreement and certain criteria specified in the agreement. We are also required to pay fronting fees and other customary fees for letters of credit issued under the revolving credit facility. The interest rate for the revolving credit facility is determined based on a formula using certain market rates.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Debt Covenants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 and other similar distributions, with certain exceptions. Additionally, borrowing availability under the revolving credit facility under our First Lien Credit Agreement is subject to a first lien secured leverage ratio (as defined in the First Lien Credit Agreement) of 7.00 to 1.00.</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2, 2022, we were in compliance with all applicable financial covenant requirements for our First Lien Credit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 of Principal Maturities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maturities of debt as of July 2, 2022 are as follows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2022</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tc>
        <w:tc>
          <w:tcPr>
            <w:tcW w:w="9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Interest expense, net, consisted of the following (amounts in thousands):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5"/>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loans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3,789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and debt discounts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finance leases</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3"/>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3,875</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on debt extinguishment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000" w:type="dxa"/>
            <w:vAlign w:val="bottom"/>
          </w:tcPr>
          <w:p>
            <w:pPr>
              <w:spacing w:after="0"/>
              <w:rPr>
                <w:sz w:val="11"/>
                <w:szCs w:val="11"/>
                <w:color w:val="auto"/>
              </w:rPr>
            </w:pPr>
          </w:p>
        </w:tc>
        <w:tc>
          <w:tcPr>
            <w:tcW w:w="9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397"/>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17"/>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0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 of debt issuance costs</w:t>
            </w:r>
          </w:p>
        </w:tc>
        <w:tc>
          <w:tcPr>
            <w:tcW w:w="98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 off of debt discounts</w:t>
            </w:r>
          </w:p>
        </w:tc>
        <w:tc>
          <w:tcPr>
            <w:tcW w:w="9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0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8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959"/>
        </w:trPr>
        <w:tc>
          <w:tcPr>
            <w:tcW w:w="5000" w:type="dxa"/>
            <w:vAlign w:val="bottom"/>
          </w:tcPr>
          <w:p>
            <w:pPr>
              <w:spacing w:after="0"/>
              <w:rPr>
                <w:sz w:val="24"/>
                <w:szCs w:val="24"/>
                <w:color w:val="auto"/>
              </w:rPr>
            </w:pP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open-market purchases, accelerated share repurchase programs, privately negotiated transactions, structured repurchase transactions and under a Rule 10b5-1 plan (which would permit shares to be repurchased when the Company might otherwise be precluded from doing so under securities laws). Any repurchased shares are constructively retired and returned to an unissued status. During the 13 weeks ended July 2, 2022, we did not repurchase any shares of common stock. During the 26 weeks ended July 2, 2022, we repurchased 139,718 shares of common stock totaling $3.5 million, including commissions, at an average price of $24.70 per share in open-market transactions pursuant to a Rule 10b5-1 plan. As of July 2, 2022, we had $96.5 million of repurchase authority remaining under the share repurchase program.</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Share-based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share-based incentive plans, refer to Note 8 of our 2021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 Activity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all equity incentive plans during the 26 weeks ended July 2, 2022: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18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Time-Based Stock Options</w:t>
            </w:r>
          </w:p>
        </w:tc>
        <w:tc>
          <w:tcPr>
            <w:tcW w:w="308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Performance-Based Stock Options</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500" w:type="dxa"/>
            <w:vAlign w:val="bottom"/>
            <w:tcBorders>
              <w:top w:val="single" w:sz="8" w:color="auto"/>
            </w:tcBorders>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8"/>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outstanding as of January 1, 2022</w:t>
            </w:r>
          </w:p>
        </w:tc>
        <w:tc>
          <w:tcPr>
            <w:tcW w:w="150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3,135,141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1,696,194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9"/>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(158,593)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14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(501,195)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(27,672)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outstanding as of July 2, 2022</w:t>
            </w:r>
          </w:p>
        </w:tc>
        <w:tc>
          <w:tcPr>
            <w:tcW w:w="15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2,948,876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1,194,999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as of July 2, 2022</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1,782,983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1,194,999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summarizes restricted stock unit ("RSU") activity under all equity incentive plans during the 26 weeks ended July 2,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July 2,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1,038,107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performance-based restricted stock unit ("PSU") activity under the Grocery Outlet Holding Corp. 2019 Incentive Plan during the 26 weeks ended July 2,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14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95"/>
        </w:trPr>
        <w:tc>
          <w:tcPr>
            <w:tcW w:w="8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Granted </w:t>
            </w:r>
            <w:r>
              <w:rPr>
                <w:rFonts w:ascii="Times New Roman" w:cs="Times New Roman" w:eastAsia="Times New Roman" w:hAnsi="Times New Roman"/>
                <w:sz w:val="23"/>
                <w:szCs w:val="23"/>
                <w:color w:val="auto"/>
                <w:vertAlign w:val="superscript"/>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Adjustment for expected performance achievement </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Unvested balance as of July 2, 2022 </w:t>
            </w:r>
            <w:r>
              <w:rPr>
                <w:rFonts w:ascii="Times New Roman" w:cs="Times New Roman" w:eastAsia="Times New Roman" w:hAnsi="Times New Roman"/>
                <w:sz w:val="23"/>
                <w:szCs w:val="23"/>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1,138,159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initial grant of PSUs based on performance target level achievement of 100%.</w:t>
      </w:r>
    </w:p>
    <w:p>
      <w:pPr>
        <w:spacing w:after="0" w:line="59"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adjustment to previously granted PSUs based on performance expectations as of July 2, 2022.</w:t>
      </w:r>
    </w:p>
    <w:p>
      <w:pPr>
        <w:spacing w:after="0" w:line="7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additional 672,303 PSUs could potentially be included if the maximum performance level of 200% is reached for all PSUs outstanding as of July 2, 2022.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stock options, RSUs and PSUs by amortizing the grant date fair value on a straight-line basis over the expected vesting period to the extent we determine the vesting of the grant is probable. We recognize share-based award forfeitures in the period such forfeitures occur.</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Share-based compensation expense consisted of the following (amounts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31"/>
        </w:trPr>
        <w:tc>
          <w:tcPr>
            <w:tcW w:w="5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5"/>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20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4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415"/>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Time-based stock options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w:t>
            </w:r>
          </w:p>
        </w:tc>
      </w:tr>
      <w:tr>
        <w:trPr>
          <w:trHeight w:val="230"/>
        </w:trPr>
        <w:tc>
          <w:tcPr>
            <w:tcW w:w="51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Dividends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48"/>
        </w:trPr>
        <w:tc>
          <w:tcPr>
            <w:tcW w:w="5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right="20" w:hanging="492"/>
        <w:spacing w:after="0" w:line="280" w:lineRule="auto"/>
        <w:tabs>
          <w:tab w:leader="none" w:pos="5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dividends paid upon vesting of share-based awards as a result of dividends declared in connection with recapitalizations that occurred in fiscal 2018 and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Income Taxes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income tax expense and effective income tax rate were as follows (amounts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4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8"/>
        </w:trPr>
        <w:tc>
          <w:tcPr>
            <w:tcW w:w="46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99"/>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499"/>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6"/>
        </w:trPr>
        <w:tc>
          <w:tcPr>
            <w:tcW w:w="46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5,131</w:t>
            </w: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r>
    </w:tbl>
    <w:p>
      <w:pPr>
        <w:spacing w:after="0" w:line="16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tax provision for interim periods is determined using an estimated annual effective tax rate, adjusted for discrete events arising in each respective quarter. During each interim period, the Company updates the estimated annual effective tax rate. Our effective income tax rate for the 13 and 26 weeks ended July 2, 2022 was lower than the combined U.S. federal and state statutory income tax rate primarily due to excess tax benefits related to the exercise of stock options and vesting of RSUs. The decrease in our effective income tax rate for the 13 weeks ended July 2, 2022 compared to the 13 weeks ended July 3, 2021 was primarily due to an increase in discrete items related to the exercise of stock options and vesting of RSUs while the increase in our effective income tax rate for the 26 weeks ended July 2, 2022 compared to the 26 weeks ended July 3, 2021 was primarily due to a reduction in discrete items related to the exercise of stock options and vesting of RSUs.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policy is to recognize interest and penalties associated with uncertain tax positions as part of the income tax provision and include accrued interest and penalties with the related income tax liability on our condensed consolidated balance sheets. To date, we have not recognized any interest and penalties in our condensed consolidated statements of operations and comprehensive income, nor have we accrued for or made payments for interest and penalties. We had no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uncertain tax positions as of July 2, 2022 and January 1, 2022, respectively, and do not anticipate any changes to our uncertain tax positions within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July 2, 2022 and July 3, 2021, we leased 15 store locations and one warehouse location from entities in which Eric Lindberg, Jr., Chief Executive Officer, and MacGregor Read, Jr., Vice Chairman of our Board of Directors, or their respective families, had a direct or indirect financial interest. As of July 2, 2022, the right-of-use assets and lease liabilities related to these properties was $42.1 million and $46.9 million, respectively. As of January 1, 2022, the right-of-use assets and lease liabilities related to these properties was $36.9 million and $41.6 million, respectively. These related parties received aggregate lease payments from us of $1.8 million and $1.5 million for the 13 weeks ended July 2, 2022 and July 3, 2021, respectively, and $3.4 million and $3.0 million for the 26 weeks ended July 2, 2022 and July 3, 2021,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Operator Notes and Independent Operator Receivables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offer interest-bearing notes to IOs and the gross amount of IO operating notes and IO receivables due was $43.0 million and $40.6 million as of July 2, 2022 and January 1, 2022, respectively. See Note 2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the Company will provide disclosure regarding the contingency. Management believes that we do not have any pending litigation that, separately or in the aggregate, would have a material adverse effect on our results of operations, financial condition or cash flows.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Earnings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calculation of basic and diluted earnings per share (amounts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0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4"/>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4"/>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95,449</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RSUs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50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6"/>
                <w:szCs w:val="16"/>
                <w:color w:val="auto"/>
              </w:rPr>
              <w:t xml:space="preserve">Weighted-average shares outstanding – diluted </w:t>
            </w:r>
            <w:r>
              <w:rPr>
                <w:rFonts w:ascii="Times New Roman" w:cs="Times New Roman" w:eastAsia="Times New Roman" w:hAnsi="Times New Roman"/>
                <w:sz w:val="25"/>
                <w:szCs w:val="25"/>
                <w:color w:val="auto"/>
                <w:vertAlign w:val="superscript"/>
              </w:rPr>
              <w:t>(1)</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99,587</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jc w:val="both"/>
        <w:ind w:left="500" w:hanging="492"/>
        <w:spacing w:after="0" w:line="272" w:lineRule="auto"/>
        <w:tabs>
          <w:tab w:leader="none" w:pos="500" w:val="left"/>
        </w:tabs>
        <w:numPr>
          <w:ilvl w:val="0"/>
          <w:numId w:val="8"/>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the 13 and 26 weeks ended July 2, 2022 and July 3, 2021.</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weighted-average common share equivalents were excluded from the calculation of diluted earnings per share because their effect would have been anti-dilutive (amounts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31"/>
        </w:trPr>
        <w:tc>
          <w:tcPr>
            <w:tcW w:w="5000" w:type="dxa"/>
            <w:vAlign w:val="bottom"/>
          </w:tcPr>
          <w:p>
            <w:pPr>
              <w:spacing w:after="0"/>
              <w:rPr>
                <w:sz w:val="11"/>
                <w:szCs w:val="11"/>
                <w:color w:val="auto"/>
              </w:rPr>
            </w:pPr>
          </w:p>
        </w:tc>
        <w:tc>
          <w:tcPr>
            <w:tcW w:w="980" w:type="dxa"/>
            <w:vAlign w:val="bottom"/>
          </w:tcPr>
          <w:p>
            <w:pPr>
              <w:jc w:val="center"/>
              <w:ind w:left="428"/>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left="248"/>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00" w:type="dxa"/>
            <w:vAlign w:val="bottom"/>
            <w:gridSpan w:val="3"/>
          </w:tcPr>
          <w:p>
            <w:pPr>
              <w:jc w:val="center"/>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980" w:type="dxa"/>
            <w:vAlign w:val="bottom"/>
          </w:tcPr>
          <w:p>
            <w:pPr>
              <w:jc w:val="center"/>
              <w:ind w:right="422"/>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gridSpan w:val="3"/>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98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read the following discussion of our financial condition and results of operations in conjunction with the unaudited condensed consolidated financial statements and related notes thereto included elsewhere </w:t>
      </w:r>
      <w:r>
        <w:rPr>
          <w:rFonts w:ascii="Times New Roman" w:cs="Times New Roman" w:eastAsia="Times New Roman" w:hAnsi="Times New Roman"/>
          <w:sz w:val="18"/>
          <w:szCs w:val="18"/>
          <w:i w:val="1"/>
          <w:iCs w:val="1"/>
          <w:color w:val="231F20"/>
        </w:rPr>
        <w:t>in this report,</w:t>
      </w:r>
      <w:r>
        <w:rPr>
          <w:rFonts w:ascii="Times New Roman" w:cs="Times New Roman" w:eastAsia="Times New Roman" w:hAnsi="Times New Roman"/>
          <w:sz w:val="18"/>
          <w:szCs w:val="18"/>
          <w:i w:val="1"/>
          <w:iCs w:val="1"/>
          <w:color w:val="auto"/>
        </w:rPr>
        <w:t xml:space="preserve"> and the audited consolidated financial statements and related notes thereto and management's discussion and analysis of financial condition and results of operations included in our Annual Report on Form 10-K for the fiscal year ended January 1, 2022 ("2021 Form 10-K").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other sections of this report.</w:t>
      </w:r>
    </w:p>
    <w:p>
      <w:pPr>
        <w:spacing w:after="0" w:line="74"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We operate on a fiscal year that ends on the Saturday closest to December 31st each year. References to the second quarter of fiscal 2022 and the second quarter of fiscal 2021 refer to the 13 weeks ended July 2, 2022 and July 3, 2021, respectively.</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231F20"/>
        </w:rPr>
        <w:t>As used in this report, references to "Grocery Outlet," "the Company," "the registrant," "we," "us" and "our," refer to Grocery Outlet Holding Corp.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and its consolidated subsidiaries unless otherwise indicated or the context requires otherwise.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 As of July 2, 2022, we had 425 stores in California, Washington, Oregon, Pennsylvania, Idaho, Nevada, New Jersey and Maryland.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Conditions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2022, our business continued to be adversely affected by supply chain challenges, inflation, and changes in consumer behavior and discretionary income due to various macroeconomic conditions, such as the COVID-19 pandemic and the ongoing military conflict between Ukraine and Russia.</w:t>
      </w:r>
    </w:p>
    <w:p>
      <w:pPr>
        <w:spacing w:after="0" w:line="6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IOs currently face and expect to continue to face staffing challenges and increased labor costs. Further, like many companies in the grocery and retail sectors, we continue to experience increased costs resulting in part from supply disruptions, increased shipping and transportation costs, increased commodity costs, increased labor costs in the supply chain and other disruptions. These increased costs continued to negatively impact our cost of sales in the first half of fiscal 2022, and they may continue into the future. Further, planned construction and opening of new stores has been, and may continue to be, negatively impacted due to increased lead times to acquire materials, obtain permits and licenses and other related factors. Therefore, we continue to plan for lower new store growth in fiscal 2022, compared to our long-term strategic goal of 10%, including with more new stores weighted towards the second half of the year.</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extent and continuing impact of these factors on our operational and financial performance will depend on many factors, including those outside of our control. Because we offer a broad selection of merchandise at extreme values, historically our business has benefited from periods of economic uncertainty. Further, we believe the flexibility of our unique buying model, our strong vendor relationships and our agile approach to inventory management will allow us to maintain healthy inventory levels, continue to offer a competitive assortment of products for our customers and to effectively operate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Measures We Use to Evaluate Our Business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consider a variety of financial and operating measures in assessing the performance of our business. The key generally accepted accounting principles ("GAAP") financial measures we use are net sales, gross profit and gross margin, selling, general and administrative expenses ("SG&amp;A") and operating income. The key operational metrics and non-GAAP financial measures we use are number of new stores, comparable store sales, EBITDA, adjusted EBITDA, adjusted net income and adjusted earnings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of Fiscal 2022 Overview</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financial and operating performance results for the second quarter of fiscal 2022 were as follows:</w:t>
      </w:r>
    </w:p>
    <w:p>
      <w:pPr>
        <w:spacing w:after="0" w:line="117" w:lineRule="exact"/>
        <w:rPr>
          <w:sz w:val="20"/>
          <w:szCs w:val="20"/>
          <w:color w:val="auto"/>
        </w:rPr>
      </w:pPr>
    </w:p>
    <w:p>
      <w:pPr>
        <w:ind w:left="820" w:right="20" w:hanging="326"/>
        <w:spacing w:after="0" w:line="274" w:lineRule="auto"/>
        <w:tabs>
          <w:tab w:leader="none" w:pos="8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by 15.7% to $897.7 million from $775.5 million in the second quarter of fiscal 2021; comparable store sales increased by 11.2% and on a 3-year stacked basis increased by 17.9%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opened seven new stores, ending the second quarter of fiscal 2022 with 425 stores in eight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820" w:right="20" w:hanging="326"/>
        <w:spacing w:after="0" w:line="282" w:lineRule="auto"/>
        <w:tabs>
          <w:tab w:leader="none" w:pos="8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increased by 2.3% to $20.1 million, or $0.20 per diluted share, compared to net income of $19.6 million, or $0.20 per diluted share, in the second quarter of fiscal 2021.</w:t>
      </w:r>
    </w:p>
    <w:p>
      <w:pPr>
        <w:spacing w:after="0" w:line="5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increased by 18.3% to $60.1 million compared to $50.8 million in the second quarter of fiscal 2021.</w:t>
      </w:r>
    </w:p>
    <w:p>
      <w:pPr>
        <w:spacing w:after="0" w:line="41" w:lineRule="exact"/>
        <w:rPr>
          <w:rFonts w:ascii="Times New Roman" w:cs="Times New Roman" w:eastAsia="Times New Roman" w:hAnsi="Times New Roman"/>
          <w:sz w:val="18"/>
          <w:szCs w:val="18"/>
          <w:color w:val="auto"/>
        </w:rPr>
      </w:pPr>
    </w:p>
    <w:p>
      <w:pPr>
        <w:ind w:left="820" w:hanging="326"/>
        <w:spacing w:after="0" w:line="233" w:lineRule="auto"/>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increased by 23.6% to $28.9 million, or $0.29 per adjusted diluted share</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compared to $23.3 million, or $0.23 per</w:t>
      </w:r>
    </w:p>
    <w:p>
      <w:pPr>
        <w:ind w:left="820"/>
        <w:spacing w:after="0"/>
        <w:rPr>
          <w:sz w:val="20"/>
          <w:szCs w:val="20"/>
          <w:color w:val="auto"/>
        </w:rPr>
      </w:pPr>
      <w:r>
        <w:rPr>
          <w:rFonts w:ascii="Times New Roman" w:cs="Times New Roman" w:eastAsia="Times New Roman" w:hAnsi="Times New Roman"/>
          <w:sz w:val="18"/>
          <w:szCs w:val="18"/>
          <w:color w:val="auto"/>
        </w:rPr>
        <w:t>adjusted diluted share, in the second quarter of fiscal 2021.</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03" w:lineRule="exact"/>
        <w:rPr>
          <w:sz w:val="20"/>
          <w:szCs w:val="20"/>
          <w:color w:val="auto"/>
        </w:rPr>
      </w:pPr>
    </w:p>
    <w:p>
      <w:pPr>
        <w:ind w:left="660" w:hanging="328"/>
        <w:spacing w:after="0" w:line="298"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on a 3-year stacked basis represents the sum of the increase or decrease in comparable store sales, as reported, in the second quarters of fiscal 2022, 2021 and 2020.</w:t>
      </w:r>
    </w:p>
    <w:p>
      <w:pPr>
        <w:spacing w:after="0" w:line="42" w:lineRule="exact"/>
        <w:rPr>
          <w:rFonts w:ascii="Times New Roman" w:cs="Times New Roman" w:eastAsia="Times New Roman" w:hAnsi="Times New Roman"/>
          <w:sz w:val="16"/>
          <w:szCs w:val="16"/>
          <w:color w:val="auto"/>
        </w:rPr>
      </w:pPr>
    </w:p>
    <w:p>
      <w:pPr>
        <w:jc w:val="both"/>
        <w:ind w:left="660" w:hanging="328"/>
        <w:spacing w:after="0" w:line="263" w:lineRule="auto"/>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See the "Operating Metrics and Non-GAAP Financial Measures" section below for additional information about these items, including their definitions, how management utilizes such non-GAAP financial measures and reconciliations of the non-GAAP measures and the most directly comparable GAAP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and non-comparable stores, described below under "Comparable Store Sales."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and discretionary income. Our customers' discretionary income is primarily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Gross Profit and Gross Margin</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Cost of sales includes, among other things, merchandise costs, inventory markdowns, inventory losses and transportation,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current macroeconomic conditions, including inflationary cost increases for goods, labor and transportation, supply chain constraints and changes in discretionary income, have resulted and could continue to result in unexpected changes to our gross margins. The components of our cost of sales may not be comparable to the components of cost of sales or similar measures of our competitors and other retailers. As a result, our gross profit and gross margin may not be comparable to similar data made available by our competitors and other retailers.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SG&amp;A expenses are comprised of both store-related expenses and corporate expenses. Our store-related expenses include commissions paid to IOs, occupancy and our portion of maintenance costs and the cost of opening new IO stores. Company-operated store-related expenses also include payroll, benefits, supplies and utilities. Corporate expenses include payroll and benefits for corporate and field support, marketing and advertising, insurance and professional services and operator recruiting and training costs. SG&amp;A generally increases as we grow our store base and invest in our corporate infrastructure. SG&amp;A expenses related to commissions paid to IOs are variable in nature and generally increase as gross profits rise and decrease as gross profits decline. We continue to closely manage our expenses and monitor SG&amp;A as a percentage of net sales. The components of our SG&amp;A may not be comparable to the components of similar measures of our competitors and other retailers. We expect that our SG&amp;A will continue to increase in future periods as we continue to grow our net sales and gross profits.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income is gross profit less SG&amp;A, depreciation and amortization and share-based compensation. Operating income excludes interest expense, net, gain on insurance recoveries, debt extinguishment and modification costs and income tax expense. We use operating income as an indicator of the productivity of our business and our ability to manage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both in dollars and as a percentage of net sales (amounts in thousands, except for percentages):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8"/>
        </w:trPr>
        <w:tc>
          <w:tcPr>
            <w:tcW w:w="498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45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6"/>
        </w:trPr>
        <w:tc>
          <w:tcPr>
            <w:tcW w:w="49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897,659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1,729,086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1,528,001</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618,248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1,198,786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1,058,276</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530,300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469,725</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381,553</w:t>
            </w:r>
          </w:p>
        </w:tc>
      </w:tr>
      <w:tr>
        <w:trPr>
          <w:trHeight w:val="230"/>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32,502</w:t>
            </w: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23"/>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252,500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483,961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422,204</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w:t>
            </w: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29"/>
        </w:trPr>
        <w:tc>
          <w:tcPr>
            <w:tcW w:w="4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3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2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2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43,663</w:t>
            </w:r>
          </w:p>
        </w:tc>
      </w:tr>
      <w:tr>
        <w:trPr>
          <w:trHeight w:val="229"/>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1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40" w:type="dxa"/>
            <w:vAlign w:val="bottom"/>
          </w:tcPr>
          <w:p>
            <w:pPr>
              <w:spacing w:after="0"/>
              <w:rPr>
                <w:sz w:val="16"/>
                <w:szCs w:val="16"/>
                <w:color w:val="auto"/>
              </w:rPr>
            </w:pPr>
          </w:p>
        </w:tc>
      </w:tr>
      <w:tr>
        <w:trPr>
          <w:trHeight w:val="23"/>
        </w:trPr>
        <w:tc>
          <w:tcPr>
            <w:tcW w:w="470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218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r>
      <w:tr>
        <w:trPr>
          <w:trHeight w:val="128"/>
        </w:trPr>
        <w:tc>
          <w:tcPr>
            <w:tcW w:w="4700" w:type="dxa"/>
            <w:vAlign w:val="bottom"/>
          </w:tcPr>
          <w:p>
            <w:pPr>
              <w:spacing w:after="0"/>
              <w:rPr>
                <w:sz w:val="11"/>
                <w:szCs w:val="11"/>
                <w:color w:val="auto"/>
              </w:rPr>
            </w:pPr>
          </w:p>
        </w:tc>
        <w:tc>
          <w:tcPr>
            <w:tcW w:w="2180" w:type="dxa"/>
            <w:vAlign w:val="bottom"/>
            <w:tcBorders>
              <w:top w:val="single" w:sz="8" w:color="auto"/>
            </w:tcBorders>
            <w:gridSpan w:val="3"/>
          </w:tcPr>
          <w:p>
            <w:pPr>
              <w:ind w:left="58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1040" w:type="dxa"/>
            <w:vAlign w:val="bottom"/>
            <w:tcBorders>
              <w:top w:val="single" w:sz="8" w:color="auto"/>
            </w:tcBorders>
          </w:tcPr>
          <w:p>
            <w:pPr>
              <w:jc w:val="right"/>
              <w:ind w:right="49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2180" w:type="dxa"/>
            <w:vAlign w:val="bottom"/>
            <w:tcBorders>
              <w:top w:val="single" w:sz="8" w:color="auto"/>
            </w:tcBorders>
            <w:gridSpan w:val="3"/>
          </w:tcPr>
          <w:p>
            <w:pPr>
              <w:ind w:left="58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1040" w:type="dxa"/>
            <w:vAlign w:val="bottom"/>
            <w:tcBorders>
              <w:top w:val="single" w:sz="8" w:color="auto"/>
            </w:tcBorders>
          </w:tcPr>
          <w:p>
            <w:pPr>
              <w:jc w:val="right"/>
              <w:ind w:right="49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6"/>
        </w:trPr>
        <w:tc>
          <w:tcPr>
            <w:tcW w:w="47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7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b w:val="1"/>
                <w:bCs w:val="1"/>
                <w:color w:val="auto"/>
              </w:rPr>
              <w:t xml:space="preserve">Percentage of net sales </w:t>
            </w:r>
            <w:r>
              <w:rPr>
                <w:rFonts w:ascii="Times New Roman" w:cs="Times New Roman" w:eastAsia="Times New Roman" w:hAnsi="Times New Roman"/>
                <w:sz w:val="23"/>
                <w:szCs w:val="23"/>
                <w:b w:val="1"/>
                <w:bCs w:val="1"/>
                <w:color w:val="auto"/>
                <w:vertAlign w:val="superscript"/>
              </w:rPr>
              <w:t>(1)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69.3 %</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27.6 %</w:t>
            </w:r>
          </w:p>
        </w:tc>
      </w:tr>
      <w:tr>
        <w:trPr>
          <w:trHeight w:val="22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1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insurance recoveries</w:t>
            </w:r>
          </w:p>
        </w:tc>
        <w:tc>
          <w:tcPr>
            <w:tcW w:w="2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18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7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expenses (income)</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and comprehensive income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0"/>
        </w:trPr>
        <w:tc>
          <w:tcPr>
            <w:tcW w:w="47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Components may not sum to totals due to rounding.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Financial Measures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New Stores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number of new stores reflects the number of stores opened during a particular reporting period. New stores require an initial capital investment in the store build-outs, fixtures and equipment that we amortize over time as well as cash required for inventory and pre-opening expenses.</w:t>
      </w:r>
    </w:p>
    <w:p>
      <w:pPr>
        <w:spacing w:after="0" w:line="5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expect new store growth to be the primary driver of our net sales growth over the long term. We lease substantially all of our store locations. Our initial lease terms on stores are typically ten years with options to renew for two or three successive five-year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Comparable Store Sales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we exclude the net sales in the non-comparable week of a 53-week year from the same store sales calculation after comparing the current and prior year weekly periods that are most closely aligned.</w:t>
      </w:r>
    </w:p>
    <w:p>
      <w:pPr>
        <w:spacing w:after="0" w:line="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measures we use to assess the success of our growth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Adjusted EBITDA, Adjusted Net Income and Adjusted Earnings Per Share</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8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define EBITDA as net income before net interest expense, income taxes and depreciation and amortization expenses. Adjusted EBITDA represents EBITDA adjusted to exclude share-based compensation expense, non-cash rent, asset impairment and gain or loss on disposition, provision for accounts receivable reserves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summarizes key operating metrics and non-GAAP financial measures for the periods presented (amounts in thousands, except for percentages and store counts):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40" w:type="dxa"/>
            <w:vAlign w:val="bottom"/>
          </w:tcPr>
          <w:p>
            <w:pPr>
              <w:spacing w:after="0"/>
              <w:rPr>
                <w:sz w:val="16"/>
                <w:szCs w:val="16"/>
                <w:color w:val="auto"/>
              </w:rPr>
            </w:pPr>
          </w:p>
        </w:tc>
      </w:tr>
      <w:tr>
        <w:trPr>
          <w:trHeight w:val="23"/>
        </w:trPr>
        <w:tc>
          <w:tcPr>
            <w:tcW w:w="4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31"/>
        </w:trPr>
        <w:tc>
          <w:tcPr>
            <w:tcW w:w="46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495"/>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2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495"/>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4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Financial and Operations Data</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new stores</w:t>
            </w:r>
          </w:p>
        </w:tc>
        <w:tc>
          <w:tcPr>
            <w:tcW w:w="34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stores open at end of period</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Comparable store sales increase (decrease) </w:t>
            </w:r>
            <w:r>
              <w:rPr>
                <w:rFonts w:ascii="Times New Roman" w:cs="Times New Roman" w:eastAsia="Times New Roman" w:hAnsi="Times New Roman"/>
                <w:sz w:val="26"/>
                <w:szCs w:val="26"/>
                <w:color w:val="auto"/>
                <w:vertAlign w:val="superscript"/>
              </w:rPr>
              <w:t>(1)</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EBITDA </w:t>
            </w:r>
            <w:r>
              <w:rPr>
                <w:rFonts w:ascii="Times New Roman" w:cs="Times New Roman" w:eastAsia="Times New Roman" w:hAnsi="Times New Roman"/>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45,191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45,311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83,609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85,302</w:t>
            </w:r>
          </w:p>
        </w:tc>
      </w:tr>
      <w:tr>
        <w:trPr>
          <w:trHeight w:val="230"/>
        </w:trPr>
        <w:tc>
          <w:tcPr>
            <w:tcW w:w="466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EBITDA </w:t>
            </w:r>
            <w:r>
              <w:rPr>
                <w:rFonts w:ascii="Times New Roman" w:cs="Times New Roman" w:eastAsia="Times New Roman" w:hAnsi="Times New Roman"/>
                <w:sz w:val="26"/>
                <w:szCs w:val="26"/>
                <w:color w:val="auto"/>
                <w:vertAlign w:val="superscript"/>
              </w:rPr>
              <w:t>(2)</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60,137</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50,836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109,387</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99,673</w:t>
            </w:r>
          </w:p>
        </w:tc>
      </w:tr>
      <w:tr>
        <w:trPr>
          <w:trHeight w:val="229"/>
        </w:trPr>
        <w:tc>
          <w:tcPr>
            <w:tcW w:w="4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Adjusted net income </w:t>
            </w:r>
            <w:r>
              <w:rPr>
                <w:rFonts w:ascii="Times New Roman" w:cs="Times New Roman" w:eastAsia="Times New Roman" w:hAnsi="Times New Roman"/>
                <w:sz w:val="26"/>
                <w:szCs w:val="26"/>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28,853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23,335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50,360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46,459</w:t>
            </w:r>
          </w:p>
        </w:tc>
      </w:tr>
    </w:tbl>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62" w:lineRule="exact"/>
        <w:rPr>
          <w:sz w:val="20"/>
          <w:szCs w:val="20"/>
          <w:color w:val="auto"/>
        </w:rPr>
      </w:pPr>
    </w:p>
    <w:p>
      <w:pPr>
        <w:ind w:left="500" w:hanging="492"/>
        <w:spacing w:after="0" w:line="280" w:lineRule="auto"/>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Comparable store sales consist of net sales from our stores beginning on the first day of the fourteenth full fiscal month following the store's opening, which is when we believe comparability is achieved.</w:t>
      </w:r>
    </w:p>
    <w:p>
      <w:pPr>
        <w:spacing w:after="0" w:line="2"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"GAAP to Non-GAAP Reconciliations" section below for the applicable reconciliations.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GAAP to Non-GAAP Reconciliations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31"/>
        </w:trPr>
        <w:tc>
          <w:tcPr>
            <w:tcW w:w="50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12"/>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12"/>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5"/>
        </w:trPr>
        <w:tc>
          <w:tcPr>
            <w:tcW w:w="50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7,828</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r>
      <w:tr>
        <w:trPr>
          <w:trHeight w:val="230"/>
        </w:trPr>
        <w:tc>
          <w:tcPr>
            <w:tcW w:w="5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Depreciation and amortization expenses </w:t>
            </w:r>
            <w:r>
              <w:rPr>
                <w:rFonts w:ascii="Times New Roman" w:cs="Times New Roman" w:eastAsia="Times New Roman" w:hAnsi="Times New Roman"/>
                <w:sz w:val="26"/>
                <w:szCs w:val="26"/>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38,544</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33,811</w:t>
            </w:r>
          </w:p>
        </w:tc>
      </w:tr>
      <w:tr>
        <w:trPr>
          <w:trHeight w:val="223"/>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85,302</w:t>
            </w:r>
          </w:p>
        </w:tc>
      </w:tr>
      <w:tr>
        <w:trPr>
          <w:trHeight w:val="230"/>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Non-cash rent </w:t>
            </w:r>
            <w:r>
              <w:rPr>
                <w:rFonts w:ascii="Times New Roman" w:cs="Times New Roman" w:eastAsia="Times New Roman" w:hAnsi="Times New Roman"/>
                <w:sz w:val="26"/>
                <w:szCs w:val="26"/>
                <w:color w:val="auto"/>
                <w:vertAlign w:val="superscript"/>
              </w:rPr>
              <w:t>(3)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29"/>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Provision for accounts receivable reserves </w:t>
            </w:r>
            <w:r>
              <w:rPr>
                <w:rFonts w:ascii="Times New Roman" w:cs="Times New Roman" w:eastAsia="Times New Roman" w:hAnsi="Times New Roman"/>
                <w:sz w:val="26"/>
                <w:szCs w:val="26"/>
                <w:color w:val="auto"/>
                <w:vertAlign w:val="superscript"/>
              </w:rPr>
              <w:t>(5)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29"/>
        </w:trPr>
        <w:tc>
          <w:tcPr>
            <w:tcW w:w="50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48"/>
        </w:trPr>
        <w:tc>
          <w:tcPr>
            <w:tcW w:w="5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99,673</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733"/>
        </w:trPr>
        <w:tc>
          <w:tcPr>
            <w:tcW w:w="5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80" w:type="dxa"/>
            <w:vAlign w:val="bottom"/>
          </w:tcPr>
          <w:p>
            <w:pPr>
              <w:spacing w:after="0"/>
              <w:rPr>
                <w:sz w:val="24"/>
                <w:szCs w:val="24"/>
                <w:color w:val="auto"/>
              </w:rPr>
            </w:pPr>
          </w:p>
        </w:tc>
      </w:tr>
      <w:tr>
        <w:trPr>
          <w:trHeight w:val="23"/>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8"/>
        </w:trPr>
        <w:tc>
          <w:tcPr>
            <w:tcW w:w="50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42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4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5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412"/>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r>
      <w:tr>
        <w:trPr>
          <w:trHeight w:val="196"/>
        </w:trPr>
        <w:tc>
          <w:tcPr>
            <w:tcW w:w="50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1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38,532</w:t>
            </w:r>
          </w:p>
        </w:tc>
      </w:tr>
      <w:tr>
        <w:trPr>
          <w:trHeight w:val="229"/>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Share-based compensation expenses </w:t>
            </w:r>
            <w:r>
              <w:rPr>
                <w:rFonts w:ascii="Times New Roman" w:cs="Times New Roman" w:eastAsia="Times New Roman" w:hAnsi="Times New Roman"/>
                <w:sz w:val="26"/>
                <w:szCs w:val="26"/>
                <w:color w:val="auto"/>
                <w:vertAlign w:val="superscript"/>
              </w:rPr>
              <w:t>(2)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Non-cash rent </w:t>
            </w:r>
            <w:r>
              <w:rPr>
                <w:rFonts w:ascii="Times New Roman" w:cs="Times New Roman" w:eastAsia="Times New Roman" w:hAnsi="Times New Roman"/>
                <w:sz w:val="26"/>
                <w:szCs w:val="26"/>
                <w:color w:val="auto"/>
                <w:vertAlign w:val="superscript"/>
              </w:rPr>
              <w:t>(3)</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w:t>
            </w:r>
          </w:p>
        </w:tc>
      </w:tr>
      <w:tr>
        <w:trPr>
          <w:trHeight w:val="230"/>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Asset impairment and gain or loss on disposition </w:t>
            </w:r>
            <w:r>
              <w:rPr>
                <w:rFonts w:ascii="Times New Roman" w:cs="Times New Roman" w:eastAsia="Times New Roman" w:hAnsi="Times New Roman"/>
                <w:sz w:val="26"/>
                <w:szCs w:val="26"/>
                <w:color w:val="auto"/>
                <w:vertAlign w:val="superscript"/>
              </w:rPr>
              <w:t>(4)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Provision for accounts receivable reserves </w:t>
            </w:r>
            <w:r>
              <w:rPr>
                <w:rFonts w:ascii="Times New Roman" w:cs="Times New Roman" w:eastAsia="Times New Roman" w:hAnsi="Times New Roman"/>
                <w:sz w:val="26"/>
                <w:szCs w:val="26"/>
                <w:color w:val="auto"/>
                <w:vertAlign w:val="superscript"/>
              </w:rPr>
              <w:t>(5)</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30"/>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6"/>
                <w:szCs w:val="26"/>
                <w:color w:val="auto"/>
                <w:vertAlign w:val="superscript"/>
              </w:rPr>
              <w:t>(6)</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175"/>
        </w:trPr>
        <w:tc>
          <w:tcPr>
            <w:tcW w:w="5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purchase accounting assets and deferred financing</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43"/>
        </w:trPr>
        <w:tc>
          <w:tcPr>
            <w:tcW w:w="50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8"/>
                <w:szCs w:val="28"/>
                <w:color w:val="auto"/>
                <w:vertAlign w:val="superscript"/>
              </w:rPr>
              <w:t>(7)</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r>
      <w:tr>
        <w:trPr>
          <w:trHeight w:val="230"/>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adjustment to normalize effective tax rate </w:t>
            </w:r>
            <w:r>
              <w:rPr>
                <w:rFonts w:ascii="Times New Roman" w:cs="Times New Roman" w:eastAsia="Times New Roman" w:hAnsi="Times New Roman"/>
                <w:sz w:val="26"/>
                <w:szCs w:val="26"/>
                <w:color w:val="auto"/>
                <w:vertAlign w:val="superscript"/>
              </w:rPr>
              <w:t>(8)</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w:t>
            </w: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7"/>
                <w:szCs w:val="17"/>
                <w:color w:val="auto"/>
              </w:rPr>
              <w:t xml:space="preserve">Tax effect of total adjustments </w:t>
            </w:r>
            <w:r>
              <w:rPr>
                <w:rFonts w:ascii="Times New Roman" w:cs="Times New Roman" w:eastAsia="Times New Roman" w:hAnsi="Times New Roman"/>
                <w:sz w:val="26"/>
                <w:szCs w:val="26"/>
                <w:color w:val="auto"/>
                <w:vertAlign w:val="superscript"/>
              </w:rPr>
              <w:t>(9)</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23"/>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50,360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46,459</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earnings per share</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3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29"/>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96,358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95,449</w:t>
            </w:r>
          </w:p>
        </w:tc>
      </w:tr>
      <w:tr>
        <w:trPr>
          <w:trHeight w:val="234"/>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100,140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99,788</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99,587</w:t>
            </w:r>
          </w:p>
        </w:tc>
      </w:tr>
    </w:tbl>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w:t>
      </w:r>
    </w:p>
    <w:p>
      <w:pPr>
        <w:spacing w:after="0" w:line="49" w:lineRule="exact"/>
        <w:rPr>
          <w:sz w:val="20"/>
          <w:szCs w:val="20"/>
          <w:color w:val="auto"/>
        </w:rPr>
      </w:pPr>
    </w:p>
    <w:p>
      <w:pPr>
        <w:ind w:left="500" w:hanging="492"/>
        <w:spacing w:after="0" w:line="290" w:lineRule="auto"/>
        <w:tabs>
          <w:tab w:leader="none" w:pos="5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depreciation related to our distribution centers, which is included within the cost of sales line item in our condensed consolidated statements of operations and comprehensive income. See Note 1 to the condensed consolidated financial statements for additional information about the components of cost of sales.</w:t>
      </w:r>
    </w:p>
    <w:p>
      <w:pPr>
        <w:jc w:val="both"/>
        <w:ind w:left="500" w:hanging="492"/>
        <w:spacing w:after="0" w:line="272" w:lineRule="auto"/>
        <w:tabs>
          <w:tab w:leader="none" w:pos="500" w:val="left"/>
        </w:tabs>
        <w:numPr>
          <w:ilvl w:val="0"/>
          <w:numId w:val="1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auto"/>
        </w:rPr>
        <w:t>Includes non-cash share-based compensation expense and cash dividends paid on vested share-based awards as a result of dividends declared in connection with recapitalizations that occurred in fiscal 2018 and 2016. See "Share-based Compensation Expense" in the "Comparison of the 13 and 26 weeks ended July 2, 2022 and July 3, 2021" section below for additional information.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11" w:lineRule="exact"/>
        <w:rPr>
          <w:sz w:val="20"/>
          <w:szCs w:val="20"/>
          <w:color w:val="auto"/>
        </w:rPr>
      </w:pPr>
    </w:p>
    <w:p>
      <w:pPr>
        <w:ind w:left="500" w:hanging="492"/>
        <w:spacing w:after="0" w:line="28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the non-cash portion of rent expense, which represents the difference between our straight-line rent expense recognized under GAAP and cash rent payments. The adjustment can vary depending on the average age of our lease portfolio.</w:t>
      </w:r>
    </w:p>
    <w:p>
      <w:pPr>
        <w:spacing w:after="0" w:line="16" w:lineRule="exact"/>
        <w:rPr>
          <w:rFonts w:ascii="Times New Roman" w:cs="Times New Roman" w:eastAsia="Times New Roman" w:hAnsi="Times New Roman"/>
          <w:sz w:val="16"/>
          <w:szCs w:val="16"/>
          <w:color w:val="auto"/>
        </w:rPr>
      </w:pPr>
    </w:p>
    <w:p>
      <w:pPr>
        <w:ind w:left="500" w:hanging="492"/>
        <w:spacing w:after="0"/>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impairment charges with respect to planned store closures and gains or losses on dispositions of assets in connection with store transitions to new IOs.</w:t>
      </w:r>
    </w:p>
    <w:p>
      <w:pPr>
        <w:spacing w:after="0" w:line="59" w:lineRule="exact"/>
        <w:rPr>
          <w:rFonts w:ascii="Times New Roman" w:cs="Times New Roman" w:eastAsia="Times New Roman" w:hAnsi="Times New Roman"/>
          <w:sz w:val="16"/>
          <w:szCs w:val="16"/>
          <w:color w:val="auto"/>
        </w:rPr>
      </w:pPr>
    </w:p>
    <w:p>
      <w:pPr>
        <w:ind w:left="500" w:hanging="492"/>
        <w:spacing w:after="0" w:line="29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changes in reserves related to our IO notes and accounts receivable. See Note 2 to the condensed consolidated financial statements for additional information.</w:t>
      </w:r>
    </w:p>
    <w:p>
      <w:pPr>
        <w:jc w:val="both"/>
        <w:ind w:left="500" w:hanging="492"/>
        <w:spacing w:after="0" w:line="272"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other non-recurring, non-cash or non-operational items, such as store closing costs, loss on debt extinguishment, costs related to employer payroll taxes associated with equity awards, technology upgrade implementation costs, legal settlements and other legal expenses, certain personnel-related costs, gain on insurance recoveries and miscellaneous costs.</w:t>
      </w:r>
    </w:p>
    <w:p>
      <w:pPr>
        <w:spacing w:after="0" w:line="8" w:lineRule="exact"/>
        <w:rPr>
          <w:rFonts w:ascii="Times New Roman" w:cs="Times New Roman" w:eastAsia="Times New Roman" w:hAnsi="Times New Roman"/>
          <w:sz w:val="16"/>
          <w:szCs w:val="16"/>
          <w:color w:val="auto"/>
        </w:rPr>
      </w:pPr>
    </w:p>
    <w:p>
      <w:pPr>
        <w:ind w:left="500" w:hanging="492"/>
        <w:spacing w:after="0" w:line="29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jc w:val="both"/>
        <w:ind w:left="500" w:hanging="492"/>
        <w:spacing w:after="0" w:line="272"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adjustments to normalize the effective tax rate for the impact of unusual or infrequent tax items that we do not consider in our evaluation of ongoing performance, including excess tax benefits related to stock option exercises and vesting of RSUs that are recorded in earnings as discrete items in the reporting period in which they occur.</w:t>
      </w:r>
    </w:p>
    <w:p>
      <w:pPr>
        <w:spacing w:after="0" w:line="8" w:lineRule="exact"/>
        <w:rPr>
          <w:rFonts w:ascii="Times New Roman" w:cs="Times New Roman" w:eastAsia="Times New Roman" w:hAnsi="Times New Roman"/>
          <w:sz w:val="16"/>
          <w:szCs w:val="16"/>
          <w:color w:val="auto"/>
        </w:rPr>
      </w:pPr>
    </w:p>
    <w:p>
      <w:pPr>
        <w:ind w:left="500" w:hanging="492"/>
        <w:spacing w:after="0" w:line="280" w:lineRule="auto"/>
        <w:tabs>
          <w:tab w:leader="none" w:pos="5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 of the total adjustments. We calculate the tax effect of the total adjustments on a discrete basis excluding any non-recurring and unusual tax items.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13 and 26 weeks ended July 2, 2022 and July 3, 2021 (amounts in thousands, except percentages)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0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897,659</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775,535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122,124</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1,729,086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1,528,001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201,085</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net sales for the 13 and 26 weeks ended July 2, 2022 compared to the same periods in fiscal 2021 was attributable to an increase in comparable store sales as well as non-comparable store net sales growth from the net 25 new stores opened over the last 12 months.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Comparable store sales increased 11.2% for the 13 weeks ended July 2, 2022 and 8.2% for the 26 weeks ended July 2, 2022 compared to the same periods in fiscal 2021. The increase in comparable store sales for the 13 and 26 weeks ended July 2, 2022 was driven by increases in both average transaction size and number of transactions.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gridSpan w:val="3"/>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4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06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618,248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537,737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80,511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1,198,786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1,058,276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140,510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13.3 %</w:t>
            </w:r>
          </w:p>
        </w:tc>
        <w:tc>
          <w:tcPr>
            <w:tcW w:w="0" w:type="dxa"/>
            <w:vAlign w:val="bottom"/>
          </w:tcPr>
          <w:p>
            <w:pPr>
              <w:spacing w:after="0"/>
              <w:rPr>
                <w:sz w:val="1"/>
                <w:szCs w:val="1"/>
                <w:color w:val="auto"/>
              </w:rPr>
            </w:pPr>
          </w:p>
        </w:tc>
      </w:tr>
      <w:tr>
        <w:trPr>
          <w:trHeight w:val="222"/>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increase in cost of sales for the 13 and 26 weeks ended July 2, 2022 compared to the same periods in fiscal 2021 was primarily the result of an increase in comparable store sales combined with new store growth (as discussed above).</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Costs as a percentage of net sales decreased for the 13 weeks ended July 2, 2022 compared to the same period in fiscal 2021 as a favorable purchasing environment and strong inventory management more than offset ongoing inflationary pressures. Costs as a percentage of net sales were flat for the 26 weeks ended July 2, 2022 compared to the same period in fiscal 2021 as a result of the above mentioned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279,411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237,798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41,613</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530,300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469,725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60,575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12.9 %</w:t>
            </w:r>
          </w:p>
        </w:tc>
        <w:tc>
          <w:tcPr>
            <w:tcW w:w="0" w:type="dxa"/>
            <w:vAlign w:val="bottom"/>
          </w:tcPr>
          <w:p>
            <w:pPr>
              <w:spacing w:after="0"/>
              <w:rPr>
                <w:sz w:val="1"/>
                <w:szCs w:val="1"/>
                <w:color w:val="auto"/>
              </w:rPr>
            </w:pPr>
          </w:p>
        </w:tc>
      </w:tr>
      <w:tr>
        <w:trPr>
          <w:trHeight w:val="222"/>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gross profit for the 13 and 26 weeks ended July 2, 2022 compared to the same periods in fiscal 2021 was primarily the result of new store growth and an increase in comparable store sales (as discussed above).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gross margin increased for the 13 weeks ended July 2, 2022 compared to the same period in fiscal 2021 as a favorable purchasing environment and strong inventory management more than offset ongoing inflationary pressures, as discussed previously. Our gross margin remained flat for the 26 weeks ended July 2, 2022 compared to the same period in fiscal 2021 primarily due to the above mentioned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("SG&amp;A")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SG&amp;A</w:t>
            </w: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224,225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192,955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31,270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16.2 %</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431,658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381,553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13.1 %</w:t>
            </w:r>
          </w:p>
        </w:tc>
        <w:tc>
          <w:tcPr>
            <w:tcW w:w="0" w:type="dxa"/>
            <w:vAlign w:val="bottom"/>
          </w:tcPr>
          <w:p>
            <w:pPr>
              <w:spacing w:after="0"/>
              <w:rPr>
                <w:sz w:val="1"/>
                <w:szCs w:val="1"/>
                <w:color w:val="auto"/>
              </w:rPr>
            </w:pPr>
          </w:p>
        </w:tc>
      </w:tr>
      <w:tr>
        <w:trPr>
          <w:trHeight w:val="222"/>
        </w:trPr>
        <w:tc>
          <w:tcPr>
            <w:tcW w:w="1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SG&amp;A for the 13 and 26 weeks ended July 2, 2022 compared to the same periods in fiscal 2021 was primarily driven by increases in commission payments to IOs, higher incentive compensation expenses reflecting improved performance trends versus prior year, and additional store occupancy and maintenance costs due to a higher store count.</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percentage of net sales, SG&amp;A remained relatively flat for the 13 and 26 weeks ended July 2, 2022 compared to the same periods in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Depreciation and</w:t>
            </w:r>
          </w:p>
        </w:tc>
        <w:tc>
          <w:tcPr>
            <w:tcW w:w="26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18,791</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16,959</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shd w:val="clear" w:color="auto" w:fill="CCEEFF"/>
          </w:tcPr>
          <w:p>
            <w:pPr>
              <w:spacing w:after="0"/>
              <w:rPr>
                <w:sz w:val="12"/>
                <w:szCs w:val="12"/>
                <w:color w:val="auto"/>
              </w:rPr>
            </w:pPr>
          </w:p>
        </w:tc>
        <w:tc>
          <w:tcPr>
            <w:tcW w:w="13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10.8 %  $</w:t>
            </w: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37,024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32,502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4,522</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13.9 %</w:t>
            </w:r>
          </w:p>
        </w:tc>
        <w:tc>
          <w:tcPr>
            <w:tcW w:w="0" w:type="dxa"/>
            <w:vAlign w:val="bottom"/>
          </w:tcPr>
          <w:p>
            <w:pPr>
              <w:spacing w:after="0"/>
              <w:rPr>
                <w:sz w:val="1"/>
                <w:szCs w:val="1"/>
                <w:color w:val="auto"/>
              </w:rPr>
            </w:pPr>
          </w:p>
        </w:tc>
      </w:tr>
      <w:tr>
        <w:trPr>
          <w:trHeight w:val="230"/>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expenses for the 13 and 26 weeks ended July 2, 2022 compared to the same periods in fiscal 2021 was primarily driven by new store growth and existing store investments.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80" w:type="dxa"/>
            <w:vAlign w:val="bottom"/>
          </w:tcPr>
          <w:p>
            <w:pPr>
              <w:spacing w:after="0"/>
              <w:rPr>
                <w:sz w:val="11"/>
                <w:szCs w:val="11"/>
                <w:color w:val="auto"/>
              </w:rPr>
            </w:pPr>
          </w:p>
        </w:tc>
        <w:tc>
          <w:tcPr>
            <w:tcW w:w="78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1"/>
                <w:szCs w:val="11"/>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78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10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4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Share-based</w:t>
            </w:r>
          </w:p>
        </w:tc>
        <w:tc>
          <w:tcPr>
            <w:tcW w:w="28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9,484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143"/>
              <w:spacing w:after="0"/>
              <w:rPr>
                <w:sz w:val="20"/>
                <w:szCs w:val="20"/>
                <w:color w:val="auto"/>
              </w:rPr>
            </w:pPr>
            <w:r>
              <w:rPr>
                <w:rFonts w:ascii="Times New Roman" w:cs="Times New Roman" w:eastAsia="Times New Roman" w:hAnsi="Times New Roman"/>
                <w:sz w:val="17"/>
                <w:szCs w:val="17"/>
                <w:color w:val="auto"/>
              </w:rPr>
              <w:t>4,210</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5,274</w:t>
            </w:r>
          </w:p>
        </w:tc>
        <w:tc>
          <w:tcPr>
            <w:tcW w:w="80" w:type="dxa"/>
            <w:vAlign w:val="bottom"/>
            <w:shd w:val="clear" w:color="auto" w:fill="CCEEFF"/>
          </w:tcPr>
          <w:p>
            <w:pPr>
              <w:spacing w:after="0"/>
              <w:rPr>
                <w:sz w:val="13"/>
                <w:szCs w:val="13"/>
                <w:color w:val="auto"/>
              </w:rPr>
            </w:pPr>
          </w:p>
        </w:tc>
        <w:tc>
          <w:tcPr>
            <w:tcW w:w="1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125.3 %  $</w:t>
            </w: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15,279</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vMerge w:val="restart"/>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8,149</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7,130</w:t>
            </w:r>
          </w:p>
        </w:tc>
        <w:tc>
          <w:tcPr>
            <w:tcW w:w="1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87.5 %</w:t>
            </w:r>
          </w:p>
        </w:tc>
        <w:tc>
          <w:tcPr>
            <w:tcW w:w="0" w:type="dxa"/>
            <w:vAlign w:val="bottom"/>
          </w:tcPr>
          <w:p>
            <w:pPr>
              <w:spacing w:after="0"/>
              <w:rPr>
                <w:sz w:val="1"/>
                <w:szCs w:val="1"/>
                <w:color w:val="auto"/>
              </w:rPr>
            </w:pPr>
          </w:p>
        </w:tc>
      </w:tr>
      <w:tr>
        <w:trPr>
          <w:trHeight w:val="224"/>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compensation</w:t>
            </w: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gridSpan w:val="3"/>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share-based compensation expenses for the 13 and 26 weeks ended July 2, 2022 compared to the same periods in fiscal 2021 was primarily driven by the impact of RSUs granted in October of fiscal 2021 and March of fiscal 2022 as well as an increase in the number of PSUs expected to be earned related to previously granted PSUs based on revised performance expectations during the 13 and 26 weeks ended July 2, 2022.</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3,875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3,922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7,557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7,828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2"/>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decrease in net interest expense for the 13 and 26 weeks ended July 2, 2022 compared to the same periods in fiscal 2021 was primarily driven by increased interest income on outstanding IO notes as well as the April 2022 prepayment of $75.0 million of principal on the senior term loan outstanding under our First Lien Credit Agreement, partially offset by increases in the effective borrowing rate. See Note 3 to the condensed consolidated financial statements for additional information.</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Insurance Recoveries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860" w:type="dxa"/>
            <w:vAlign w:val="bottom"/>
          </w:tcPr>
          <w:p>
            <w:pPr>
              <w:jc w:val="center"/>
              <w:ind w:left="324"/>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80" w:type="dxa"/>
            <w:vAlign w:val="bottom"/>
          </w:tcPr>
          <w:p>
            <w:pPr>
              <w:spacing w:after="0"/>
              <w:rPr>
                <w:sz w:val="11"/>
                <w:szCs w:val="11"/>
                <w:color w:val="auto"/>
              </w:rPr>
            </w:pPr>
          </w:p>
        </w:tc>
        <w:tc>
          <w:tcPr>
            <w:tcW w:w="7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00" w:type="dxa"/>
            <w:vAlign w:val="bottom"/>
            <w:vMerge w:val="restart"/>
          </w:tcPr>
          <w:p>
            <w:pPr>
              <w:spacing w:after="0"/>
              <w:rPr>
                <w:sz w:val="11"/>
                <w:szCs w:val="11"/>
                <w:color w:val="auto"/>
              </w:rPr>
            </w:pPr>
          </w:p>
        </w:tc>
        <w:tc>
          <w:tcPr>
            <w:tcW w:w="10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80" w:type="dxa"/>
            <w:vAlign w:val="bottom"/>
          </w:tcPr>
          <w:p>
            <w:pPr>
              <w:spacing w:after="0"/>
              <w:rPr>
                <w:sz w:val="11"/>
                <w:szCs w:val="11"/>
                <w:color w:val="auto"/>
              </w:rPr>
            </w:pPr>
          </w:p>
        </w:tc>
        <w:tc>
          <w:tcPr>
            <w:tcW w:w="76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00" w:type="dxa"/>
            <w:vAlign w:val="bottom"/>
            <w:vMerge w:val="restart"/>
          </w:tcPr>
          <w:p>
            <w:pPr>
              <w:spacing w:after="0"/>
              <w:rPr>
                <w:sz w:val="11"/>
                <w:szCs w:val="11"/>
                <w:color w:val="auto"/>
              </w:rPr>
            </w:pPr>
          </w:p>
        </w:tc>
        <w:tc>
          <w:tcPr>
            <w:tcW w:w="104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50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7"/>
                <w:szCs w:val="17"/>
                <w:color w:val="auto"/>
              </w:rPr>
              <w:t>Gain on insurance</w:t>
            </w:r>
          </w:p>
        </w:tc>
        <w:tc>
          <w:tcPr>
            <w:tcW w:w="860" w:type="dxa"/>
            <w:vAlign w:val="bottom"/>
            <w:vMerge w:val="restart"/>
            <w:shd w:val="clear" w:color="auto" w:fill="CCEEFF"/>
          </w:tcPr>
          <w:p>
            <w:pPr>
              <w:jc w:val="right"/>
              <w:ind w:right="68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(3,970)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3,970</w:t>
            </w:r>
          </w:p>
        </w:tc>
        <w:tc>
          <w:tcPr>
            <w:tcW w:w="100" w:type="dxa"/>
            <w:vAlign w:val="bottom"/>
            <w:shd w:val="clear" w:color="auto" w:fill="CCEEFF"/>
          </w:tcPr>
          <w:p>
            <w:pPr>
              <w:spacing w:after="0"/>
              <w:rPr>
                <w:sz w:val="13"/>
                <w:szCs w:val="13"/>
                <w:color w:val="auto"/>
              </w:rPr>
            </w:pPr>
          </w:p>
        </w:tc>
        <w:tc>
          <w:tcPr>
            <w:tcW w:w="14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(100.0)%  $</w:t>
            </w:r>
          </w:p>
        </w:tc>
        <w:tc>
          <w:tcPr>
            <w:tcW w:w="108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7"/>
                <w:szCs w:val="17"/>
                <w:color w:val="auto"/>
              </w:rPr>
              <w:t>(3,970)</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224"/>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recoveries</w:t>
            </w:r>
          </w:p>
        </w:tc>
        <w:tc>
          <w:tcPr>
            <w:tcW w:w="86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3"/>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860" w:type="dxa"/>
            <w:vAlign w:val="bottom"/>
          </w:tcPr>
          <w:p>
            <w:pPr>
              <w:spacing w:after="0"/>
              <w:rPr>
                <w:sz w:val="19"/>
                <w:szCs w:val="19"/>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 %</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13 and 26 weeks ended July 3, 2021, we recorded a $4.0 million gain on insurance due to proceeds received related to the loss of our Paradise, California store due to a wildfire in 2018.</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Extinguishment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2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40" w:type="dxa"/>
            <w:vAlign w:val="bottom"/>
          </w:tcPr>
          <w:p>
            <w:pPr>
              <w:spacing w:after="0"/>
              <w:rPr>
                <w:sz w:val="11"/>
                <w:szCs w:val="11"/>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1"/>
                <w:szCs w:val="11"/>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vMerge w:val="restart"/>
          </w:tcPr>
          <w:p>
            <w:pPr>
              <w:spacing w:after="0"/>
              <w:rPr>
                <w:sz w:val="11"/>
                <w:szCs w:val="11"/>
                <w:color w:val="auto"/>
              </w:rPr>
            </w:pPr>
          </w:p>
        </w:tc>
        <w:tc>
          <w:tcPr>
            <w:tcW w:w="280" w:type="dxa"/>
            <w:vAlign w:val="bottom"/>
            <w:vMerge w:val="restart"/>
          </w:tcPr>
          <w:p>
            <w:pPr>
              <w:spacing w:after="0"/>
              <w:rPr>
                <w:sz w:val="11"/>
                <w:szCs w:val="11"/>
                <w:color w:val="auto"/>
              </w:rPr>
            </w:pPr>
          </w:p>
        </w:tc>
        <w:tc>
          <w:tcPr>
            <w:tcW w:w="1140" w:type="dxa"/>
            <w:vAlign w:val="bottom"/>
            <w:gridSpan w:val="2"/>
          </w:tcPr>
          <w:p>
            <w:pPr>
              <w:ind w:left="18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jc w:val="center"/>
              <w:ind w:right="38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40" w:type="dxa"/>
            <w:vAlign w:val="bottom"/>
          </w:tcPr>
          <w:p>
            <w:pPr>
              <w:spacing w:after="0"/>
              <w:rPr>
                <w:sz w:val="11"/>
                <w:szCs w:val="11"/>
                <w:color w:val="auto"/>
              </w:rPr>
            </w:pPr>
          </w:p>
        </w:tc>
        <w:tc>
          <w:tcPr>
            <w:tcW w:w="82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vMerge w:val="restart"/>
          </w:tcPr>
          <w:p>
            <w:pPr>
              <w:spacing w:after="0"/>
              <w:rPr>
                <w:sz w:val="11"/>
                <w:szCs w:val="11"/>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6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Loss on debt</w:t>
            </w:r>
          </w:p>
        </w:tc>
        <w:tc>
          <w:tcPr>
            <w:tcW w:w="28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1,274</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1,274</w:t>
            </w:r>
          </w:p>
        </w:tc>
        <w:tc>
          <w:tcPr>
            <w:tcW w:w="80" w:type="dxa"/>
            <w:vAlign w:val="bottom"/>
            <w:shd w:val="clear" w:color="auto" w:fill="CCEEFF"/>
          </w:tcPr>
          <w:p>
            <w:pPr>
              <w:spacing w:after="0"/>
              <w:rPr>
                <w:sz w:val="12"/>
                <w:szCs w:val="12"/>
                <w:color w:val="auto"/>
              </w:rPr>
            </w:pPr>
          </w:p>
        </w:tc>
        <w:tc>
          <w:tcPr>
            <w:tcW w:w="12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N/A  $</w:t>
            </w:r>
          </w:p>
        </w:tc>
        <w:tc>
          <w:tcPr>
            <w:tcW w:w="106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7"/>
                <w:szCs w:val="17"/>
                <w:color w:val="auto"/>
              </w:rPr>
              <w:t>1,274</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9"/>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extinguishment</w:t>
            </w:r>
          </w:p>
        </w:tc>
        <w:tc>
          <w:tcPr>
            <w:tcW w:w="2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During the 13 and 26 weeks ended July 2, 2022, we recorded a $1.3 million loss on debt extinguishment related to the prepayment of $75.0 million of principal on the senior term loan outstanding under our First Lien Credit Agreement. See Note 3 to the condensed consolidated financial statements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80" w:type="dxa"/>
            <w:vAlign w:val="bottom"/>
          </w:tcPr>
          <w:p>
            <w:pPr>
              <w:spacing w:after="0"/>
              <w:rPr>
                <w:sz w:val="11"/>
                <w:szCs w:val="11"/>
                <w:color w:val="auto"/>
              </w:rPr>
            </w:pP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2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4,082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5,840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5,131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709</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13.8 %</w:t>
            </w:r>
          </w:p>
        </w:tc>
        <w:tc>
          <w:tcPr>
            <w:tcW w:w="0" w:type="dxa"/>
            <w:vAlign w:val="bottom"/>
          </w:tcPr>
          <w:p>
            <w:pPr>
              <w:spacing w:after="0"/>
              <w:rPr>
                <w:sz w:val="1"/>
                <w:szCs w:val="1"/>
                <w:color w:val="auto"/>
              </w:rPr>
            </w:pPr>
          </w:p>
        </w:tc>
      </w:tr>
      <w:tr>
        <w:trPr>
          <w:trHeight w:val="226"/>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decrease in income tax expense for the 13 weeks ended July 2, 2022 compared to the same period in fiscal 2021 was primarily driven by an increase in excess tax benefits related to the exercise of stock options and vesting of RSUs. Such excess tax benefits totaled $4.2 million for the 13 weeks ended July 2, 2022 compared to $2.4 million for the 13 weeks ended July 3, 2021.</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income tax expense for the 26 weeks ended July 2, 2022 compared to the same period in fiscal 2021 was primarily driven by a reduction in excess tax benefits related to the exercise of stock options and vesting of RSUs. Such excess tax benefits totaled $4.3 million for the 26 weeks ended July 2, 2022 compared to $6.7 million for the 26 weeks ended July 3, 2021.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80" w:type="dxa"/>
            <w:vAlign w:val="bottom"/>
          </w:tcPr>
          <w:p>
            <w:pPr>
              <w:spacing w:after="0"/>
              <w:rPr>
                <w:sz w:val="11"/>
                <w:szCs w:val="11"/>
                <w:color w:val="auto"/>
              </w:rPr>
            </w:pPr>
          </w:p>
        </w:tc>
        <w:tc>
          <w:tcPr>
            <w:tcW w:w="11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02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20,094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19,640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454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31,668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7"/>
                <w:szCs w:val="17"/>
                <w:color w:val="auto"/>
              </w:rPr>
              <w:t>38,532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(6,864)</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0" w:type="dxa"/>
            <w:vAlign w:val="bottom"/>
          </w:tcPr>
          <w:p>
            <w:pPr>
              <w:spacing w:after="0"/>
              <w:rPr>
                <w:sz w:val="1"/>
                <w:szCs w:val="1"/>
                <w:color w:val="auto"/>
              </w:rPr>
            </w:pPr>
          </w:p>
        </w:tc>
      </w:tr>
      <w:tr>
        <w:trPr>
          <w:trHeight w:val="222"/>
        </w:trPr>
        <w:tc>
          <w:tcPr>
            <w:tcW w:w="1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of net sales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net income increased for the 13 weeks ended July 2, 2022 and decreased for the 26 weeks ended July 2, 2022 compared to the same periods in fiscal 2021.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04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3"/>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10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July 3,</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50,836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9,301</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109,387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99,673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9,714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adjusted EBITDA for the 13 and 26 weeks ended July 2, 2022 compared to the same periods in fiscal 2021 was primarily due to an increase in comparable store sales of 11.2% and 8.2% for the 13 and 26 weeks ended July 2, 2022, respectively, as well as higher net sales resulting from new store growth, as discussed above.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13 Weeks Ended</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60" w:type="dxa"/>
            <w:vAlign w:val="bottom"/>
          </w:tcPr>
          <w:p>
            <w:pPr>
              <w:spacing w:after="0"/>
              <w:rPr>
                <w:sz w:val="11"/>
                <w:szCs w:val="11"/>
                <w:color w:val="auto"/>
              </w:rPr>
            </w:pPr>
          </w:p>
        </w:tc>
        <w:tc>
          <w:tcPr>
            <w:tcW w:w="106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60" w:type="dxa"/>
            <w:vAlign w:val="bottom"/>
          </w:tcPr>
          <w:p>
            <w:pPr>
              <w:spacing w:after="0"/>
              <w:rPr>
                <w:sz w:val="11"/>
                <w:szCs w:val="11"/>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July 2,</w:t>
            </w:r>
          </w:p>
        </w:tc>
        <w:tc>
          <w:tcPr>
            <w:tcW w:w="240" w:type="dxa"/>
            <w:vAlign w:val="bottom"/>
          </w:tcPr>
          <w:p>
            <w:pPr>
              <w:spacing w:after="0"/>
              <w:rPr>
                <w:sz w:val="11"/>
                <w:szCs w:val="11"/>
                <w:color w:val="auto"/>
              </w:rPr>
            </w:pPr>
          </w:p>
        </w:tc>
        <w:tc>
          <w:tcPr>
            <w:tcW w:w="108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July 3,</w:t>
            </w:r>
          </w:p>
        </w:tc>
        <w:tc>
          <w:tcPr>
            <w:tcW w:w="14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98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5,518</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23.6 %</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50,360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7"/>
                <w:szCs w:val="17"/>
                <w:color w:val="auto"/>
              </w:rPr>
              <w:t>46,459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3,901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increase in adjusted net income for the 13 and 26 weeks ended July 2, 2022 compared to the same periods in fiscal 2021 was primarily due to an increase in comparable store sales of 11.2% and 8.2% for the 13 and 26 weeks ended July 2, 2022, respectively, as well as higher net sales resulting from new store growth, as discussed above.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first lien credit agreement (the "First Lien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July 2, 2022, we had cash and cash equivalents of $84.3 million, which consisted primarily of cash held in checking and money market accounts with financial institutions. In addition, we have a revolving credit facility with $100.0 million in borrowing capacity under our First Lien Credit Agreement. As of July 2, 2022, we had $3.5 million of outstanding standby letters of credit and $96.5 million of remaining borrowing capacity available under this revolving credit facility. We did not borrow under this revolving credit facility during the 26 weeks ended July 2, 2022.</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may also, from time to time, at our sole discretion, prepay or retire all or a portion of our outstanding debt. In April 2022, we prepaid $75.0 million of principal on the senior term loan outstanding under our First Lien Credit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material cash requirements since the end of fiscal 2021. See our 2021 Form 10-K for additional information.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Capital expenditures include purchases of capital assets such as property and equipment as well as intangible assets and licenses. Capital expenditures for the 26 weeks ended July 2, 2022, before the impact of tenant improvement allowances, were $64.3 million, and, net of tenant improvement allowances, were $52.8 million. We continue to expect total capital expenditures, net of tenant improvement allowances, to be approximately $115.0 million for fiscal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First Lien Credit Agreement contains certain customary representations and warranties, subject to limitations and exceptions, and affirmative and customary covenants. The First Lien Credit Agreement restricts us from entering into certain types of transactions and making certain types of payments including dividends and stock repurchases and other similar distributions, with certain exceptions. Additionally, borrowing availability under the revolving credit facility under our First Lien Credit Agreement is subject to a first lien secured leverage ratio of 7.00 to 1.00 (as defined in the First Lien Credit Agreement),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exceeds 35% of the total amount of the revolving credit facility commitments.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July 2, 2022, we were in compliance with all applicable financial covenant requirements for our First Lien Credit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(amounts in thousands, except percentages):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26 Weeks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2, 2022</w:t>
            </w: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 2021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6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8"/>
                <w:szCs w:val="18"/>
                <w:color w:val="auto"/>
              </w:rPr>
              <w:t>84,727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220" w:type="dxa"/>
            <w:vAlign w:val="bottom"/>
          </w:tcPr>
          <w:p>
            <w:pPr>
              <w:jc w:val="center"/>
              <w:ind w:left="474"/>
              <w:spacing w:after="0"/>
              <w:rPr>
                <w:sz w:val="20"/>
                <w:szCs w:val="20"/>
                <w:color w:val="auto"/>
              </w:rPr>
            </w:pPr>
            <w:r>
              <w:rPr>
                <w:rFonts w:ascii="Times New Roman" w:cs="Times New Roman" w:eastAsia="Times New Roman" w:hAnsi="Times New Roman"/>
                <w:sz w:val="18"/>
                <w:szCs w:val="18"/>
                <w:color w:val="auto"/>
              </w:rPr>
              <w:t>(65,378)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(68,219)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8"/>
                <w:szCs w:val="18"/>
                <w:color w:val="auto"/>
              </w:rPr>
              <w:t>(75,174)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474"/>
              <w:spacing w:after="0"/>
              <w:rPr>
                <w:sz w:val="20"/>
                <w:szCs w:val="20"/>
                <w:color w:val="auto"/>
              </w:rPr>
            </w:pPr>
            <w:r>
              <w:rPr>
                <w:rFonts w:ascii="Times New Roman" w:cs="Times New Roman" w:eastAsia="Times New Roman" w:hAnsi="Times New Roman"/>
                <w:sz w:val="18"/>
                <w:szCs w:val="18"/>
                <w:color w:val="auto"/>
              </w:rPr>
              <w:t>(55,825)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$84.7 million for the 26 weeks ended July 2, 2022 compared to $85.1 million for the same period in fiscal 2021. The slight decrease in net cash provided by operating activities of $0.4 million for the 26 weeks ended July 2, 2022 compared to the same period in fiscal 2021 was primarily driven by changes to our working capital balances. Changes to merchandise inventories decreased net cash flow provided by operating activities, which was partially offset by changes to accrued compensation and trade accounts payable.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$65.4 million for the 26 weeks ended July 2, 2022 compared to $68.2 million for the same period in fiscal 2021. The decrease in net cash used in investing activities of $2.8 million for the 26 weeks ended July 2, 2022 compared to the same period in fiscal 2021 was primarily related to decreased capital expenditures related to the timing of construction of newly opened stores and stores under development as well as existing store capital investments. We had 11 new store openings and two store relocations during the 26 weeks ended July 2, 2022 compared to 21 new store openings and two store relocations for the same period of fiscal 2021.</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(Used in) Financing Activities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of $75.2 million for the 26 weeks ended July 2, 2022 was primarily due to the prepayment of $75.0 million of principal on the senior term loan outstanding under our First Lien Credit Agreement as well as the repurchase of $3.5 million worth of common stock, partially offset by $4.0 million in proceeds from the exercise of stock options. Net cash provided by financing activities of $4.4 million for the 26 weeks ended July 3, 2021 was primarily due to $5.0 million in proceeds from the exercise of stock options, partially offset by $0.5 million in principal payments on finance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accounting principles generally accepted in the United States of America and the applicable rules and regulations of the SEC for interim reporting.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With respect to critical accounting policies, even a relatively minor variance between actual and expected results can potentially have a materially favorable or unfavorable impact on subsequent results of operations.</w:t>
      </w:r>
    </w:p>
    <w:p>
      <w:pPr>
        <w:spacing w:after="0" w:line="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26 weeks ended July 2, 2022 from those disclosed in our 2021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1 to the condensed consolidated financial statements included elsewhere in this report.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market risk from interest rate fluctuations on our credit facilities, which bear variable interest rates. As of July 2, 2022, our outstanding credit facilities included a $385.0 million senior term loan under the First Lien Credit Agreement. As of July 2, 2022, the interest rate on the senior term loan was 4.42% (See Note 3 to the condensed consolidated financial statements for additional information). Based on the outstanding balance and interest rate of our senior term loan as of July 2, 2022, a hypothetical 10% relative increase or decrease in the effective interest rate would cause an increase or decrease in interest expense of approximately $1.7 million over the next 12 months.</w:t>
      </w:r>
    </w:p>
    <w:p>
      <w:pPr>
        <w:spacing w:after="0" w:line="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do not use derivative financial instruments for speculative or trading purposes, but this does not preclude our adoption of specific hedging strategies in the future.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121" w:lineRule="exact"/>
        <w:rPr>
          <w:sz w:val="20"/>
          <w:szCs w:val="20"/>
          <w:color w:val="auto"/>
        </w:rPr>
      </w:pPr>
    </w:p>
    <w:p>
      <w:pPr>
        <w:jc w:val="both"/>
        <w:ind w:firstLine="486"/>
        <w:spacing w:after="0" w:line="219" w:lineRule="exact"/>
        <w:rPr>
          <w:sz w:val="20"/>
          <w:szCs w:val="20"/>
          <w:color w:val="auto"/>
        </w:rPr>
      </w:pPr>
      <w:r>
        <w:rPr>
          <w:rFonts w:ascii="Times New Roman" w:cs="Times New Roman" w:eastAsia="Times New Roman" w:hAnsi="Times New Roman"/>
          <w:sz w:val="18"/>
          <w:szCs w:val="18"/>
          <w:color w:val="auto"/>
        </w:rPr>
        <w:t>Our results of operations and financial condition are presented based on historical cost. While it is difficult to accurately measure the impact of inflation due to the imprecise nature of the estimates required, we have experienced varying levels of inflation, resulting in part from various supply disruptions, increased shipping and transportation costs, increased commodity costs, increased labor costs in the supply chain and other disruptions caused by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and the uncertain economic environment. However, because of the flexibility of our unique buying model and our ability to price our products frequently, we were able to partially offset the impact of inflation on our business during the 26 weeks ended July 2, 2022 through selective price increases. We cannot be assured that our results of operations and financial condition will not be materially impacted by inflation in the future.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Based on that evaluation, our Chief Executive Officer and Chief Financial Officer have concluded that our disclosure controls and procedures were effective at a reasonable assurance level as of July 2, 2022.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quarter ended July 2, 2022,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13 weeks ended July 2,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our business, financial condition and operating results can be affected by a number of factors, whether currently known or unknown, including but not limited to those described in Part I, Item 1A of our 2021 Form 10-K under the heading "Risk Factors,"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financial condition, operating results and stock price. There have been no material changes to our risk factors since the 2021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13 weeks ended July 2, 2022, we did not repurchase any shares of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Exhibit No.</w:t>
            </w: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140" w:type="dxa"/>
            <w:vAlign w:val="bottom"/>
            <w:gridSpan w:val="11"/>
            <w:vMerge w:val="restart"/>
          </w:tcPr>
          <w:p>
            <w:pPr>
              <w:ind w:left="18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3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File</w:t>
            </w:r>
          </w:p>
        </w:tc>
        <w:tc>
          <w:tcPr>
            <w:tcW w:w="1180" w:type="dxa"/>
            <w:vAlign w:val="bottom"/>
            <w:gridSpan w:val="2"/>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Filing</w:t>
            </w: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Exhibit</w:t>
            </w:r>
          </w:p>
        </w:tc>
        <w:tc>
          <w:tcPr>
            <w:tcW w:w="0" w:type="dxa"/>
            <w:vAlign w:val="bottom"/>
          </w:tcPr>
          <w:p>
            <w:pPr>
              <w:spacing w:after="0"/>
              <w:rPr>
                <w:sz w:val="1"/>
                <w:szCs w:val="1"/>
                <w:color w:val="auto"/>
              </w:rPr>
            </w:pPr>
          </w:p>
        </w:tc>
      </w:tr>
      <w:tr>
        <w:trPr>
          <w:trHeight w:val="214"/>
        </w:trPr>
        <w:tc>
          <w:tcPr>
            <w:tcW w:w="10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140" w:type="dxa"/>
            <w:vAlign w:val="bottom"/>
            <w:gridSpan w:val="11"/>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900" w:type="dxa"/>
            <w:vAlign w:val="bottom"/>
            <w:tcBorders>
              <w:top w:val="single" w:sz="8" w:color="auto"/>
            </w:tcBorders>
            <w:gridSpan w:val="11"/>
          </w:tcPr>
          <w:p>
            <w:pPr>
              <w:spacing w:after="0" w:line="184"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Restated Certificate of Incorporation of Grocery Outlet Holding Corp.</w:t>
              </w:r>
            </w:hyperlink>
          </w:p>
        </w:tc>
        <w:tc>
          <w:tcPr>
            <w:tcW w:w="100" w:type="dxa"/>
            <w:vAlign w:val="bottom"/>
          </w:tcPr>
          <w:p>
            <w:pPr>
              <w:spacing w:after="0"/>
              <w:rPr>
                <w:sz w:val="16"/>
                <w:szCs w:val="16"/>
                <w:color w:val="auto"/>
              </w:rPr>
            </w:pPr>
          </w:p>
        </w:tc>
        <w:tc>
          <w:tcPr>
            <w:tcW w:w="6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6"/>
                <w:szCs w:val="16"/>
                <w:color w:val="auto"/>
              </w:rPr>
            </w:pPr>
          </w:p>
        </w:tc>
        <w:tc>
          <w:tcPr>
            <w:tcW w:w="1080" w:type="dxa"/>
            <w:vAlign w:val="bottom"/>
            <w:tcBorders>
              <w:top w:val="single" w:sz="8" w:color="auto"/>
            </w:tcBorders>
          </w:tcPr>
          <w:p>
            <w:pPr>
              <w:jc w:val="right"/>
              <w:ind w:right="95"/>
              <w:spacing w:after="0" w:line="184" w:lineRule="exact"/>
              <w:rPr>
                <w:sz w:val="20"/>
                <w:szCs w:val="20"/>
                <w:color w:val="auto"/>
              </w:rPr>
            </w:pPr>
            <w:r>
              <w:rPr>
                <w:rFonts w:ascii="Times New Roman" w:cs="Times New Roman" w:eastAsia="Times New Roman" w:hAnsi="Times New Roman"/>
                <w:sz w:val="18"/>
                <w:szCs w:val="18"/>
                <w:color w:val="auto"/>
              </w:rPr>
              <w:t>6/10/2022</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3"/>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Amended and Restated Bylaws of Grocery Outlet Holding Corp.</w:t>
              </w:r>
            </w:hyperlink>
          </w:p>
        </w:tc>
        <w:tc>
          <w:tcPr>
            <w:tcW w:w="380" w:type="dxa"/>
            <w:vAlign w:val="bottom"/>
            <w:tcBorders>
              <w:top w:val="single" w:sz="8" w:color="0000FF"/>
            </w:tcBorders>
          </w:tcPr>
          <w:p>
            <w:pPr>
              <w:spacing w:after="0"/>
              <w:rPr>
                <w:sz w:val="18"/>
                <w:szCs w:val="18"/>
                <w:color w:val="auto"/>
              </w:rPr>
            </w:pPr>
          </w:p>
        </w:tc>
        <w:tc>
          <w:tcPr>
            <w:tcW w:w="960" w:type="dxa"/>
            <w:vAlign w:val="bottom"/>
            <w:gridSpan w:val="8"/>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001-38950</w:t>
            </w:r>
          </w:p>
        </w:tc>
        <w:tc>
          <w:tcPr>
            <w:tcW w:w="12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4/8/2022</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Rules 13a-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16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8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Exchange Act Rules 13a-</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14(a) and 15d-14(a), as adopted pursuant to Section 302 of the Sarbanes-Oxley</w:t>
            </w:r>
          </w:p>
        </w:tc>
        <w:tc>
          <w:tcPr>
            <w:tcW w:w="20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7"/>
              </w:rPr>
              <w:t>Act of 2002</w:t>
            </w:r>
          </w:p>
        </w:tc>
        <w:tc>
          <w:tcPr>
            <w:tcW w:w="48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4"/>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24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300" w:type="dxa"/>
            <w:vAlign w:val="bottom"/>
            <w:gridSpan w:val="5"/>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5"/>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18"/>
                <w:szCs w:val="18"/>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19"/>
                <w:szCs w:val="19"/>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0"/>
                <w:szCs w:val="20"/>
                <w:color w:val="auto"/>
              </w:rPr>
            </w:pPr>
          </w:p>
        </w:tc>
        <w:tc>
          <w:tcPr>
            <w:tcW w:w="60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1100" w:right="4260" w:hanging="748"/>
        <w:spacing w:after="0" w:line="229" w:lineRule="auto"/>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auto"/>
        </w:rPr>
        <w:t>____________________________________</w:t>
      </w:r>
    </w:p>
    <w:p>
      <w:pPr>
        <w:spacing w:after="0" w:line="27" w:lineRule="exact"/>
        <w:rPr>
          <w:sz w:val="20"/>
          <w:szCs w:val="20"/>
          <w:color w:val="auto"/>
        </w:rPr>
      </w:pPr>
    </w:p>
    <w:p>
      <w:pPr>
        <w:ind w:left="720" w:hanging="694"/>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ind w:left="720" w:hanging="694"/>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3" w:lineRule="exact"/>
        <w:rPr>
          <w:sz w:val="20"/>
          <w:szCs w:val="20"/>
          <w:color w:val="auto"/>
        </w:rPr>
      </w:pPr>
    </w:p>
    <w:p>
      <w:pPr>
        <w:jc w:val="both"/>
        <w:ind w:left="720" w:right="120" w:hanging="694"/>
        <w:spacing w:after="0" w:line="180" w:lineRule="auto"/>
        <w:tabs>
          <w:tab w:leader="none" w:pos="720" w:val="left"/>
        </w:tabs>
        <w:numPr>
          <w:ilvl w:val="0"/>
          <w:numId w:val="19"/>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8"/>
          <w:szCs w:val="18"/>
          <w:color w:val="auto"/>
        </w:rPr>
        <w:t>Furnished herewith. The certifications attached as Exhibit 32.1 and 32.2 that accompany this Quarterly Report on Form 10-Q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Grocery Outlet Holding Corp.</w:t>
      </w:r>
    </w:p>
    <w:p>
      <w:pPr>
        <w:spacing w:after="0" w:line="31"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Times New Roman" w:cs="Times New Roman" w:eastAsia="Times New Roman" w:hAnsi="Times New Roman"/>
          <w:sz w:val="18"/>
          <w:szCs w:val="18"/>
          <w:color w:val="auto"/>
        </w:rPr>
        <w:t>Date:</w:t>
        <w:tab/>
        <w:t>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14605</wp:posOffset>
            </wp:positionV>
            <wp:extent cx="26403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8"/>
          <w:szCs w:val="18"/>
          <w:color w:val="auto"/>
        </w:rPr>
        <w:t>Charles C. Bracher</w:t>
      </w:r>
    </w:p>
    <w:p>
      <w:pPr>
        <w:ind w:left="710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7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20" w:val="left"/>
          <w:tab w:leader="none" w:pos="6620" w:val="left"/>
          <w:tab w:leader="none" w:pos="7080" w:val="left"/>
        </w:tabs>
        <w:rPr>
          <w:sz w:val="20"/>
          <w:szCs w:val="20"/>
          <w:color w:val="auto"/>
        </w:rPr>
      </w:pPr>
      <w:r>
        <w:rPr>
          <w:rFonts w:ascii="Times New Roman" w:cs="Times New Roman" w:eastAsia="Times New Roman" w:hAnsi="Times New Roman"/>
          <w:sz w:val="18"/>
          <w:szCs w:val="18"/>
          <w:color w:val="auto"/>
        </w:rPr>
        <w:t>Date:</w:t>
        <w:tab/>
        <w:t>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3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Lindsay E. Gray</w:t>
      </w:r>
    </w:p>
    <w:p>
      <w:pPr>
        <w:ind w:left="7100"/>
        <w:spacing w:after="0" w:line="219" w:lineRule="auto"/>
        <w:rPr>
          <w:sz w:val="20"/>
          <w:szCs w:val="20"/>
          <w:color w:val="auto"/>
        </w:rPr>
      </w:pPr>
      <w:r>
        <w:rPr>
          <w:rFonts w:ascii="Times New Roman" w:cs="Times New Roman" w:eastAsia="Times New Roman" w:hAnsi="Times New Roman"/>
          <w:sz w:val="18"/>
          <w:szCs w:val="18"/>
          <w:color w:val="auto"/>
        </w:rPr>
        <w:t>Vice President and Corporate Controller</w:t>
      </w:r>
    </w:p>
    <w:p>
      <w:pPr>
        <w:ind w:left="7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310" w:right="339" w:bottom="1440" w:gutter="0" w:footer="0" w:header="0"/>
        </w:sectPr>
      </w:pPr>
    </w:p>
    <w:bookmarkStart w:id="37" w:name="page38"/>
    <w:bookmarkEnd w:id="37"/>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37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0"/>
          <w:szCs w:val="20"/>
          <w:b w:val="1"/>
          <w:bCs w:val="1"/>
          <w:color w:val="auto"/>
        </w:rPr>
        <w:t>GROCERY OUTLET HOLDING CORP.</w:t>
      </w:r>
    </w:p>
    <w:p>
      <w:pPr>
        <w:spacing w:after="0" w:line="3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(as amended April 27, 2022)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Compensation</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Each non-employee director of Grocery Outlet Holding Corp. (the "Company," "we," or "our) is entitled to receive an annual cash retainer of $75,000, any non-employee director serving as vice chairperson of our board of directors is entitled to receive an additional annual cash retainer of $100,000 for such service and any non-employee director serving as chairperson of our board of directors is entitled to receive an additional annual cash retainer of $130,000 for such service. In addition, each non-employee director is entitled to receive additional annual cash retainers as shown in the following table, as applicable.</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672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Member</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Chair</w:t>
            </w:r>
          </w:p>
        </w:tc>
      </w:tr>
      <w:tr>
        <w:trPr>
          <w:trHeight w:val="223"/>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Audit and Risk Committee</w:t>
            </w:r>
          </w:p>
        </w:tc>
        <w:tc>
          <w:tcPr>
            <w:tcW w:w="2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$15,000</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Compensation Committee</w:t>
            </w:r>
          </w:p>
        </w:tc>
        <w:tc>
          <w:tcPr>
            <w:tcW w:w="2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$20,000</w:t>
            </w:r>
          </w:p>
        </w:tc>
      </w:tr>
      <w:tr>
        <w:trPr>
          <w:trHeight w:val="223"/>
        </w:trPr>
        <w:tc>
          <w:tcPr>
            <w:tcW w:w="67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$10,000</w:t>
            </w:r>
          </w:p>
        </w:tc>
        <w:tc>
          <w:tcPr>
            <w:tcW w:w="22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retainers are earned on a quarterly basis based on a calendar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Each non-employee director will be granted an annual restricted stock unit ("RSU") award with respect to a number of shares of our common stock having a grant date fair market value of $125,000 (rounded up to the next whole share). Non-employee directors who are appointed to the Board between the customary equity award grant dates generally receive a prorated RSU grant. Subject to the non-employee director’s continued service with us on the applicable vesting date, the annual RSU awards will generally vest in full over twelve months or in full upon a Change in Control (as defined in the applicable award agreement). Upon vesting, each RSU will be settled for one share of our common stock within 30 days of the date on which the relevant vesting date occurs. The number of shares underlying the annual RSU grant is calculated by dividing $125,000 by the fair market value of our common stock (which is the closing price of a share of our common stock on Nasdaq) on the 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Deferral Program</w:t>
      </w:r>
    </w:p>
    <w:p>
      <w:pPr>
        <w:spacing w:after="0" w:line="1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From time to time, non-employee directors may be given the opportunity to participate in a compensation deferral plan sponsored by the Company. In accordance with the Grocery Outlet Holding Corp. Directors Deferral Plan (the "Deferral Plan"), non-employee directors may elect to defer all of their annual cash compensation and/or all of the Company shares issued upon settlement of their annual RSU award, in each case, in the form of deferred stock units ("DSUs") credited to an account maintained by us. The number of DSUs credited in respect of annual cash compensation is determined by dividing the dollar amount of the deferred cash compensation by the fair market value of a share of our common stock on the date the cash compensation otherwise would have been paid to the director. DSUs are awarded from, and remain subject to the terms of, the 2019 Incentive Plan.</w:t>
      </w:r>
    </w:p>
    <w:p>
      <w:pPr>
        <w:spacing w:after="0" w:line="7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Each DSU represents the right to receive a number of shares of our common stock equal to the number of DSUs initially credited to the director’s account plus the number of DSUs credited as a result of any dividend equivalent rights (to which DSUs initially credited to a director’s account are entitled). Directors may elect that settlement of DSUs be made or commence on (i) the first business day in a year following the year for which the deferral is made,</w:t>
      </w:r>
    </w:p>
    <w:p>
      <w:pPr>
        <w:spacing w:after="0" w:line="1" w:lineRule="exact"/>
        <w:rPr>
          <w:sz w:val="20"/>
          <w:szCs w:val="20"/>
          <w:color w:val="auto"/>
        </w:rPr>
      </w:pPr>
    </w:p>
    <w:p>
      <w:pPr>
        <w:jc w:val="both"/>
        <w:ind w:right="20" w:firstLine="8"/>
        <w:spacing w:after="0" w:line="253" w:lineRule="auto"/>
        <w:tabs>
          <w:tab w:leader="none" w:pos="26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termination of service on the Board or (iii) the earlier of (i) or (ii). Directors may elect that DSUs are settled in a single one-time distribution or in a series of up to 15 annual installments. In addition, DSU accounts will be settled upon a Change in Control (as defined in the 2019 Incentive Plan) or upon a director’s death. Notwithstanding the foregoing, with respect to Mr. Read only, he will forfeit the right to settlement of his DSUs to the extent that the DSUs otherwise would be settled upon a Change in Control that occurred prior to a specified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 Reimbursement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Each non-employee director will be reimbursed for reasonable out-of-pocket travel expenses incurred in connection with attendance at Board and committee meetings and other Board related activities in accordance with our plans or policies as in effect from time to time.</w:t>
      </w:r>
    </w:p>
    <w:p>
      <w:pPr>
        <w:sectPr>
          <w:pgSz w:w="11900" w:h="16838" w:orient="portrait"/>
          <w:cols w:equalWidth="0" w:num="1">
            <w:col w:w="11260"/>
          </w:cols>
          <w:pgMar w:left="320" w:top="114" w:right="3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J. Lindberg, Jr.,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Grocery Outlet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57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Eric J. Lindberg, Jr.</w:t>
            </w:r>
          </w:p>
        </w:tc>
      </w:tr>
      <w:tr>
        <w:trPr>
          <w:trHeight w:val="218"/>
        </w:trPr>
        <w:tc>
          <w:tcPr>
            <w:tcW w:w="4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r>
      <w:tr>
        <w:trPr>
          <w:trHeight w:val="230"/>
        </w:trPr>
        <w:tc>
          <w:tcPr>
            <w:tcW w:w="4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Grocery Outlet Holding Corp.;</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hanging="328"/>
        <w:spacing w:after="0" w:line="281" w:lineRule="auto"/>
        <w:tabs>
          <w:tab w:leader="none" w:pos="6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572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By: /s/ Charles C. Bracher</w:t>
            </w:r>
          </w:p>
        </w:tc>
      </w:tr>
      <w:tr>
        <w:trPr>
          <w:trHeight w:val="218"/>
        </w:trPr>
        <w:tc>
          <w:tcPr>
            <w:tcW w:w="40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C. Bracher</w:t>
            </w:r>
          </w:p>
        </w:tc>
      </w:tr>
      <w:tr>
        <w:trPr>
          <w:trHeight w:val="230"/>
        </w:trPr>
        <w:tc>
          <w:tcPr>
            <w:tcW w:w="40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Grocery Outlet Holding Corp. (the “Company”) on Form 10-Q for the period ended July 2, 2022 as filed with the Securities and Exchange Commission on the date hereof (the “Report”), I, Eric J. Lindberg, Jr., certify pursuant to 18 U.S.C. § 1350, as adopted pursuant to § 906 of the Sarbanes-Oxley Act of 2002, that:</w:t>
      </w:r>
    </w:p>
    <w:p>
      <w:pPr>
        <w:spacing w:after="0" w:line="108" w:lineRule="exact"/>
        <w:rPr>
          <w:sz w:val="20"/>
          <w:szCs w:val="20"/>
          <w:color w:val="auto"/>
        </w:rPr>
      </w:pPr>
    </w:p>
    <w:p>
      <w:pPr>
        <w:ind w:left="1060" w:hanging="36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5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Eric J. Lindberg, Jr.</w:t>
            </w:r>
          </w:p>
        </w:tc>
      </w:tr>
      <w:tr>
        <w:trPr>
          <w:trHeight w:val="218"/>
        </w:trPr>
        <w:tc>
          <w:tcPr>
            <w:tcW w:w="3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J. Lindberg, Jr.</w:t>
            </w:r>
          </w:p>
        </w:tc>
      </w:tr>
      <w:tr>
        <w:trPr>
          <w:trHeight w:val="230"/>
        </w:trPr>
        <w:tc>
          <w:tcPr>
            <w:tcW w:w="3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4"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Grocery Outlet Holding Corp. (the “Company”) on Form 10-Q for the period ended July 2, 2022 as filed with the Securities and Exchange Commission on the date hereof (the “Report”), I, Charles C. Bracher, certify pursuant to 18 U.S.C. § 1350, as adopted pursuant to § 906 of the Sarbanes-Oxley Act of 2002, that:</w:t>
      </w:r>
    </w:p>
    <w:p>
      <w:pPr>
        <w:spacing w:after="0" w:line="108" w:lineRule="exact"/>
        <w:rPr>
          <w:sz w:val="20"/>
          <w:szCs w:val="20"/>
          <w:color w:val="auto"/>
        </w:rPr>
      </w:pPr>
    </w:p>
    <w:p>
      <w:pPr>
        <w:ind w:left="1060" w:hanging="364"/>
        <w:spacing w:after="0"/>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84" w:lineRule="exact"/>
        <w:rPr>
          <w:rFonts w:ascii="Times New Roman" w:cs="Times New Roman" w:eastAsia="Times New Roman" w:hAnsi="Times New Roman"/>
          <w:sz w:val="18"/>
          <w:szCs w:val="18"/>
          <w:color w:val="auto"/>
        </w:rPr>
      </w:pPr>
    </w:p>
    <w:p>
      <w:pPr>
        <w:ind w:left="1060" w:hanging="364"/>
        <w:spacing w:after="0" w:line="282" w:lineRule="auto"/>
        <w:tabs>
          <w:tab w:leader="none" w:pos="10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2022</w:t>
            </w:r>
          </w:p>
        </w:tc>
        <w:tc>
          <w:tcPr>
            <w:tcW w:w="538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Charles C. Bracher</w:t>
            </w:r>
          </w:p>
        </w:tc>
      </w:tr>
      <w:tr>
        <w:trPr>
          <w:trHeight w:val="218"/>
        </w:trPr>
        <w:tc>
          <w:tcPr>
            <w:tcW w:w="37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Charles C. Bracher</w:t>
            </w:r>
          </w:p>
        </w:tc>
      </w:tr>
      <w:tr>
        <w:trPr>
          <w:trHeight w:val="230"/>
        </w:trPr>
        <w:tc>
          <w:tcPr>
            <w:tcW w:w="37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7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3"/>
    </w:lvl>
  </w:abstractNum>
  <w:abstractNum w:abstractNumId="15">
    <w:nsid w:val="62BBD95A"/>
    <w:multiLevelType w:val="hybridMultilevel"/>
    <w:lvl w:ilvl="0">
      <w:lvlJc w:val="left"/>
      <w:lvlText w:val="%1"/>
      <w:numFmt w:val="decimal"/>
      <w:start w:val="104"/>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Roman"/>
      <w:start w:val="2"/>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3" Type="http://schemas.openxmlformats.org/officeDocument/2006/relationships/hyperlink" Target="https://www.sec.gov/Archives/edgar/data/1771515/000177151522000082/exhibit31.htm" TargetMode="External"/><Relationship Id="rId54" Type="http://schemas.openxmlformats.org/officeDocument/2006/relationships/hyperlink" Target="http://www.sec.gov/Archives/edgar/data/0001771515/000177151522000045/go4-6x22exhibit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2022-08-10T15:37:27Z</dcterms:created>
  <dcterms:modified xsi:type="dcterms:W3CDTF">2022-08-10T15:37:27Z</dcterms:modified>
</cp:coreProperties>
</file>