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186055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753"/>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700" w:type="dxa"/>
            <w:vAlign w:val="bottom"/>
            <w:gridSpan w:val="2"/>
          </w:tcPr>
          <w:p>
            <w:pPr>
              <w:jc w:val="center"/>
              <w:ind w:left="814"/>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tcPr>
          <w:p>
            <w:pPr>
              <w:ind w:left="1100"/>
              <w:spacing w:after="0" w:line="181" w:lineRule="exact"/>
              <w:rPr>
                <w:sz w:val="20"/>
                <w:szCs w:val="20"/>
                <w:color w:val="auto"/>
              </w:rPr>
            </w:pPr>
            <w:r>
              <w:rPr>
                <w:rFonts w:ascii="Arial" w:cs="Arial" w:eastAsia="Arial" w:hAnsi="Arial"/>
                <w:sz w:val="18"/>
                <w:szCs w:val="18"/>
                <w:b w:val="1"/>
                <w:bCs w:val="1"/>
                <w:color w:val="auto"/>
              </w:rPr>
              <w:t>(I.R.S. Employer</w:t>
            </w:r>
          </w:p>
        </w:tc>
      </w:tr>
      <w:tr>
        <w:trPr>
          <w:trHeight w:val="234"/>
        </w:trPr>
        <w:tc>
          <w:tcPr>
            <w:tcW w:w="37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1"/>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393"/>
              <w:spacing w:after="0"/>
              <w:rPr>
                <w:sz w:val="20"/>
                <w:szCs w:val="20"/>
                <w:color w:val="auto"/>
              </w:rPr>
            </w:pPr>
            <w:r>
              <w:rPr>
                <w:rFonts w:ascii="Arial" w:cs="Arial" w:eastAsia="Arial" w:hAnsi="Arial"/>
                <w:sz w:val="18"/>
                <w:szCs w:val="18"/>
                <w:b w:val="1"/>
                <w:bCs w:val="1"/>
                <w:color w:val="auto"/>
                <w:w w:val="92"/>
              </w:rPr>
              <w:t>Identification No.)</w:t>
            </w:r>
          </w:p>
        </w:tc>
      </w:tr>
      <w:tr>
        <w:trPr>
          <w:trHeight w:val="332"/>
        </w:trPr>
        <w:tc>
          <w:tcPr>
            <w:tcW w:w="756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3680" w:type="dxa"/>
            <w:vAlign w:val="bottom"/>
            <w:gridSpan w:val="2"/>
          </w:tcPr>
          <w:p>
            <w:pPr>
              <w:jc w:val="right"/>
              <w:ind w:right="973"/>
              <w:spacing w:after="0"/>
              <w:rPr>
                <w:sz w:val="20"/>
                <w:szCs w:val="20"/>
                <w:color w:val="auto"/>
              </w:rPr>
            </w:pPr>
            <w:r>
              <w:rPr>
                <w:rFonts w:ascii="Arial" w:cs="Arial" w:eastAsia="Arial" w:hAnsi="Arial"/>
                <w:sz w:val="18"/>
                <w:szCs w:val="18"/>
                <w:b w:val="1"/>
                <w:bCs w:val="1"/>
                <w:color w:val="auto"/>
              </w:rPr>
              <w:t>94608</w:t>
            </w:r>
          </w:p>
        </w:tc>
      </w:tr>
      <w:tr>
        <w:trPr>
          <w:trHeight w:val="210"/>
        </w:trPr>
        <w:tc>
          <w:tcPr>
            <w:tcW w:w="3700" w:type="dxa"/>
            <w:vAlign w:val="bottom"/>
            <w:gridSpan w:val="2"/>
          </w:tcPr>
          <w:p>
            <w:pPr>
              <w:jc w:val="center"/>
              <w:ind w:left="81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jc w:val="center"/>
              <w:ind w:left="393"/>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tcPr>
          <w:p>
            <w:pPr>
              <w:jc w:val="center"/>
              <w:ind w:left="596"/>
              <w:spacing w:after="0"/>
              <w:rPr>
                <w:sz w:val="20"/>
                <w:szCs w:val="20"/>
                <w:color w:val="auto"/>
              </w:rPr>
            </w:pPr>
            <w:r>
              <w:rPr>
                <w:rFonts w:ascii="Arial" w:cs="Arial" w:eastAsia="Arial" w:hAnsi="Arial"/>
                <w:sz w:val="18"/>
                <w:szCs w:val="18"/>
                <w:b w:val="1"/>
                <w:bCs w:val="1"/>
                <w:color w:val="auto"/>
                <w:w w:val="90"/>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68"/>
        </w:trPr>
        <w:tc>
          <w:tcPr>
            <w:tcW w:w="3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40" w:type="dxa"/>
            <w:vAlign w:val="bottom"/>
          </w:tcPr>
          <w:p>
            <w:pPr>
              <w:spacing w:after="0"/>
              <w:rPr>
                <w:sz w:val="14"/>
                <w:szCs w:val="14"/>
                <w:color w:val="auto"/>
              </w:rPr>
            </w:pPr>
          </w:p>
        </w:tc>
      </w:tr>
      <w:tr>
        <w:trPr>
          <w:trHeight w:val="52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2"/>
        </w:trPr>
        <w:tc>
          <w:tcPr>
            <w:tcW w:w="370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6"/>
                <w:szCs w:val="16"/>
                <w:b w:val="1"/>
                <w:bCs w:val="1"/>
                <w:color w:val="auto"/>
                <w:w w:val="87"/>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
          </w:tcPr>
          <w:p>
            <w:pPr>
              <w:jc w:val="center"/>
              <w:ind w:right="493"/>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3700" w:type="dxa"/>
            <w:vAlign w:val="bottom"/>
            <w:gridSpan w:val="2"/>
          </w:tcPr>
          <w:p>
            <w:pPr>
              <w:jc w:val="center"/>
              <w:ind w:left="454"/>
              <w:spacing w:after="0"/>
              <w:rPr>
                <w:sz w:val="20"/>
                <w:szCs w:val="20"/>
                <w:color w:val="auto"/>
              </w:rPr>
            </w:pPr>
            <w:r>
              <w:rPr>
                <w:rFonts w:ascii="Arial" w:cs="Arial" w:eastAsia="Arial" w:hAnsi="Arial"/>
                <w:sz w:val="16"/>
                <w:szCs w:val="16"/>
                <w:color w:val="auto"/>
                <w:w w:val="90"/>
              </w:rPr>
              <w:t>Common Stock, par value $0.001 per share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3680" w:type="dxa"/>
            <w:vAlign w:val="bottom"/>
            <w:gridSpan w:val="2"/>
          </w:tcPr>
          <w:p>
            <w:pPr>
              <w:jc w:val="center"/>
              <w:ind w:right="493"/>
              <w:spacing w:after="0"/>
              <w:rPr>
                <w:sz w:val="20"/>
                <w:szCs w:val="20"/>
                <w:color w:val="auto"/>
              </w:rPr>
            </w:pPr>
            <w:r>
              <w:rPr>
                <w:rFonts w:ascii="Arial" w:cs="Arial" w:eastAsia="Arial" w:hAnsi="Arial"/>
                <w:sz w:val="16"/>
                <w:szCs w:val="16"/>
                <w:color w:val="auto"/>
                <w:w w:val="91"/>
              </w:rPr>
              <w:t>Nasdaq Global Select Market</w:t>
            </w:r>
          </w:p>
        </w:tc>
      </w:tr>
    </w:tbl>
    <w:p>
      <w:pPr>
        <w:spacing w:after="0" w:line="200" w:lineRule="exact"/>
        <w:rPr>
          <w:sz w:val="24"/>
          <w:szCs w:val="24"/>
          <w:color w:val="auto"/>
        </w:rPr>
      </w:pPr>
    </w:p>
    <w:p>
      <w:pPr>
        <w:spacing w:after="0" w:line="242"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60" w:type="dxa"/>
        <w:tblCellMar>
          <w:top w:w="0" w:type="dxa"/>
          <w:left w:w="0" w:type="dxa"/>
          <w:bottom w:w="0" w:type="dxa"/>
          <w:right w:w="0" w:type="dxa"/>
        </w:tblCellMar>
      </w:tblPr>
      <w:tr>
        <w:trPr>
          <w:trHeight w:val="292"/>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7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2021, the registrant had 96,017,043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20"/>
          <w:szCs w:val="20"/>
          <w:b w:val="1"/>
          <w:bCs w:val="1"/>
          <w:color w:val="auto"/>
        </w:rPr>
        <w:t>GROCERY OUTLET HOLDING CORP.</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FORM 10-Q</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gridSpan w:val="3"/>
          </w:tcPr>
          <w:p>
            <w:pPr>
              <w:ind w:left="1660"/>
              <w:spacing w:after="0"/>
              <w:rPr>
                <w:sz w:val="20"/>
                <w:szCs w:val="20"/>
                <w:color w:val="auto"/>
              </w:rPr>
            </w:pPr>
            <w:r>
              <w:rPr>
                <w:rFonts w:ascii="Arial" w:cs="Arial" w:eastAsia="Arial" w:hAnsi="Arial"/>
                <w:sz w:val="16"/>
                <w:szCs w:val="16"/>
                <w:b w:val="1"/>
                <w:bCs w:val="1"/>
                <w:color w:val="auto"/>
                <w:w w:val="78"/>
              </w:rPr>
              <w:t>Page</w:t>
            </w:r>
          </w:p>
        </w:tc>
      </w:tr>
      <w:tr>
        <w:trPr>
          <w:trHeight w:val="195"/>
        </w:trPr>
        <w:tc>
          <w:tcPr>
            <w:tcW w:w="9020" w:type="dxa"/>
            <w:vAlign w:val="bottom"/>
            <w:gridSpan w:val="23"/>
          </w:tcPr>
          <w:p>
            <w:pPr>
              <w:spacing w:after="0" w:line="195" w:lineRule="exact"/>
              <w:rPr>
                <w:rFonts w:ascii="Arial" w:cs="Arial" w:eastAsia="Arial" w:hAnsi="Arial"/>
                <w:sz w:val="18"/>
                <w:szCs w:val="18"/>
                <w:color w:val="3051F2"/>
              </w:rPr>
            </w:pPr>
            <w:hyperlink w:anchor="page2">
              <w:r>
                <w:rPr>
                  <w:rFonts w:ascii="Arial" w:cs="Arial" w:eastAsia="Arial" w:hAnsi="Arial"/>
                  <w:sz w:val="18"/>
                  <w:szCs w:val="18"/>
                  <w:color w:val="3051F2"/>
                </w:rPr>
                <w:t>Special Note Regarding Forward-Looking Statements</w:t>
              </w:r>
            </w:hyperlink>
          </w:p>
        </w:tc>
        <w:tc>
          <w:tcPr>
            <w:tcW w:w="1900" w:type="dxa"/>
            <w:vAlign w:val="bottom"/>
            <w:gridSpan w:val="2"/>
          </w:tcPr>
          <w:p>
            <w:pPr>
              <w:jc w:val="center"/>
              <w:ind w:left="1659"/>
              <w:spacing w:after="0"/>
              <w:rPr>
                <w:rFonts w:ascii="Arial" w:cs="Arial" w:eastAsia="Arial" w:hAnsi="Arial"/>
                <w:sz w:val="16"/>
                <w:szCs w:val="16"/>
                <w:color w:val="3051F2"/>
                <w:w w:val="89"/>
              </w:rPr>
            </w:pPr>
            <w:hyperlink w:anchor="page2">
              <w:r>
                <w:rPr>
                  <w:rFonts w:ascii="Arial" w:cs="Arial" w:eastAsia="Arial" w:hAnsi="Arial"/>
                  <w:sz w:val="16"/>
                  <w:szCs w:val="16"/>
                  <w:color w:val="3051F2"/>
                  <w:w w:val="89"/>
                </w:rPr>
                <w:t>2</w:t>
              </w:r>
            </w:hyperlink>
          </w:p>
        </w:tc>
        <w:tc>
          <w:tcPr>
            <w:tcW w:w="80" w:type="dxa"/>
            <w:vAlign w:val="bottom"/>
          </w:tcPr>
          <w:p>
            <w:pPr>
              <w:spacing w:after="0"/>
              <w:rPr>
                <w:sz w:val="16"/>
                <w:szCs w:val="16"/>
                <w:color w:val="auto"/>
              </w:rPr>
            </w:pPr>
          </w:p>
        </w:tc>
      </w:tr>
      <w:tr>
        <w:trPr>
          <w:trHeight w:val="520"/>
        </w:trPr>
        <w:tc>
          <w:tcPr>
            <w:tcW w:w="94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5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8"/>
          </w:tcPr>
          <w:p>
            <w:pPr>
              <w:jc w:val="center"/>
              <w:ind w:right="166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178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2420" w:type="dxa"/>
            <w:vAlign w:val="bottom"/>
            <w:tcBorders>
              <w:bottom w:val="single" w:sz="8" w:color="3051F2"/>
            </w:tcBorders>
            <w:gridSpan w:val="10"/>
          </w:tcPr>
          <w:p>
            <w:pPr>
              <w:spacing w:after="0"/>
              <w:rPr>
                <w:rFonts w:ascii="Arial" w:cs="Arial" w:eastAsia="Arial" w:hAnsi="Arial"/>
                <w:sz w:val="18"/>
                <w:szCs w:val="18"/>
                <w:color w:val="3051F2"/>
                <w:w w:val="89"/>
              </w:rPr>
            </w:pPr>
            <w:hyperlink w:anchor="page4">
              <w:r>
                <w:rPr>
                  <w:rFonts w:ascii="Arial" w:cs="Arial" w:eastAsia="Arial" w:hAnsi="Arial"/>
                  <w:sz w:val="18"/>
                  <w:szCs w:val="18"/>
                  <w:color w:val="3051F2"/>
                  <w:w w:val="89"/>
                </w:rPr>
                <w:t>Financial Statements (Unaudited)</w:t>
              </w:r>
            </w:hyperlink>
          </w:p>
        </w:tc>
        <w:tc>
          <w:tcPr>
            <w:tcW w:w="5660" w:type="dxa"/>
            <w:vAlign w:val="bottom"/>
            <w:gridSpan w:val="12"/>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3</w:t>
              </w:r>
            </w:hyperlink>
          </w:p>
        </w:tc>
        <w:tc>
          <w:tcPr>
            <w:tcW w:w="80" w:type="dxa"/>
            <w:vAlign w:val="bottom"/>
          </w:tcPr>
          <w:p>
            <w:pPr>
              <w:spacing w:after="0"/>
              <w:rPr>
                <w:sz w:val="24"/>
                <w:szCs w:val="24"/>
                <w:color w:val="auto"/>
              </w:rPr>
            </w:pPr>
          </w:p>
        </w:tc>
      </w:tr>
      <w:tr>
        <w:trPr>
          <w:trHeight w:val="210"/>
        </w:trPr>
        <w:tc>
          <w:tcPr>
            <w:tcW w:w="940" w:type="dxa"/>
            <w:vAlign w:val="bottom"/>
          </w:tcPr>
          <w:p>
            <w:pPr>
              <w:spacing w:after="0"/>
              <w:rPr>
                <w:sz w:val="18"/>
                <w:szCs w:val="18"/>
                <w:color w:val="auto"/>
              </w:rPr>
            </w:pPr>
          </w:p>
        </w:tc>
        <w:tc>
          <w:tcPr>
            <w:tcW w:w="2940" w:type="dxa"/>
            <w:vAlign w:val="bottom"/>
            <w:tcBorders>
              <w:bottom w:val="single" w:sz="8" w:color="3051F2"/>
            </w:tcBorders>
            <w:gridSpan w:val="12"/>
          </w:tcPr>
          <w:p>
            <w:pPr>
              <w:spacing w:after="0"/>
              <w:rPr>
                <w:rFonts w:ascii="Arial" w:cs="Arial" w:eastAsia="Arial" w:hAnsi="Arial"/>
                <w:sz w:val="18"/>
                <w:szCs w:val="18"/>
                <w:color w:val="3051F2"/>
                <w:w w:val="87"/>
              </w:rPr>
            </w:pPr>
            <w:hyperlink w:anchor="page4">
              <w:r>
                <w:rPr>
                  <w:rFonts w:ascii="Arial" w:cs="Arial" w:eastAsia="Arial" w:hAnsi="Arial"/>
                  <w:sz w:val="18"/>
                  <w:szCs w:val="18"/>
                  <w:color w:val="3051F2"/>
                  <w:w w:val="87"/>
                </w:rPr>
                <w:t>Condensed Consolidated Balance Sheets</w:t>
              </w:r>
            </w:hyperlink>
          </w:p>
        </w:tc>
        <w:tc>
          <w:tcPr>
            <w:tcW w:w="5140" w:type="dxa"/>
            <w:vAlign w:val="bottom"/>
            <w:gridSpan w:val="10"/>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3</w:t>
              </w:r>
            </w:hyperlink>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5720" w:type="dxa"/>
            <w:vAlign w:val="bottom"/>
            <w:tcBorders>
              <w:bottom w:val="single" w:sz="8" w:color="3051F2"/>
            </w:tcBorders>
            <w:gridSpan w:val="20"/>
          </w:tcPr>
          <w:p>
            <w:pPr>
              <w:spacing w:after="0"/>
              <w:rPr>
                <w:rFonts w:ascii="Arial" w:cs="Arial" w:eastAsia="Arial" w:hAnsi="Arial"/>
                <w:sz w:val="18"/>
                <w:szCs w:val="18"/>
                <w:color w:val="3051F2"/>
                <w:w w:val="88"/>
              </w:rPr>
            </w:pPr>
            <w:hyperlink w:anchor="page4">
              <w:r>
                <w:rPr>
                  <w:rFonts w:ascii="Arial" w:cs="Arial" w:eastAsia="Arial" w:hAnsi="Arial"/>
                  <w:sz w:val="18"/>
                  <w:szCs w:val="18"/>
                  <w:color w:val="3051F2"/>
                  <w:w w:val="88"/>
                </w:rPr>
                <w:t>Condensed Consolidated Statements of Operations and Comprehensive Income</w:t>
              </w:r>
            </w:hyperlink>
          </w:p>
        </w:tc>
        <w:tc>
          <w:tcPr>
            <w:tcW w:w="236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4">
              <w:r>
                <w:rPr>
                  <w:rFonts w:ascii="Arial" w:cs="Arial" w:eastAsia="Arial" w:hAnsi="Arial"/>
                  <w:sz w:val="16"/>
                  <w:szCs w:val="16"/>
                  <w:color w:val="3051F2"/>
                  <w:w w:val="89"/>
                </w:rPr>
                <w:t>4</w:t>
              </w:r>
            </w:hyperlink>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8080" w:type="dxa"/>
            <w:vAlign w:val="bottom"/>
            <w:gridSpan w:val="22"/>
          </w:tcPr>
          <w:p>
            <w:pPr>
              <w:spacing w:after="0"/>
              <w:rPr>
                <w:rFonts w:ascii="Arial" w:cs="Arial" w:eastAsia="Arial" w:hAnsi="Arial"/>
                <w:sz w:val="18"/>
                <w:szCs w:val="18"/>
                <w:color w:val="3051F2"/>
              </w:rPr>
            </w:pPr>
            <w:hyperlink w:anchor="page5">
              <w:r>
                <w:rPr>
                  <w:rFonts w:ascii="Arial" w:cs="Arial" w:eastAsia="Arial" w:hAnsi="Arial"/>
                  <w:sz w:val="18"/>
                  <w:szCs w:val="18"/>
                  <w:color w:val="3051F2"/>
                </w:rPr>
                <w:t>Condensed Consolidated Statements of Stockholders' Equity</w:t>
              </w:r>
            </w:hyperlink>
          </w:p>
        </w:tc>
        <w:tc>
          <w:tcPr>
            <w:tcW w:w="1900" w:type="dxa"/>
            <w:vAlign w:val="bottom"/>
            <w:gridSpan w:val="2"/>
          </w:tcPr>
          <w:p>
            <w:pPr>
              <w:jc w:val="center"/>
              <w:ind w:left="1659"/>
              <w:spacing w:after="0"/>
              <w:rPr>
                <w:rFonts w:ascii="Arial" w:cs="Arial" w:eastAsia="Arial" w:hAnsi="Arial"/>
                <w:sz w:val="16"/>
                <w:szCs w:val="16"/>
                <w:color w:val="3051F2"/>
                <w:w w:val="89"/>
              </w:rPr>
            </w:pPr>
            <w:hyperlink w:anchor="page5">
              <w:r>
                <w:rPr>
                  <w:rFonts w:ascii="Arial" w:cs="Arial" w:eastAsia="Arial" w:hAnsi="Arial"/>
                  <w:sz w:val="16"/>
                  <w:szCs w:val="16"/>
                  <w:color w:val="3051F2"/>
                  <w:w w:val="89"/>
                </w:rPr>
                <w:t>5</w:t>
              </w:r>
            </w:hyperlink>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720" w:type="dxa"/>
            <w:vAlign w:val="bottom"/>
            <w:tcBorders>
              <w:top w:val="single" w:sz="8" w:color="3051F2"/>
              <w:bottom w:val="single" w:sz="8" w:color="3051F2"/>
            </w:tcBorders>
            <w:gridSpan w:val="15"/>
          </w:tcPr>
          <w:p>
            <w:pPr>
              <w:spacing w:after="0"/>
              <w:rPr>
                <w:rFonts w:ascii="Arial" w:cs="Arial" w:eastAsia="Arial" w:hAnsi="Arial"/>
                <w:sz w:val="18"/>
                <w:szCs w:val="18"/>
                <w:color w:val="3051F2"/>
                <w:w w:val="88"/>
              </w:rPr>
            </w:pPr>
            <w:hyperlink w:anchor="page7">
              <w:r>
                <w:rPr>
                  <w:rFonts w:ascii="Arial" w:cs="Arial" w:eastAsia="Arial" w:hAnsi="Arial"/>
                  <w:sz w:val="18"/>
                  <w:szCs w:val="18"/>
                  <w:color w:val="3051F2"/>
                  <w:w w:val="88"/>
                </w:rPr>
                <w:t>Condensed Consolidated Statements of Cash Flows</w:t>
              </w:r>
            </w:hyperlink>
          </w:p>
        </w:tc>
        <w:tc>
          <w:tcPr>
            <w:tcW w:w="640" w:type="dxa"/>
            <w:vAlign w:val="bottom"/>
            <w:tcBorders>
              <w:top w:val="single" w:sz="8" w:color="3051F2"/>
            </w:tcBorders>
            <w:gridSpan w:val="4"/>
          </w:tcPr>
          <w:p>
            <w:pPr>
              <w:spacing w:after="0"/>
              <w:rPr>
                <w:sz w:val="18"/>
                <w:szCs w:val="18"/>
                <w:color w:val="auto"/>
              </w:rPr>
            </w:pPr>
          </w:p>
        </w:tc>
        <w:tc>
          <w:tcPr>
            <w:tcW w:w="3720" w:type="dxa"/>
            <w:vAlign w:val="bottom"/>
            <w:gridSpan w:val="3"/>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top w:val="single" w:sz="8" w:color="3051F2"/>
              <w:bottom w:val="single" w:sz="8" w:color="3051F2"/>
            </w:tcBorders>
          </w:tcPr>
          <w:p>
            <w:pPr>
              <w:jc w:val="center"/>
              <w:spacing w:after="0"/>
              <w:rPr>
                <w:rFonts w:ascii="Arial" w:cs="Arial" w:eastAsia="Arial" w:hAnsi="Arial"/>
                <w:sz w:val="16"/>
                <w:szCs w:val="16"/>
                <w:color w:val="3051F2"/>
                <w:w w:val="89"/>
              </w:rPr>
            </w:pPr>
            <w:hyperlink w:anchor="page7">
              <w:r>
                <w:rPr>
                  <w:rFonts w:ascii="Arial" w:cs="Arial" w:eastAsia="Arial" w:hAnsi="Arial"/>
                  <w:sz w:val="16"/>
                  <w:szCs w:val="16"/>
                  <w:color w:val="3051F2"/>
                  <w:w w:val="89"/>
                </w:rPr>
                <w:t>7</w:t>
              </w:r>
            </w:hyperlink>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4000" w:type="dxa"/>
            <w:vAlign w:val="bottom"/>
            <w:tcBorders>
              <w:bottom w:val="single" w:sz="8" w:color="3051F2"/>
            </w:tcBorders>
            <w:gridSpan w:val="16"/>
          </w:tcPr>
          <w:p>
            <w:pPr>
              <w:spacing w:after="0"/>
              <w:rPr>
                <w:rFonts w:ascii="Arial" w:cs="Arial" w:eastAsia="Arial" w:hAnsi="Arial"/>
                <w:sz w:val="18"/>
                <w:szCs w:val="18"/>
                <w:color w:val="3051F2"/>
                <w:w w:val="88"/>
              </w:rPr>
            </w:pPr>
            <w:hyperlink w:anchor="page8">
              <w:r>
                <w:rPr>
                  <w:rFonts w:ascii="Arial" w:cs="Arial" w:eastAsia="Arial" w:hAnsi="Arial"/>
                  <w:sz w:val="18"/>
                  <w:szCs w:val="18"/>
                  <w:color w:val="3051F2"/>
                  <w:w w:val="88"/>
                </w:rPr>
                <w:t>Notes to Condensed Consolidated Financial Statements</w:t>
              </w:r>
            </w:hyperlink>
          </w:p>
        </w:tc>
        <w:tc>
          <w:tcPr>
            <w:tcW w:w="4080" w:type="dxa"/>
            <w:vAlign w:val="bottom"/>
            <w:gridSpan w:val="6"/>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rFonts w:ascii="Arial" w:cs="Arial" w:eastAsia="Arial" w:hAnsi="Arial"/>
                <w:sz w:val="16"/>
                <w:szCs w:val="16"/>
                <w:color w:val="3051F2"/>
                <w:w w:val="89"/>
              </w:rPr>
            </w:pPr>
            <w:hyperlink w:anchor="page8">
              <w:r>
                <w:rPr>
                  <w:rFonts w:ascii="Arial" w:cs="Arial" w:eastAsia="Arial" w:hAnsi="Arial"/>
                  <w:sz w:val="16"/>
                  <w:szCs w:val="16"/>
                  <w:color w:val="3051F2"/>
                  <w:w w:val="89"/>
                </w:rPr>
                <w:t>8</w:t>
              </w:r>
            </w:hyperlink>
          </w:p>
        </w:tc>
        <w:tc>
          <w:tcPr>
            <w:tcW w:w="80" w:type="dxa"/>
            <w:vAlign w:val="bottom"/>
          </w:tcPr>
          <w:p>
            <w:pPr>
              <w:spacing w:after="0"/>
              <w:rPr>
                <w:sz w:val="18"/>
                <w:szCs w:val="18"/>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 xml:space="preserve">Item </w:t>
              </w:r>
            </w:hyperlink>
            <w:r>
              <w:rPr>
                <w:rFonts w:ascii="Arial" w:cs="Arial" w:eastAsia="Arial" w:hAnsi="Arial"/>
                <w:sz w:val="18"/>
                <w:szCs w:val="18"/>
                <w:color w:val="auto"/>
              </w:rPr>
              <w:t>2.</w:t>
            </w:r>
          </w:p>
        </w:tc>
        <w:tc>
          <w:tcPr>
            <w:tcW w:w="6440" w:type="dxa"/>
            <w:vAlign w:val="bottom"/>
            <w:gridSpan w:val="21"/>
          </w:tcPr>
          <w:p>
            <w:pPr>
              <w:spacing w:after="0"/>
              <w:rPr>
                <w:rFonts w:ascii="Arial" w:cs="Arial" w:eastAsia="Arial" w:hAnsi="Arial"/>
                <w:sz w:val="18"/>
                <w:szCs w:val="18"/>
                <w:color w:val="3051F2"/>
                <w:w w:val="90"/>
              </w:rPr>
            </w:pPr>
            <w:hyperlink w:anchor="page19">
              <w:r>
                <w:rPr>
                  <w:rFonts w:ascii="Arial" w:cs="Arial" w:eastAsia="Arial" w:hAnsi="Arial"/>
                  <w:sz w:val="18"/>
                  <w:szCs w:val="18"/>
                  <w:color w:val="3051F2"/>
                  <w:w w:val="90"/>
                </w:rPr>
                <w:t>Management's Discussion and Analysis of Financial Condition and Results of Operations</w:t>
              </w:r>
            </w:hyperlink>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19">
              <w:r>
                <w:rPr>
                  <w:rFonts w:ascii="Arial" w:cs="Arial" w:eastAsia="Arial" w:hAnsi="Arial"/>
                  <w:sz w:val="15"/>
                  <w:szCs w:val="15"/>
                  <w:color w:val="3051F2"/>
                  <w:w w:val="71"/>
                </w:rPr>
                <w:t>19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460" w:type="dxa"/>
            <w:vAlign w:val="bottom"/>
            <w:gridSpan w:val="3"/>
            <w:shd w:val="clear" w:color="auto" w:fill="3051F2"/>
          </w:tcPr>
          <w:p>
            <w:pPr>
              <w:spacing w:after="0" w:line="20" w:lineRule="exact"/>
              <w:rPr>
                <w:sz w:val="1"/>
                <w:szCs w:val="1"/>
                <w:color w:val="auto"/>
              </w:rPr>
            </w:pPr>
          </w:p>
        </w:tc>
        <w:tc>
          <w:tcPr>
            <w:tcW w:w="1160" w:type="dxa"/>
            <w:vAlign w:val="bottom"/>
            <w:gridSpan w:val="3"/>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100" w:type="dxa"/>
            <w:vAlign w:val="bottom"/>
            <w:gridSpan w:val="3"/>
            <w:shd w:val="clear" w:color="auto" w:fill="3051F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40" w:type="dxa"/>
            <w:vAlign w:val="bottom"/>
            <w:gridSpan w:val="21"/>
          </w:tcPr>
          <w:p>
            <w:pPr>
              <w:spacing w:after="0"/>
              <w:rPr>
                <w:rFonts w:ascii="Arial" w:cs="Arial" w:eastAsia="Arial" w:hAnsi="Arial"/>
                <w:sz w:val="18"/>
                <w:szCs w:val="18"/>
                <w:color w:val="3051F2"/>
              </w:rPr>
            </w:pPr>
            <w:hyperlink w:anchor="page20">
              <w:r>
                <w:rPr>
                  <w:rFonts w:ascii="Arial" w:cs="Arial" w:eastAsia="Arial" w:hAnsi="Arial"/>
                  <w:sz w:val="18"/>
                  <w:szCs w:val="18"/>
                  <w:color w:val="3051F2"/>
                </w:rPr>
                <w:t>Overview</w:t>
              </w:r>
            </w:hyperlink>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20">
              <w:r>
                <w:rPr>
                  <w:rFonts w:ascii="Arial" w:cs="Arial" w:eastAsia="Arial" w:hAnsi="Arial"/>
                  <w:sz w:val="15"/>
                  <w:szCs w:val="15"/>
                  <w:color w:val="3051F2"/>
                  <w:w w:val="71"/>
                </w:rPr>
                <w:t>19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3051F2"/>
                <w:w w:val="88"/>
              </w:rPr>
            </w:pPr>
            <w:hyperlink w:anchor="page22">
              <w:r>
                <w:rPr>
                  <w:rFonts w:ascii="Arial" w:cs="Arial" w:eastAsia="Arial" w:hAnsi="Arial"/>
                  <w:sz w:val="18"/>
                  <w:szCs w:val="18"/>
                  <w:color w:val="3051F2"/>
                  <w:w w:val="88"/>
                </w:rPr>
                <w:t>Results of Operations</w:t>
              </w:r>
            </w:hyperlink>
          </w:p>
        </w:tc>
        <w:tc>
          <w:tcPr>
            <w:tcW w:w="6520" w:type="dxa"/>
            <w:vAlign w:val="bottom"/>
            <w:gridSpan w:val="17"/>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22">
              <w:r>
                <w:rPr>
                  <w:rFonts w:ascii="Arial" w:cs="Arial" w:eastAsia="Arial" w:hAnsi="Arial"/>
                  <w:sz w:val="15"/>
                  <w:szCs w:val="15"/>
                  <w:color w:val="3051F2"/>
                  <w:w w:val="71"/>
                </w:rPr>
                <w:t>22</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320" w:type="dxa"/>
            <w:vAlign w:val="bottom"/>
            <w:gridSpan w:val="8"/>
          </w:tcPr>
          <w:p>
            <w:pPr>
              <w:spacing w:after="0"/>
              <w:rPr>
                <w:rFonts w:ascii="Arial" w:cs="Arial" w:eastAsia="Arial" w:hAnsi="Arial"/>
                <w:sz w:val="18"/>
                <w:szCs w:val="18"/>
                <w:color w:val="3051F2"/>
                <w:w w:val="90"/>
              </w:rPr>
            </w:pPr>
            <w:hyperlink w:anchor="page30">
              <w:r>
                <w:rPr>
                  <w:rFonts w:ascii="Arial" w:cs="Arial" w:eastAsia="Arial" w:hAnsi="Arial"/>
                  <w:sz w:val="18"/>
                  <w:szCs w:val="18"/>
                  <w:color w:val="3051F2"/>
                  <w:w w:val="90"/>
                </w:rPr>
                <w:t>Liquidity and Capital Resources</w:t>
              </w:r>
            </w:hyperlink>
          </w:p>
        </w:tc>
        <w:tc>
          <w:tcPr>
            <w:tcW w:w="5760" w:type="dxa"/>
            <w:vAlign w:val="bottom"/>
            <w:gridSpan w:val="14"/>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0">
              <w:r>
                <w:rPr>
                  <w:rFonts w:ascii="Arial" w:cs="Arial" w:eastAsia="Arial" w:hAnsi="Arial"/>
                  <w:sz w:val="15"/>
                  <w:szCs w:val="15"/>
                  <w:color w:val="3051F2"/>
                  <w:w w:val="71"/>
                </w:rPr>
                <w:t>30</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400" w:type="dxa"/>
            <w:vAlign w:val="bottom"/>
            <w:gridSpan w:val="9"/>
          </w:tcPr>
          <w:p>
            <w:pPr>
              <w:spacing w:after="0"/>
              <w:rPr>
                <w:rFonts w:ascii="Arial" w:cs="Arial" w:eastAsia="Arial" w:hAnsi="Arial"/>
                <w:sz w:val="18"/>
                <w:szCs w:val="18"/>
                <w:color w:val="3051F2"/>
                <w:w w:val="89"/>
              </w:rPr>
            </w:pPr>
            <w:hyperlink w:anchor="page33">
              <w:r>
                <w:rPr>
                  <w:rFonts w:ascii="Arial" w:cs="Arial" w:eastAsia="Arial" w:hAnsi="Arial"/>
                  <w:sz w:val="18"/>
                  <w:szCs w:val="18"/>
                  <w:color w:val="3051F2"/>
                  <w:w w:val="89"/>
                </w:rPr>
                <w:t>Off-Balance Sheet Arrangements</w:t>
              </w:r>
            </w:hyperlink>
          </w:p>
        </w:tc>
        <w:tc>
          <w:tcPr>
            <w:tcW w:w="5680" w:type="dxa"/>
            <w:vAlign w:val="bottom"/>
            <w:gridSpan w:val="13"/>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3">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400" w:type="dxa"/>
            <w:vAlign w:val="bottom"/>
            <w:gridSpan w:val="9"/>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Contractual Obligations</w:t>
              </w:r>
            </w:hyperlink>
          </w:p>
        </w:tc>
        <w:tc>
          <w:tcPr>
            <w:tcW w:w="5680" w:type="dxa"/>
            <w:vAlign w:val="bottom"/>
            <w:gridSpan w:val="13"/>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080" w:type="dxa"/>
            <w:vAlign w:val="bottom"/>
            <w:gridSpan w:val="22"/>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Critical Accounting Policies and Estimates</w:t>
              </w:r>
            </w:hyperlink>
          </w:p>
        </w:tc>
        <w:tc>
          <w:tcPr>
            <w:tcW w:w="1980" w:type="dxa"/>
            <w:vAlign w:val="bottom"/>
            <w:gridSpan w:val="3"/>
          </w:tcPr>
          <w:p>
            <w:pPr>
              <w:jc w:val="center"/>
              <w:ind w:left="1579"/>
              <w:spacing w:after="0"/>
              <w:rPr>
                <w:rFonts w:ascii="Arial" w:cs="Arial" w:eastAsia="Arial" w:hAnsi="Arial"/>
                <w:sz w:val="16"/>
                <w:szCs w:val="16"/>
                <w:color w:val="3051F2"/>
                <w:w w:val="89"/>
              </w:rPr>
            </w:pPr>
            <w:hyperlink w:anchor="page34">
              <w:r>
                <w:rPr>
                  <w:rFonts w:ascii="Arial" w:cs="Arial" w:eastAsia="Arial" w:hAnsi="Arial"/>
                  <w:sz w:val="16"/>
                  <w:szCs w:val="16"/>
                  <w:color w:val="3051F2"/>
                  <w:w w:val="89"/>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080" w:type="dxa"/>
            <w:vAlign w:val="bottom"/>
            <w:gridSpan w:val="14"/>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Recent Accounting Pronouncements</w:t>
              </w:r>
            </w:hyperlink>
          </w:p>
        </w:tc>
        <w:tc>
          <w:tcPr>
            <w:tcW w:w="5000" w:type="dxa"/>
            <w:vAlign w:val="bottom"/>
            <w:gridSpan w:val="8"/>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440" w:type="dxa"/>
            <w:vAlign w:val="bottom"/>
            <w:tcBorders>
              <w:left w:val="single" w:sz="8" w:color="3051F2"/>
            </w:tcBorders>
            <w:gridSpan w:val="3"/>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300" w:type="dxa"/>
            <w:vAlign w:val="bottom"/>
            <w:tcBorders>
              <w:left w:val="single" w:sz="8" w:color="3051F2"/>
            </w:tcBorders>
            <w:gridSpan w:val="3"/>
            <w:shd w:val="clear" w:color="auto" w:fill="3051F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 xml:space="preserve">Item </w:t>
              </w:r>
            </w:hyperlink>
            <w:r>
              <w:rPr>
                <w:rFonts w:ascii="Arial" w:cs="Arial" w:eastAsia="Arial" w:hAnsi="Arial"/>
                <w:sz w:val="18"/>
                <w:szCs w:val="18"/>
                <w:color w:val="auto"/>
              </w:rPr>
              <w:t>3.</w:t>
            </w:r>
          </w:p>
        </w:tc>
        <w:tc>
          <w:tcPr>
            <w:tcW w:w="4240" w:type="dxa"/>
            <w:vAlign w:val="bottom"/>
            <w:gridSpan w:val="17"/>
          </w:tcPr>
          <w:p>
            <w:pPr>
              <w:spacing w:after="0"/>
              <w:rPr>
                <w:rFonts w:ascii="Arial" w:cs="Arial" w:eastAsia="Arial" w:hAnsi="Arial"/>
                <w:sz w:val="18"/>
                <w:szCs w:val="18"/>
                <w:color w:val="3051F2"/>
                <w:w w:val="91"/>
              </w:rPr>
            </w:pPr>
            <w:hyperlink w:anchor="page34">
              <w:r>
                <w:rPr>
                  <w:rFonts w:ascii="Arial" w:cs="Arial" w:eastAsia="Arial" w:hAnsi="Arial"/>
                  <w:sz w:val="18"/>
                  <w:szCs w:val="18"/>
                  <w:color w:val="3051F2"/>
                  <w:w w:val="91"/>
                </w:rPr>
                <w:t>Quantitative and Qualitative Disclosure about Market Risk</w:t>
              </w:r>
            </w:hyperlink>
          </w:p>
        </w:tc>
        <w:tc>
          <w:tcPr>
            <w:tcW w:w="3840" w:type="dxa"/>
            <w:vAlign w:val="bottom"/>
            <w:gridSpan w:val="5"/>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 xml:space="preserve">Item </w:t>
              </w:r>
            </w:hyperlink>
            <w:r>
              <w:rPr>
                <w:rFonts w:ascii="Arial" w:cs="Arial" w:eastAsia="Arial" w:hAnsi="Arial"/>
                <w:sz w:val="18"/>
                <w:szCs w:val="18"/>
                <w:color w:val="auto"/>
              </w:rPr>
              <w:t>4.</w:t>
            </w:r>
          </w:p>
        </w:tc>
        <w:tc>
          <w:tcPr>
            <w:tcW w:w="4240" w:type="dxa"/>
            <w:vAlign w:val="bottom"/>
            <w:gridSpan w:val="17"/>
          </w:tcPr>
          <w:p>
            <w:pPr>
              <w:spacing w:after="0"/>
              <w:rPr>
                <w:rFonts w:ascii="Arial" w:cs="Arial" w:eastAsia="Arial" w:hAnsi="Arial"/>
                <w:sz w:val="18"/>
                <w:szCs w:val="18"/>
                <w:color w:val="3051F2"/>
              </w:rPr>
            </w:pPr>
            <w:hyperlink w:anchor="page34">
              <w:r>
                <w:rPr>
                  <w:rFonts w:ascii="Arial" w:cs="Arial" w:eastAsia="Arial" w:hAnsi="Arial"/>
                  <w:sz w:val="18"/>
                  <w:szCs w:val="18"/>
                  <w:color w:val="3051F2"/>
                </w:rPr>
                <w:t>Controls and Procedures</w:t>
              </w:r>
            </w:hyperlink>
          </w:p>
        </w:tc>
        <w:tc>
          <w:tcPr>
            <w:tcW w:w="3840" w:type="dxa"/>
            <w:vAlign w:val="bottom"/>
            <w:gridSpan w:val="5"/>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4">
              <w:r>
                <w:rPr>
                  <w:rFonts w:ascii="Arial" w:cs="Arial" w:eastAsia="Arial" w:hAnsi="Arial"/>
                  <w:sz w:val="15"/>
                  <w:szCs w:val="15"/>
                  <w:color w:val="3051F2"/>
                  <w:w w:val="71"/>
                </w:rPr>
                <w:t>34</w:t>
              </w:r>
            </w:hyperlink>
          </w:p>
        </w:tc>
      </w:tr>
      <w:tr>
        <w:trPr>
          <w:trHeight w:val="520"/>
        </w:trPr>
        <w:tc>
          <w:tcPr>
            <w:tcW w:w="940" w:type="dxa"/>
            <w:vAlign w:val="bottom"/>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8"/>
          </w:tcPr>
          <w:p>
            <w:pPr>
              <w:jc w:val="center"/>
              <w:ind w:right="166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 OTHER INFORMATION</w:t>
              </w:r>
            </w:hyperlink>
          </w:p>
        </w:tc>
        <w:tc>
          <w:tcPr>
            <w:tcW w:w="178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1320" w:type="dxa"/>
            <w:vAlign w:val="bottom"/>
            <w:gridSpan w:val="4"/>
          </w:tcPr>
          <w:p>
            <w:pPr>
              <w:spacing w:after="0"/>
              <w:rPr>
                <w:rFonts w:ascii="Arial" w:cs="Arial" w:eastAsia="Arial" w:hAnsi="Arial"/>
                <w:sz w:val="18"/>
                <w:szCs w:val="18"/>
                <w:color w:val="3051F2"/>
                <w:w w:val="85"/>
              </w:rPr>
            </w:pPr>
            <w:hyperlink w:anchor="page36">
              <w:r>
                <w:rPr>
                  <w:rFonts w:ascii="Arial" w:cs="Arial" w:eastAsia="Arial" w:hAnsi="Arial"/>
                  <w:sz w:val="18"/>
                  <w:szCs w:val="18"/>
                  <w:color w:val="3051F2"/>
                  <w:w w:val="85"/>
                </w:rPr>
                <w:t>Legal Proceedings</w:t>
              </w:r>
            </w:hyperlink>
          </w:p>
        </w:tc>
        <w:tc>
          <w:tcPr>
            <w:tcW w:w="6760" w:type="dxa"/>
            <w:vAlign w:val="bottom"/>
            <w:gridSpan w:val="18"/>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000" w:type="dxa"/>
            <w:vAlign w:val="bottom"/>
            <w:tcBorders>
              <w:left w:val="single" w:sz="8" w:color="3051F2"/>
            </w:tcBorders>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1320" w:type="dxa"/>
            <w:vAlign w:val="bottom"/>
            <w:gridSpan w:val="4"/>
          </w:tcPr>
          <w:p>
            <w:pPr>
              <w:spacing w:after="0"/>
              <w:rPr>
                <w:rFonts w:ascii="Arial" w:cs="Arial" w:eastAsia="Arial" w:hAnsi="Arial"/>
                <w:sz w:val="18"/>
                <w:szCs w:val="18"/>
                <w:color w:val="3051F2"/>
              </w:rPr>
            </w:pPr>
            <w:hyperlink w:anchor="page36">
              <w:r>
                <w:rPr>
                  <w:rFonts w:ascii="Arial" w:cs="Arial" w:eastAsia="Arial" w:hAnsi="Arial"/>
                  <w:sz w:val="18"/>
                  <w:szCs w:val="18"/>
                  <w:color w:val="3051F2"/>
                </w:rPr>
                <w:t>Risk Factors</w:t>
              </w:r>
            </w:hyperlink>
          </w:p>
        </w:tc>
        <w:tc>
          <w:tcPr>
            <w:tcW w:w="6760" w:type="dxa"/>
            <w:vAlign w:val="bottom"/>
            <w:gridSpan w:val="18"/>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36">
              <w:r>
                <w:rPr>
                  <w:rFonts w:ascii="Arial" w:cs="Arial" w:eastAsia="Arial" w:hAnsi="Arial"/>
                  <w:sz w:val="15"/>
                  <w:szCs w:val="15"/>
                  <w:color w:val="3051F2"/>
                  <w:w w:val="71"/>
                </w:rPr>
                <w:t>35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2"/>
          </w:tcPr>
          <w:p>
            <w:pPr>
              <w:spacing w:after="0"/>
              <w:rPr>
                <w:rFonts w:ascii="Arial" w:cs="Arial" w:eastAsia="Arial" w:hAnsi="Arial"/>
                <w:sz w:val="18"/>
                <w:szCs w:val="18"/>
                <w:color w:val="3051F2"/>
              </w:rPr>
            </w:pPr>
            <w:hyperlink w:anchor="page40">
              <w:r>
                <w:rPr>
                  <w:rFonts w:ascii="Arial" w:cs="Arial" w:eastAsia="Arial" w:hAnsi="Arial"/>
                  <w:sz w:val="18"/>
                  <w:szCs w:val="18"/>
                  <w:color w:val="3051F2"/>
                </w:rPr>
                <w:t>Unregistered Sales of Equity Securities and Use of Proceeds</w:t>
              </w:r>
            </w:hyperlink>
          </w:p>
        </w:tc>
        <w:tc>
          <w:tcPr>
            <w:tcW w:w="1980" w:type="dxa"/>
            <w:vAlign w:val="bottom"/>
            <w:gridSpan w:val="3"/>
          </w:tcPr>
          <w:p>
            <w:pPr>
              <w:jc w:val="center"/>
              <w:ind w:left="1579"/>
              <w:spacing w:after="0"/>
              <w:rPr>
                <w:rFonts w:ascii="Arial" w:cs="Arial" w:eastAsia="Arial" w:hAnsi="Arial"/>
                <w:sz w:val="16"/>
                <w:szCs w:val="16"/>
                <w:color w:val="3051F2"/>
                <w:w w:val="89"/>
              </w:rPr>
            </w:pPr>
            <w:hyperlink w:anchor="page40">
              <w:r>
                <w:rPr>
                  <w:rFonts w:ascii="Arial" w:cs="Arial" w:eastAsia="Arial" w:hAnsi="Arial"/>
                  <w:sz w:val="16"/>
                  <w:szCs w:val="16"/>
                  <w:color w:val="3051F2"/>
                  <w:w w:val="89"/>
                </w:rPr>
                <w:t>39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8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 xml:space="preserve">Item </w:t>
              </w:r>
            </w:hyperlink>
            <w:r>
              <w:rPr>
                <w:rFonts w:ascii="Arial" w:cs="Arial" w:eastAsia="Arial" w:hAnsi="Arial"/>
                <w:sz w:val="18"/>
                <w:szCs w:val="18"/>
                <w:color w:val="auto"/>
              </w:rPr>
              <w:t>3.</w:t>
            </w:r>
          </w:p>
        </w:tc>
        <w:tc>
          <w:tcPr>
            <w:tcW w:w="4340" w:type="dxa"/>
            <w:vAlign w:val="bottom"/>
            <w:gridSpan w:val="18"/>
          </w:tcPr>
          <w:p>
            <w:pPr>
              <w:spacing w:after="0"/>
              <w:rPr>
                <w:rFonts w:ascii="Arial" w:cs="Arial" w:eastAsia="Arial" w:hAnsi="Arial"/>
                <w:sz w:val="18"/>
                <w:szCs w:val="18"/>
                <w:color w:val="3051F2"/>
              </w:rPr>
            </w:pPr>
            <w:hyperlink w:anchor="page40">
              <w:r>
                <w:rPr>
                  <w:rFonts w:ascii="Arial" w:cs="Arial" w:eastAsia="Arial" w:hAnsi="Arial"/>
                  <w:sz w:val="18"/>
                  <w:szCs w:val="18"/>
                  <w:color w:val="3051F2"/>
                </w:rPr>
                <w:t>Defaults Upon Senior Securities</w:t>
              </w:r>
            </w:hyperlink>
          </w:p>
        </w:tc>
        <w:tc>
          <w:tcPr>
            <w:tcW w:w="3740" w:type="dxa"/>
            <w:vAlign w:val="bottom"/>
            <w:gridSpan w:val="4"/>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40">
              <w:r>
                <w:rPr>
                  <w:rFonts w:ascii="Arial" w:cs="Arial" w:eastAsia="Arial" w:hAnsi="Arial"/>
                  <w:sz w:val="15"/>
                  <w:szCs w:val="15"/>
                  <w:color w:val="3051F2"/>
                  <w:w w:val="71"/>
                </w:rPr>
                <w:t>39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4"/>
            <w:shd w:val="clear" w:color="auto" w:fill="3051F2"/>
          </w:tcPr>
          <w:p>
            <w:pPr>
              <w:spacing w:after="0" w:line="20" w:lineRule="exact"/>
              <w:rPr>
                <w:sz w:val="1"/>
                <w:szCs w:val="1"/>
                <w:color w:val="auto"/>
              </w:rPr>
            </w:pPr>
          </w:p>
        </w:tc>
        <w:tc>
          <w:tcPr>
            <w:tcW w:w="5760" w:type="dxa"/>
            <w:vAlign w:val="bottom"/>
            <w:gridSpan w:val="14"/>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3051F2"/>
              </w:rPr>
            </w:pPr>
            <w:hyperlink w:anchor="page40">
              <w:r>
                <w:rPr>
                  <w:rFonts w:ascii="Arial" w:cs="Arial" w:eastAsia="Arial" w:hAnsi="Arial"/>
                  <w:sz w:val="18"/>
                  <w:szCs w:val="18"/>
                  <w:color w:val="3051F2"/>
                </w:rPr>
                <w:t>Mine Safety Disclosures</w:t>
              </w:r>
            </w:hyperlink>
          </w:p>
        </w:tc>
        <w:tc>
          <w:tcPr>
            <w:tcW w:w="5760" w:type="dxa"/>
            <w:vAlign w:val="bottom"/>
            <w:gridSpan w:val="14"/>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40">
              <w:r>
                <w:rPr>
                  <w:rFonts w:ascii="Arial" w:cs="Arial" w:eastAsia="Arial" w:hAnsi="Arial"/>
                  <w:sz w:val="15"/>
                  <w:szCs w:val="15"/>
                  <w:color w:val="3051F2"/>
                  <w:w w:val="71"/>
                </w:rPr>
                <w:t>39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440" w:type="dxa"/>
            <w:vAlign w:val="bottom"/>
            <w:tcBorders>
              <w:left w:val="single" w:sz="8" w:color="3051F2"/>
            </w:tcBorders>
            <w:gridSpan w:val="3"/>
            <w:shd w:val="clear" w:color="auto" w:fill="3051F2"/>
          </w:tcPr>
          <w:p>
            <w:pPr>
              <w:spacing w:after="0" w:line="20" w:lineRule="exact"/>
              <w:rPr>
                <w:sz w:val="1"/>
                <w:szCs w:val="1"/>
                <w:color w:val="auto"/>
              </w:rPr>
            </w:pPr>
          </w:p>
        </w:tc>
        <w:tc>
          <w:tcPr>
            <w:tcW w:w="6320" w:type="dxa"/>
            <w:vAlign w:val="bottom"/>
            <w:gridSpan w:val="15"/>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 xml:space="preserve">Item </w:t>
              </w:r>
            </w:hyperlink>
            <w:r>
              <w:rPr>
                <w:rFonts w:ascii="Arial" w:cs="Arial" w:eastAsia="Arial" w:hAnsi="Arial"/>
                <w:sz w:val="18"/>
                <w:szCs w:val="18"/>
                <w:color w:val="auto"/>
              </w:rPr>
              <w:t>5.</w:t>
            </w:r>
          </w:p>
        </w:tc>
        <w:tc>
          <w:tcPr>
            <w:tcW w:w="1320" w:type="dxa"/>
            <w:vAlign w:val="bottom"/>
            <w:gridSpan w:val="4"/>
          </w:tcPr>
          <w:p>
            <w:pPr>
              <w:spacing w:after="0"/>
              <w:rPr>
                <w:rFonts w:ascii="Arial" w:cs="Arial" w:eastAsia="Arial" w:hAnsi="Arial"/>
                <w:sz w:val="18"/>
                <w:szCs w:val="18"/>
                <w:color w:val="3051F2"/>
                <w:w w:val="91"/>
              </w:rPr>
            </w:pPr>
            <w:hyperlink w:anchor="page40">
              <w:r>
                <w:rPr>
                  <w:rFonts w:ascii="Arial" w:cs="Arial" w:eastAsia="Arial" w:hAnsi="Arial"/>
                  <w:sz w:val="18"/>
                  <w:szCs w:val="18"/>
                  <w:color w:val="3051F2"/>
                  <w:w w:val="91"/>
                </w:rPr>
                <w:t>Other Information</w:t>
              </w:r>
            </w:hyperlink>
          </w:p>
        </w:tc>
        <w:tc>
          <w:tcPr>
            <w:tcW w:w="440" w:type="dxa"/>
            <w:vAlign w:val="bottom"/>
            <w:gridSpan w:val="3"/>
          </w:tcPr>
          <w:p>
            <w:pPr>
              <w:spacing w:after="0"/>
              <w:rPr>
                <w:sz w:val="18"/>
                <w:szCs w:val="18"/>
                <w:color w:val="auto"/>
              </w:rPr>
            </w:pPr>
          </w:p>
        </w:tc>
        <w:tc>
          <w:tcPr>
            <w:tcW w:w="6320" w:type="dxa"/>
            <w:vAlign w:val="bottom"/>
            <w:gridSpan w:val="15"/>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40">
              <w:r>
                <w:rPr>
                  <w:rFonts w:ascii="Arial" w:cs="Arial" w:eastAsia="Arial" w:hAnsi="Arial"/>
                  <w:sz w:val="15"/>
                  <w:szCs w:val="15"/>
                  <w:color w:val="3051F2"/>
                  <w:w w:val="71"/>
                </w:rPr>
                <w:t>39</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6760" w:type="dxa"/>
            <w:vAlign w:val="bottom"/>
            <w:gridSpan w:val="18"/>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 xml:space="preserve">Item </w:t>
              </w:r>
            </w:hyperlink>
            <w:r>
              <w:rPr>
                <w:rFonts w:ascii="Arial" w:cs="Arial" w:eastAsia="Arial" w:hAnsi="Arial"/>
                <w:sz w:val="18"/>
                <w:szCs w:val="18"/>
                <w:color w:val="auto"/>
              </w:rPr>
              <w:t>6.</w:t>
            </w:r>
          </w:p>
        </w:tc>
        <w:tc>
          <w:tcPr>
            <w:tcW w:w="600" w:type="dxa"/>
            <w:vAlign w:val="bottom"/>
          </w:tcPr>
          <w:p>
            <w:pPr>
              <w:spacing w:after="0"/>
              <w:rPr>
                <w:rFonts w:ascii="Arial" w:cs="Arial" w:eastAsia="Arial" w:hAnsi="Arial"/>
                <w:sz w:val="18"/>
                <w:szCs w:val="18"/>
                <w:color w:val="3051F2"/>
                <w:w w:val="91"/>
              </w:rPr>
            </w:pPr>
            <w:hyperlink w:anchor="page40">
              <w:r>
                <w:rPr>
                  <w:rFonts w:ascii="Arial" w:cs="Arial" w:eastAsia="Arial" w:hAnsi="Arial"/>
                  <w:sz w:val="18"/>
                  <w:szCs w:val="18"/>
                  <w:color w:val="3051F2"/>
                  <w:w w:val="91"/>
                </w:rPr>
                <w:t>Exhibits</w:t>
              </w:r>
            </w:hyperlink>
          </w:p>
        </w:tc>
        <w:tc>
          <w:tcPr>
            <w:tcW w:w="720" w:type="dxa"/>
            <w:vAlign w:val="bottom"/>
            <w:gridSpan w:val="3"/>
          </w:tcPr>
          <w:p>
            <w:pPr>
              <w:spacing w:after="0"/>
              <w:rPr>
                <w:sz w:val="18"/>
                <w:szCs w:val="18"/>
                <w:color w:val="auto"/>
              </w:rPr>
            </w:pPr>
          </w:p>
        </w:tc>
        <w:tc>
          <w:tcPr>
            <w:tcW w:w="6760" w:type="dxa"/>
            <w:vAlign w:val="bottom"/>
            <w:gridSpan w:val="18"/>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40">
              <w:r>
                <w:rPr>
                  <w:rFonts w:ascii="Arial" w:cs="Arial" w:eastAsia="Arial" w:hAnsi="Arial"/>
                  <w:sz w:val="15"/>
                  <w:szCs w:val="15"/>
                  <w:color w:val="3051F2"/>
                  <w:w w:val="71"/>
                </w:rPr>
                <w:t>40</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80" w:type="dxa"/>
            <w:vAlign w:val="bottom"/>
            <w:gridSpan w:val="20"/>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00" w:type="dxa"/>
            <w:vAlign w:val="bottom"/>
            <w:gridSpan w:val="2"/>
          </w:tcPr>
          <w:p>
            <w:pPr>
              <w:spacing w:after="0"/>
              <w:rPr>
                <w:rFonts w:ascii="Arial" w:cs="Arial" w:eastAsia="Arial" w:hAnsi="Arial"/>
                <w:sz w:val="18"/>
                <w:szCs w:val="18"/>
                <w:color w:val="0E32E1"/>
                <w:w w:val="76"/>
              </w:rPr>
            </w:pPr>
            <w:hyperlink w:anchor="page41">
              <w:r>
                <w:rPr>
                  <w:rFonts w:ascii="Arial" w:cs="Arial" w:eastAsia="Arial" w:hAnsi="Arial"/>
                  <w:sz w:val="18"/>
                  <w:szCs w:val="18"/>
                  <w:color w:val="0E32E1"/>
                  <w:w w:val="76"/>
                </w:rPr>
                <w:t>Signatures</w:t>
              </w:r>
            </w:hyperlink>
          </w:p>
        </w:tc>
        <w:tc>
          <w:tcPr>
            <w:tcW w:w="7380" w:type="dxa"/>
            <w:vAlign w:val="bottom"/>
            <w:gridSpan w:val="20"/>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3051F2"/>
                <w:w w:val="71"/>
              </w:rPr>
            </w:pPr>
            <w:hyperlink w:anchor="page41">
              <w:r>
                <w:rPr>
                  <w:rFonts w:ascii="Arial" w:cs="Arial" w:eastAsia="Arial" w:hAnsi="Arial"/>
                  <w:sz w:val="15"/>
                  <w:szCs w:val="15"/>
                  <w:color w:val="3051F2"/>
                  <w:w w:val="71"/>
                </w:rPr>
                <w:t>41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tcBorders>
              <w:left w:val="single" w:sz="8" w:color="0E32E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i w:val="1"/>
          <w:iCs w:val="1"/>
          <w:color w:val="231F20"/>
        </w:rPr>
        <w:t>Certain statements contained in this Quarterly Report on Form 10-Q ("Form 10-Q"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our objectives for future operations, and the sufficiency of our cash balances, working capital and cash generated from operating, investing and financing activities for our future liquidity and capital resource needs may constitute forward-looking statements. Words such as "anticipate," "believe," "estimate," "expect," "intend," "may," "outlook," "plan," "project," "seek," "will," and similar expressions, are intended to identify such forward-looking statements. We have based these forward-looking statements on our current expectations and projections about future events and trends that we believe may affect our financial condition, operating results, business strategy, short-term and long-term business operations and objectives, and financial needs. These forward-looking statements are subject to a number of risks, uncertainties and assumptions that may cause actual results to differ materially from those expressed or implied by any forward-looking statements we make, including those described under the headings "Risk Factors," "Management's Discussion and Analysis of Financial Condition and Results of Operations" and elsewhere in our Annual Report on Form 10-K for the fiscal year ended January 2, 2021, as amended (the "2020 Form 10-K"), and as described in subsequent reports we file with the United States ("U.S.") Securities and Exchange Commission (the "SEC"), including this report.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by the forward-looking statements.</w:t>
      </w:r>
    </w:p>
    <w:p>
      <w:pPr>
        <w:spacing w:after="0" w:line="6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are made as of the date of this report or as of the date specified herein. Except as required by law, we do not undertake any duty to update any of these forward-looking statements after the date of this report or to conform these statements to actual results or revised expectations.</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use our website, www.groceryoutlet.com,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w:t>
      </w:r>
      <w:r>
        <w:rPr>
          <w:rFonts w:ascii="Arial" w:cs="Arial" w:eastAsia="Arial" w:hAnsi="Arial"/>
          <w:sz w:val="18"/>
          <w:szCs w:val="18"/>
          <w:color w:val="231F20"/>
        </w:rPr>
        <w:t>s not, however,</w:t>
      </w:r>
      <w:r>
        <w:rPr>
          <w:rFonts w:ascii="Arial" w:cs="Arial" w:eastAsia="Arial" w:hAnsi="Arial"/>
          <w:sz w:val="18"/>
          <w:szCs w:val="18"/>
          <w:color w:val="auto"/>
        </w:rPr>
        <w:t xml:space="preserve"> </w:t>
      </w:r>
      <w:r>
        <w:rPr>
          <w:rFonts w:ascii="Arial" w:cs="Arial" w:eastAsia="Arial" w:hAnsi="Arial"/>
          <w:sz w:val="18"/>
          <w:szCs w:val="18"/>
          <w:color w:val="231F20"/>
        </w:rPr>
        <w:t>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2,</w:t>
            </w:r>
          </w:p>
        </w:tc>
        <w:tc>
          <w:tcPr>
            <w:tcW w:w="260" w:type="dxa"/>
            <w:vAlign w:val="bottom"/>
          </w:tcPr>
          <w:p>
            <w:pPr>
              <w:spacing w:after="0"/>
              <w:rPr>
                <w:sz w:val="14"/>
                <w:szCs w:val="14"/>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$1,266</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and $985</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$7 and $39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245,844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245,157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430,405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381,957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$10,029 and $7,124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484,718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433,652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835,397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48,226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 assets, net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2,617,668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114,278</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and other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232,646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938,760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881,438</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1,623,637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1,563,317</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Voting common stock, par value $0.001 per share, 500,000,000 shares authorized; 96,007,519 and 94,854,336</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803,099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787,047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2,617,668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2,485,624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26,</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2,327,819</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1,590,044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1,598,859</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728,960</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574,813</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649,413</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Gain on insurance recoveries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63,412</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0.58</w:t>
            </w:r>
          </w:p>
        </w:tc>
        <w:tc>
          <w:tcPr>
            <w:tcW w:w="1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90,929</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98,033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Voting Common</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Stockholders'</w:t>
            </w:r>
          </w:p>
        </w:tc>
      </w:tr>
      <w:tr>
        <w:trPr>
          <w:trHeight w:val="201"/>
        </w:trPr>
        <w:tc>
          <w:tcPr>
            <w:tcW w:w="5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Equity</w:t>
            </w: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2,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94,854,336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922,307</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647,137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2,953</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18,892</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1100" w:type="dxa"/>
            <w:vAlign w:val="bottom"/>
          </w:tcPr>
          <w:p>
            <w:pPr>
              <w:jc w:val="right"/>
              <w:spacing w:after="0"/>
              <w:rPr>
                <w:sz w:val="20"/>
                <w:szCs w:val="20"/>
                <w:color w:val="auto"/>
              </w:rPr>
            </w:pPr>
            <w:r>
              <w:rPr>
                <w:rFonts w:ascii="Arial" w:cs="Arial" w:eastAsia="Arial" w:hAnsi="Arial"/>
                <w:sz w:val="18"/>
                <w:szCs w:val="18"/>
                <w:color w:val="auto"/>
              </w:rPr>
              <w:t>95,501,473</w:t>
            </w:r>
          </w:p>
        </w:tc>
        <w:tc>
          <w:tcPr>
            <w:tcW w:w="8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793,933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154,057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948,086</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4,210</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95,837,220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973,883</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170,299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17,139</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2,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96,007,519</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803,099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190,836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994,031</w:t>
            </w:r>
          </w:p>
        </w:tc>
      </w:tr>
      <w:tr>
        <w:trPr>
          <w:trHeight w:val="21"/>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Voting Common</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28,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89,005,062</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Cumulative effect of accounting change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20,277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28,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89,907,194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784,628</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1,511,079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Tax paid on behalf of employees related to net settlement of share-based</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29,333</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27,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91,418,273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833,401</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Exercise and vesting of share-based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2,486,649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and comprehensive income</w:t>
            </w:r>
          </w:p>
        </w:tc>
        <w:tc>
          <w:tcPr>
            <w:tcW w:w="11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26,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93,904,922</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777,831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888,826</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8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Pr>
          <w:p>
            <w:pPr>
              <w:spacing w:after="0"/>
              <w:rPr>
                <w:sz w:val="11"/>
                <w:szCs w:val="11"/>
                <w:color w:val="auto"/>
              </w:rPr>
            </w:pPr>
          </w:p>
        </w:tc>
        <w:tc>
          <w:tcPr>
            <w:tcW w:w="1280" w:type="dxa"/>
            <w:vAlign w:val="bottom"/>
          </w:tcPr>
          <w:p>
            <w:pPr>
              <w:jc w:val="right"/>
              <w:ind w:right="211"/>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82,449</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36,772</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debt discounts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insurance recoveries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34,309</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Provision for accounts receivable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insurance recoveries - business interruption and inventory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(18,996)</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r>
      <w:tr>
        <w:trPr>
          <w:trHeight w:val="230"/>
        </w:trPr>
        <w:tc>
          <w:tcPr>
            <w:tcW w:w="8160" w:type="dxa"/>
            <w:vAlign w:val="bottom"/>
          </w:tcPr>
          <w:p>
            <w:pPr>
              <w:ind w:left="22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(33,357)</w:t>
            </w:r>
          </w:p>
        </w:tc>
      </w:tr>
      <w:tr>
        <w:trPr>
          <w:trHeight w:val="229"/>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29"/>
        </w:trPr>
        <w:tc>
          <w:tcPr>
            <w:tcW w:w="8160" w:type="dxa"/>
            <w:vAlign w:val="bottom"/>
          </w:tcPr>
          <w:p>
            <w:pPr>
              <w:ind w:left="220"/>
              <w:spacing w:after="0"/>
              <w:rPr>
                <w:sz w:val="20"/>
                <w:szCs w:val="20"/>
                <w:color w:val="auto"/>
              </w:rPr>
            </w:pPr>
            <w:r>
              <w:rPr>
                <w:rFonts w:ascii="Arial" w:cs="Arial" w:eastAsia="Arial" w:hAnsi="Arial"/>
                <w:sz w:val="18"/>
                <w:szCs w:val="18"/>
                <w:color w:val="auto"/>
              </w:rPr>
              <w:t>Income and other taxes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accrued compensation and other accrued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r>
      <w:tr>
        <w:trPr>
          <w:trHeight w:val="23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operating lease assets and liabilities, net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w:t>
            </w:r>
          </w:p>
        </w:tc>
      </w:tr>
      <w:tr>
        <w:trPr>
          <w:trHeight w:val="223"/>
        </w:trPr>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99,261</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to independent operators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Repayments of advances from independent operators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5,216</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and licenses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insurance recoveries - property and equipment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27,133</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 loan</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revolving credit facility loan</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Payments made for net settlement of employee share-based compensation awards</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term loans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Principal payments on other borrowings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Debt issuance costs paid</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23"/>
        </w:trPr>
        <w:tc>
          <w:tcPr>
            <w:tcW w:w="8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30,981</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28,101</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59,082</w:t>
            </w: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October 2, 2021, we had 407 stores throughout California, Washington, Oregon, Pennsylvania, Idaho and Nevada.</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Secondary Public Offerings </w:t>
      </w:r>
      <w:r>
        <w:rPr>
          <w:rFonts w:ascii="Arial" w:cs="Arial" w:eastAsia="Arial" w:hAnsi="Arial"/>
          <w:sz w:val="18"/>
          <w:szCs w:val="18"/>
          <w:color w:val="auto"/>
        </w:rPr>
        <w:t>— On February 3, 2020, certain of our selling stockholders completed a secondary public offering of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We did not receive any of the proceeds from the sale of these shares by the selling stockholders. We incurred related offering costs of $1.1 million which we recognized in selling, general and administrative expenses ("SG&amp;A") during the first quarter of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7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2020 Form 10-K. The condensed consolidated balance sheet as of January 2, 2021 included herein has been derived from those audited consolidated financial statements.</w:t>
      </w:r>
    </w:p>
    <w:p>
      <w:pPr>
        <w:spacing w:after="0" w:line="8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Certain prior period amounts in the notes to the condensed consolidated financial statements have been reclassified to conform to the current period presentation. The reclassification of these items had no impact on net income, earnings per share, or retained earnings in the current or prior period.</w:t>
      </w:r>
    </w:p>
    <w:p>
      <w:pPr>
        <w:spacing w:after="0" w:line="5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72"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We manage our business as one operating segment. All of our sales were made to customers located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property and equipment is located in the United States.</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We determine if an arrangement is a lease at inception. Operating leases are included in operating lease right-of-use assets, current lease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long-term lease liabilities on our condensed consolidated balance sheets. Finance leases are included in other assets, current lease liabilities, and long-term lease liabilities on our condensed consolidated balance sheets. Right-of-use assets represent our right to use an underlying asset for the lease term and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Amortization of finance lease right-of-use assets, interest expense on finance lease liabilities and operating and financing cash flows for finance leases are immaterial.</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go-forward basis. We sublease certain real estate to unrelated third parties under non-cancelable leases and the sublease portfolio consists of operating leases for retail stores.</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63" w:lineRule="exact"/>
        <w:rPr>
          <w:sz w:val="20"/>
          <w:szCs w:val="20"/>
          <w:color w:val="auto"/>
        </w:rPr>
      </w:pPr>
    </w:p>
    <w:p>
      <w:pPr>
        <w:ind w:left="1540" w:hanging="89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assets or liabilities measured at fair value on a recurring basis as of October 2, 2021 or January 2, 2021. Generally, assets are recorded at fair value on a nonrecurring basis as a result of impairment charges. There were no transfers of assets or liabilities between levels within the fair value hierarchy during the periods ended October 2, 2021 or January 2, 2021, respectively.</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independent operator ("IO") receivables, other accounts receivable and accounts payable </w:t>
      </w:r>
      <w:r>
        <w:rPr>
          <w:rFonts w:ascii="Arial" w:cs="Arial" w:eastAsia="Arial" w:hAnsi="Arial"/>
          <w:sz w:val="18"/>
          <w:szCs w:val="18"/>
          <w:color w:val="auto"/>
        </w:rPr>
        <w:t>— The carrying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approximates their fair value due to factors such as their short-term nature or their variable interest rates.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IO notes receivable (net) </w:t>
      </w:r>
      <w:r>
        <w:rPr>
          <w:rFonts w:ascii="Arial" w:cs="Arial" w:eastAsia="Arial" w:hAnsi="Arial"/>
          <w:sz w:val="18"/>
          <w:szCs w:val="18"/>
          <w:color w:val="auto"/>
        </w:rPr>
        <w:t>— The carrying value of such financial instruments approximates their fair value due to the effect of the related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expected credit losses.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Notes payable and term loan </w:t>
      </w:r>
      <w:r>
        <w:rPr>
          <w:rFonts w:ascii="Arial" w:cs="Arial" w:eastAsia="Arial" w:hAnsi="Arial"/>
          <w:sz w:val="18"/>
          <w:szCs w:val="18"/>
          <w:color w:val="auto"/>
        </w:rPr>
        <w:t>— The carrying value of such financial instruments approximates their fair value since the stated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approximates market rates for loans with similar terms for borrowers with similar credit profiles. However, in accordance with Accounting Standards Codification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values of our term loan as of October 2, 2021 and January 2, 2021 is disclosed in the below table.</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(amounts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119"/>
              <w:spacing w:after="0" w:line="149" w:lineRule="exact"/>
              <w:rPr>
                <w:sz w:val="20"/>
                <w:szCs w:val="20"/>
                <w:color w:val="auto"/>
              </w:rPr>
            </w:pPr>
            <w:r>
              <w:rPr>
                <w:rFonts w:ascii="Arial" w:cs="Arial" w:eastAsia="Arial" w:hAnsi="Arial"/>
                <w:sz w:val="14"/>
                <w:szCs w:val="14"/>
                <w:b w:val="1"/>
                <w:bCs w:val="1"/>
                <w:color w:val="auto"/>
              </w:rPr>
              <w:t>October 2,</w:t>
            </w: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119"/>
              <w:spacing w:after="0" w:line="149" w:lineRule="exact"/>
              <w:rPr>
                <w:sz w:val="20"/>
                <w:szCs w:val="20"/>
                <w:color w:val="auto"/>
              </w:rPr>
            </w:pPr>
            <w:r>
              <w:rPr>
                <w:rFonts w:ascii="Arial" w:cs="Arial" w:eastAsia="Arial" w:hAnsi="Arial"/>
                <w:sz w:val="14"/>
                <w:szCs w:val="14"/>
                <w:b w:val="1"/>
                <w:bCs w:val="1"/>
                <w:color w:val="auto"/>
              </w:rPr>
              <w:t>January 2,</w:t>
            </w: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Term loan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458,951</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459,425</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458,757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carrying amounts as of October 2, 2021 and January 2, 2021 are net of unamortized debt discounts of $1.0 million and $1.2 million, respectively.</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500" w:hanging="492"/>
        <w:spacing w:after="0" w:line="27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estimated fair value of our term loan was determined based on the average quoted bid-ask prices for the term loan in an over-the-counter market on the last trading day of the periods presented.</w:t>
      </w:r>
    </w:p>
    <w:p>
      <w:pPr>
        <w:spacing w:after="0" w:line="5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We recognize revenue from the sale of products at the point of sale, net of any taxes or deposits collected and remitted to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IOs are not recognized as a reduction in sales as these are provided solely by the IO who bears the incremental costs arising from the discount. We do not accept manufacturer coupons.</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October 2, 2021 and January 2, 2021.</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Gift Cards </w:t>
      </w:r>
      <w:r>
        <w:rPr>
          <w:rFonts w:ascii="Arial" w:cs="Arial" w:eastAsia="Arial" w:hAnsi="Arial"/>
          <w:sz w:val="18"/>
          <w:szCs w:val="18"/>
          <w:color w:val="auto"/>
        </w:rPr>
        <w:t>— We record a deferred revenue liability when a Grocery Outlet gift card is sold. Revenue related to gift cards is recognized as the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$2.8 million and $3.2 million as of October 2, 2021 and January 2, 2021, respectively. Breakage amounts were immaterial for the 13 and 39 weeks ended October 2, 2021 and September 26, 2020.</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Disaggregated Revenues </w:t>
      </w:r>
      <w:r>
        <w:rPr>
          <w:rFonts w:ascii="Arial" w:cs="Arial" w:eastAsia="Arial" w:hAnsi="Arial"/>
          <w:sz w:val="16"/>
          <w:szCs w:val="16"/>
          <w:color w:val="auto"/>
        </w:rPr>
        <w:t>— The following table presents net sales revenue by type of product for the periods indicated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7"/>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788,190</w:t>
            </w:r>
          </w:p>
        </w:tc>
      </w:tr>
      <w:tr>
        <w:trPr>
          <w:trHeight w:val="230"/>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1,496,258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1,539,629</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2,327,819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Non-perishable departments include non-perishable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403, 375 and 367 stores operated by IOs as of October 2, 2021, January 2, 2021 and September 26, 2020, respectively. We have agreements in place with each IO. The IO orders merchandise exclusively from us which is provided to the IO on consignment. Under the Independent Operator Agreement (the "Operator Agreement"), the IO may select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7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consignor of all merchandise to each IO, the aggregate net sales proceeds from merchandise sales belongs to us. Net sales related to IO stores were $754.4 million and $750.5 million for the 13 weeks ended October 2, 2021 and September 26, 2020, respectively, and $2.26 billion and $2.28 billion for the 39 weeks ended October 2, 2021 and September 26, 2020, respectively. We, in turn, pay IOs a commission based on a share of the gross profit of the store. Inventories and related net sales proceeds are our property, and we are responsible for store rent and related occupancy costs. IO commissions were expensed and included in SG&amp;A. IO commissions were $117.2 million and $114.2 million for the 13 weeks ended October 2, 2021 and September 26, 2020, respectively, and $345.3 million and $351.1 million for the 39 weeks ended October 2, 2021 and September 26, 2020, respectively. IO commissions of $8.0 million and $6.0 million were included in accrued expenses as of October 2, 2021 and January 2, 2021, respectively.</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IOs may fund their initial store investment from existing capital, a third-party loan or most commonly through a loan from us, as further discussed in Note 2.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its ability to direct those activities.</w:t>
      </w:r>
    </w:p>
    <w:p>
      <w:pPr>
        <w:spacing w:after="0" w:line="8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illustrate the lack of ultimate control over the IO. Therefore, the Company is not the primary beneficiary of these VIEs.</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maximum exposure to the IOs is generally limited to the IO notes and IO receivables due from these entities, which was $38.5 million and $41.0 million as of October 2, 2021 and January 2, 2021, respectively. See Note 2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ASU No. 2019-12 </w:t>
      </w:r>
      <w:r>
        <w:rPr>
          <w:rFonts w:ascii="Arial" w:cs="Arial" w:eastAsia="Arial" w:hAnsi="Arial"/>
          <w:sz w:val="17"/>
          <w:szCs w:val="17"/>
          <w:color w:val="auto"/>
        </w:rPr>
        <w:t>— In December 2019, the FASB issued ASU No.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2019-12").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adopted ASU 2019-12 beginning in the first quarter of fiscal 2021. The adoption of ASU 2019-12 did not have a material impact on our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 recently issued accounting pronouncements are expected to have a material effect on our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Independent Operator Notes and Independent Operator Receivables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amounts included in IO notes and IO receivables consist primarily of funds we loaned to IOs, net of estimated uncollectible amounts. IO notes are payable on demand and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$0.3 million and $0.4 million as of October 2, 2021 and January 2, 2021, respectively. There were no IO notes that were past due or on a non-accrual status due to delinquency as of October 2, 2021 or January 2, 2021. Notes and receivables from our IOs participating in our TCAP, as defined below, are not considered to be past due or on a non-accrual status due to delinquency and are excluded from such measures.</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9" w:lineRule="exact"/>
        <w:rPr>
          <w:sz w:val="20"/>
          <w:szCs w:val="20"/>
          <w:color w:val="auto"/>
        </w:rPr>
      </w:pPr>
    </w:p>
    <w:p>
      <w:pPr>
        <w:jc w:val="both"/>
        <w:ind w:left="980" w:hanging="324"/>
        <w:spacing w:after="0" w:line="259"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74" w:lineRule="exact"/>
        <w:rPr>
          <w:rFonts w:ascii="Arial" w:cs="Arial" w:eastAsia="Arial" w:hAnsi="Arial"/>
          <w:sz w:val="18"/>
          <w:szCs w:val="18"/>
          <w:b w:val="1"/>
          <w:bCs w:val="1"/>
          <w:color w:val="auto"/>
        </w:rPr>
      </w:pPr>
    </w:p>
    <w:p>
      <w:pPr>
        <w:ind w:left="980" w:right="20" w:hanging="324"/>
        <w:spacing w:after="0" w:line="282"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980" w:hanging="324"/>
        <w:spacing w:after="0" w:line="282"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Amounts due from IOs and the related allowances as of October 2, 2021 and January 2, 2021 consisted of the following (amounts in thousands)</w:t>
      </w:r>
      <w:r>
        <w:rPr>
          <w:rFonts w:ascii="Arial" w:cs="Arial" w:eastAsia="Arial" w:hAnsi="Arial"/>
          <w:sz w:val="17"/>
          <w:szCs w:val="17"/>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Portion</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2, 2021</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33,425</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22,743</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Current Portion</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rPr>
                <w:sz w:val="15"/>
                <w:szCs w:val="15"/>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Current Portion</w:t>
            </w:r>
          </w:p>
        </w:tc>
        <w:tc>
          <w:tcPr>
            <w:tcW w:w="160" w:type="dxa"/>
            <w:vAlign w:val="bottom"/>
          </w:tcPr>
          <w:p>
            <w:pPr>
              <w:spacing w:after="0"/>
              <w:rPr>
                <w:sz w:val="15"/>
                <w:szCs w:val="15"/>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Portion</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 2021</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Independent operator notes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IO notes and receivable allowance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13 Weeks Ended</w:t>
            </w:r>
          </w:p>
        </w:tc>
        <w:tc>
          <w:tcPr>
            <w:tcW w:w="220" w:type="dxa"/>
            <w:vAlign w:val="bottom"/>
          </w:tcPr>
          <w:p>
            <w:pPr>
              <w:spacing w:after="0"/>
              <w:rPr>
                <w:sz w:val="16"/>
                <w:szCs w:val="16"/>
                <w:color w:val="auto"/>
              </w:rPr>
            </w:pPr>
          </w:p>
        </w:tc>
        <w:tc>
          <w:tcPr>
            <w:tcW w:w="238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5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September 26,</w:t>
            </w:r>
          </w:p>
        </w:tc>
      </w:tr>
      <w:tr>
        <w:trPr>
          <w:trHeight w:val="188"/>
        </w:trPr>
        <w:tc>
          <w:tcPr>
            <w:tcW w:w="5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Provision for IO notes and IO receivables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provision for IO notes and IO receivables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the amortized cost basis of IO notes by year of origination and credit quality indicator as of October 2, 2021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left="256"/>
              <w:spacing w:after="0"/>
              <w:rPr>
                <w:sz w:val="20"/>
                <w:szCs w:val="20"/>
                <w:color w:val="auto"/>
              </w:rPr>
            </w:pPr>
            <w:r>
              <w:rPr>
                <w:rFonts w:ascii="Arial" w:cs="Arial" w:eastAsia="Arial" w:hAnsi="Arial"/>
                <w:sz w:val="14"/>
                <w:szCs w:val="14"/>
                <w:b w:val="1"/>
                <w:bCs w:val="1"/>
                <w:color w:val="auto"/>
                <w:w w:val="97"/>
              </w:rPr>
              <w:t>Prior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79"/>
              </w:rPr>
              <w:t>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15,202</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646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33,425</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Note 3. Long-term Debt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10"/>
          </w:tcPr>
          <w:p>
            <w:pPr>
              <w:ind w:left="500"/>
              <w:spacing w:after="0"/>
              <w:rPr>
                <w:sz w:val="20"/>
                <w:szCs w:val="20"/>
                <w:color w:val="auto"/>
              </w:rPr>
            </w:pPr>
            <w:r>
              <w:rPr>
                <w:rFonts w:ascii="Arial" w:cs="Arial" w:eastAsia="Arial" w:hAnsi="Arial"/>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2"/>
              </w:rPr>
              <w:t>October 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First Lien Credit Agreement: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center"/>
              <w:ind w:left="356"/>
              <w:spacing w:after="0"/>
              <w:rPr>
                <w:sz w:val="20"/>
                <w:szCs w:val="20"/>
                <w:color w:val="auto"/>
              </w:rPr>
            </w:pPr>
            <w:r>
              <w:rPr>
                <w:rFonts w:ascii="Arial" w:cs="Arial" w:eastAsia="Arial" w:hAnsi="Arial"/>
                <w:sz w:val="18"/>
                <w:szCs w:val="18"/>
                <w:color w:val="auto"/>
                <w:w w:val="89"/>
              </w:rPr>
              <w:t>460,000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gross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89"/>
              </w:rPr>
              <w:t>460,000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w w:val="99"/>
              </w:rPr>
              <w:t>Less: Unamortized debt discounts and debt issuance costs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89"/>
              </w:rPr>
              <w:t>450,860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449,233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GOBP Holdings, Inc ("GOBP Holdings"), our wholly owned subsidiary, together with another of our wholly owned subsidiaries, has a first lien credit agreement (the “First Lien Credit Agreement”) with a syndicate of lenders that consists of a $460.0 million senior term loan and a revolving credit facility for an amount up to $100.0 million, with sub-commitments for a $35.0 million letter of credit and $20.0 million of swingline loans as of October 2, 2021. The First Lien Credit Agreement permits voluntary prepayment on borrowings without premium or penalty. Borrowings under the First Lien Credit Agreement are secured by substantially all the assets of the borrower subsidiary and its guarantors.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$460.0 million senior term loan matures on October 22, 2025 and had an interest rate of 2.88% as of October 2, 2021. Due to previous prepayments on the term loan, no further principal payment on the term loan will be due until the maturity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January 24, 2020, GOBP Holdings together with another of our wholly owned subsidiaries, entered into a second incremental agreement (the "Second Incremental Agreement") which amended a previous incremental agreement (the "First Incremental Agreement"). The Second Incremental Agreement refinanced a previous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We wrote off debt issuance costs of $0.1 million and incurred debt modification costs of $0.1 million during the first quarter of fiscal 2020 in connection with this refinance.</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October 2, 2021, we had $3.5 million of outstanding standby letters of credit and $96.5 million of remaining borrowing capacity available under the revolving credit facility. No amounts were outstanding under the revolving credit facility as of October 2, 2021 and January 2, 2021.</w:t>
      </w:r>
    </w:p>
    <w:p>
      <w:pPr>
        <w:spacing w:after="0" w:line="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2, 2021,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October 2, 2021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gridSpan w:val="4"/>
          </w:tcPr>
          <w:p>
            <w:pPr>
              <w:ind w:left="500"/>
              <w:spacing w:after="0"/>
              <w:rPr>
                <w:sz w:val="20"/>
                <w:szCs w:val="20"/>
                <w:color w:val="auto"/>
              </w:rPr>
            </w:pPr>
            <w:r>
              <w:rPr>
                <w:rFonts w:ascii="Arial" w:cs="Arial" w:eastAsia="Arial" w:hAnsi="Arial"/>
                <w:sz w:val="18"/>
                <w:szCs w:val="18"/>
                <w:color w:val="auto"/>
              </w:rPr>
              <w:t>Interest expense, net, consisted of the following (amounts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24"/>
                <w:szCs w:val="24"/>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26,</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debt discounts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extinguishment and modification costs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13 Weeks Ended</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1"/>
                <w:szCs w:val="11"/>
                <w:color w:val="auto"/>
              </w:rPr>
            </w:pPr>
          </w:p>
        </w:tc>
        <w:tc>
          <w:tcPr>
            <w:tcW w:w="128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49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debt issuance costs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Debt modification costs</w:t>
            </w:r>
          </w:p>
        </w:tc>
        <w:tc>
          <w:tcPr>
            <w:tcW w:w="114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4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114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60"/>
        </w:trPr>
        <w:tc>
          <w:tcPr>
            <w:tcW w:w="4980" w:type="dxa"/>
            <w:vAlign w:val="bottom"/>
          </w:tcPr>
          <w:p>
            <w:pPr>
              <w:spacing w:after="0"/>
              <w:rPr>
                <w:sz w:val="24"/>
                <w:szCs w:val="24"/>
                <w:color w:val="auto"/>
              </w:rPr>
            </w:pPr>
          </w:p>
        </w:tc>
        <w:tc>
          <w:tcPr>
            <w:tcW w:w="1140" w:type="dxa"/>
            <w:vAlign w:val="bottom"/>
          </w:tcPr>
          <w:p>
            <w:pPr>
              <w:jc w:val="right"/>
              <w:ind w:right="319"/>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share-based incentive plans, refer to NOTE 7 —Share-based Awards of our 2020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under all equity incentive plans during the 39 weeks ended October 2,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8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15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2, 2021</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3,864,772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12.42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2,325,580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(422,138)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(608,641)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(180,839)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Options outstanding as of October 2, 2021</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3,261,795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1,716,939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as of October 2, 2021</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1,983,997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1,716,939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restricted stock unit ("RSU") activity under all equity incentive plans during the 39 weeks ended October 2,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333,418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October 2,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performance-based restricted stock unit ("PSU") activity under the Grocery Outlet Holding Corp. 2019 Incentive Plan during the 39 weeks ended October 2,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319,606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Adjustment for expected performance achievement </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Unvested balance as of October 2, 2021 </w:t>
            </w:r>
            <w:r>
              <w:rPr>
                <w:rFonts w:ascii="Arial" w:cs="Arial" w:eastAsia="Arial" w:hAnsi="Arial"/>
                <w:sz w:val="23"/>
                <w:szCs w:val="23"/>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adjustment to previously granted PSUs based on performance expectations as of October 2, 2021.</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 additional 641,180 PSUs could potentially be included if the maximum performance level of 200% is reached for all PSUs outstanding as of October 2, 2021.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13 Weeks Ended</w:t>
            </w:r>
          </w:p>
        </w:tc>
        <w:tc>
          <w:tcPr>
            <w:tcW w:w="240" w:type="dxa"/>
            <w:vAlign w:val="bottom"/>
          </w:tcPr>
          <w:p>
            <w:pPr>
              <w:spacing w:after="0"/>
              <w:rPr>
                <w:sz w:val="16"/>
                <w:szCs w:val="16"/>
                <w:color w:val="auto"/>
              </w:rPr>
            </w:pPr>
          </w:p>
        </w:tc>
        <w:tc>
          <w:tcPr>
            <w:tcW w:w="26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5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2,</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w w:val="98"/>
              </w:rPr>
              <w:t>September 26,</w:t>
            </w:r>
          </w:p>
        </w:tc>
      </w:tr>
      <w:tr>
        <w:trPr>
          <w:trHeight w:val="188"/>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Performance-based stock options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26,079</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PSUs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right="20" w:hanging="492"/>
        <w:spacing w:after="0" w:line="27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cash dividends paid upon vesting of share-based awards as a result of dividends declared in connection with recapitalizations that occurred in fiscal 2018 and 2016.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income tax expense (benefit) and effective income tax rate were as follows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300" w:type="dxa"/>
            <w:vAlign w:val="bottom"/>
          </w:tcPr>
          <w:p>
            <w:pPr>
              <w:spacing w:after="0"/>
              <w:rPr>
                <w:sz w:val="16"/>
                <w:szCs w:val="16"/>
                <w:color w:val="auto"/>
              </w:rPr>
            </w:pPr>
          </w:p>
        </w:tc>
        <w:tc>
          <w:tcPr>
            <w:tcW w:w="2960" w:type="dxa"/>
            <w:vAlign w:val="bottom"/>
            <w:gridSpan w:val="4"/>
          </w:tcPr>
          <w:p>
            <w:pPr>
              <w:jc w:val="right"/>
              <w:ind w:right="1039"/>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4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59"/>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79"/>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4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10,185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(19,037)</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29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change from net income tax benefits of $15.0 million and $19.0 million for the 13 and 39 weeks ended September 26, 2020, respectively, to net income tax expenses of $5.1 million and $10.2 million for the 13 and 39 weeks ended October 2, 2021, respectively, was primarily driven by a reduction in excess tax benefits related to the exercise of stock options and vesting of RSUs, as compared to the same periods in fiscal 2020.</w:t>
      </w:r>
    </w:p>
    <w:p>
      <w:pPr>
        <w:spacing w:after="0" w:line="5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tax provision for interim periods is determined using an estimated annual effective tax rate, adjusted for discrete events arising in each respective quarter. During each interim period, the Company updates the estimated annual effective tax rate. Our effective income tax rate for the 13 and 39 weeks ended October 2, 2021 was lower than the combined U.S. federal and state statutory income tax rate primarily due to excess tax benefits related to the exercise of stock options and vesting of RSUs. The increase in our effective income tax rate for the 13 and 39 weeks ended October 2, 2021 compared to the corresponding period in fiscal 2020 was primarily due to the above mentioned reduction in discrete items related to the exercise of stock options and vesting of employee RSUs.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recognize interest and penalties associated with uncertain tax positions as part of the income tax provision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We had no uncertain tax positions as of October 2, 2021 and January 2, 2021, respectively, and do not anticipate any changes to our uncertain tax positions within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leased properties from entities affiliated with certain of our non-controlling stockholders for 15 store locations and one warehouse location as of both October 2, 2021 and September 26, 2020. Affiliated entities received aggregate lease payments from us of $1.5 million for each of the 13 weeks ended October 2, 2021 and September 26, 2020, respectively, and $4.5 million for each of the 39 weeks ended October 2, 2021 and September 26, 2020,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Independent Operator Receivables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offer interest-bearing notes to IOs and the gross IO operating notes and IO receivables due from these was $38.5 million and $41.0 million as of October 2, 2021 and January 2, 2021, respectively. See Note 2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are involved from time to time in claims, proceedings and litigation arising in the normal course of business. We do not believe the impact of such litigation will have a material adverse effect on our condensed consolidated financial statements taken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14"/>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82,449</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90,929</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98,033</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jc w:val="both"/>
        <w:ind w:left="500" w:hanging="492"/>
        <w:spacing w:after="0" w:line="261" w:lineRule="auto"/>
        <w:tabs>
          <w:tab w:leader="none" w:pos="500" w:val="left"/>
        </w:tabs>
        <w:numPr>
          <w:ilvl w:val="0"/>
          <w:numId w:val="9"/>
        </w:numPr>
        <w:rPr>
          <w:rFonts w:ascii="Arial" w:cs="Arial" w:eastAsia="Arial" w:hAnsi="Arial"/>
          <w:sz w:val="16"/>
          <w:szCs w:val="16"/>
          <w:color w:val="231F20"/>
        </w:rPr>
      </w:pPr>
      <w:r>
        <w:rPr>
          <w:rFonts w:ascii="Arial" w:cs="Arial" w:eastAsia="Arial" w:hAnsi="Arial"/>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13 and 39 weeks ended October 2, 2021 and September 26, 2020.</w:t>
      </w:r>
    </w:p>
    <w:p>
      <w:pPr>
        <w:spacing w:after="0" w:line="1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weighted-average common stock equivalents were excluded from the calculation of diluted earnings per share because their effect would have been anti-dilutive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2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rPr>
              <w:t>39 Weeks Ended</w:t>
            </w:r>
          </w:p>
        </w:tc>
      </w:tr>
      <w:tr>
        <w:trPr>
          <w:trHeight w:val="135"/>
        </w:trPr>
        <w:tc>
          <w:tcPr>
            <w:tcW w:w="4980" w:type="dxa"/>
            <w:vAlign w:val="bottom"/>
          </w:tcPr>
          <w:p>
            <w:pPr>
              <w:spacing w:after="0"/>
              <w:rPr>
                <w:sz w:val="11"/>
                <w:szCs w:val="11"/>
                <w:color w:val="auto"/>
              </w:rPr>
            </w:pPr>
          </w:p>
        </w:tc>
        <w:tc>
          <w:tcPr>
            <w:tcW w:w="114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2"/>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October 2,</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September 26,</w:t>
            </w:r>
          </w:p>
        </w:tc>
      </w:tr>
      <w:tr>
        <w:trPr>
          <w:trHeight w:val="188"/>
        </w:trPr>
        <w:tc>
          <w:tcPr>
            <w:tcW w:w="61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6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November 2021, our board of directors approved a share repurchase program. This program, which is effective November 5, 2021, authorizes us to repurchase up to $100.0 million of our outstanding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Arial" w:cs="Arial" w:eastAsia="Arial" w:hAnsi="Arial"/>
          <w:sz w:val="17"/>
          <w:szCs w:val="17"/>
          <w:i w:val="1"/>
          <w:iCs w:val="1"/>
          <w:color w:val="231F20"/>
        </w:rPr>
        <w:t>in this report,</w:t>
      </w:r>
      <w:r>
        <w:rPr>
          <w:rFonts w:ascii="Arial" w:cs="Arial" w:eastAsia="Arial" w:hAnsi="Arial"/>
          <w:sz w:val="17"/>
          <w:szCs w:val="17"/>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January 2, 2021, as amended ("2020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the third quarter of fiscal 2021 and the third quarter of fiscal 2020 refer to the 13 weeks ended October 2, 2021 and September 26, 2020,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231F20"/>
        </w:rPr>
        <w:t>As used in this report, references to "Grocery Outlet," "the Company," "the registrant," "we," "us" and "our," refer to Grocery Outlet Holding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October 2, 2021, we had 407 stores in California, Washington, Oregon, Pennsylvania, Idaho and Nevada.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Public Offerings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February 3, 2020,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during the first quarter of fiscal 2020. We received $1.4 million in cash (excluding withholding taxes) in connection with the exercise of 191,470 options by certain stockholders participating in this secondary public offering.</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second quarter of fiscal 2020. We received $1.6 million in cash (excluding withholding taxes) in connection with the exercise of 269,000 options by certain stockholders participating in this secondary public offering.</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schools and non-essential businesses and enacted limitations on the number of people allowed to gather at one time in the same space. As of the date of this filing, the states in which we operate have "re-opened" but states and counties maintain differing and evolving requirements related to COVID-19. As we compare fiscal 2021 financial performance with the comparable period in fiscal 2020 that included elevated COVID-related demand, we are reporting declines in year-over-year net sales and comparable store sales growth on a year-to-date basis. In addition, consumer behavior continues to be impacted by a variety of factors including, in part, increased consumer mobility and travel, higher food-away-from-home spend, continued consolidation of grocery store visits, elevated grocery e-commerce usage and higher levels of government stimulus, leading to consumers prioritizing convenience over value. There was also a surge of positive COVID-19 cases related to the Delta variant around the country during the third quarter, including states in which we operate, creating additional uncertainty and having a negative impact on staffing. As a result of those factors and the possibility of different variants, it is difficult to predict near term consumer behavior and resulting sales trends for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and our IOs currently face and will continue to face staffing challenges including overtime pay, increased payroll attributable to employees who are compensated for their time to receive vaccines, and staffing shortages for a variety of reasons that are attributable to the COVID-19 pandemic. In early 2021, many counties in California and Washington enacted ordinances mandating "hazard pay" for grocery workers. While most of those ordinances have applied to large companies with more than 300 employees and have not applied to smaller businesses operated by a single employer (such as an Independent Operator), these ordinances do create staffing issues as many competitors are subject to those ordinances and accordingly may offer more competitive compensation. While most of the hazard pay ordinances have expired, if there is another COVID surge, counties may try to implement new ordinances. In addition, federal and state governments have enacted legislation to provide additional company paid benefits for employees and former employees impacted by the COVID-19 pandemic. Also, in the event that a Company employee, an IO, or IO employee tests positive for COVID-19, we may have to temporarily close a store, office or distribution center for cleaning and/or quarantine one or more employees which could negatively impact our financial results. We have incurred, and expect to continue to incur, cleaning and safety costs, supplies, and higher personnel expenses.</w:t>
      </w:r>
    </w:p>
    <w:p>
      <w:pPr>
        <w:spacing w:after="0" w:line="6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addition, since the start of the pandemic certain inventory items have at times been, and may in the future again be, in short supply. Recently, COVID-19-related supply chain disruptions have caused logistical challenges for us and many other businesses in the retail industry, causing delay in product delivery to our distribution centers, stores and customers. These logistical challenges have also caused increased costs to deliver goods to our stores resulting from increased fuel costs, increased carrier rates and driver wages as a result of driver shortages, a decrease in transportation capacity, and slowdowns. Additionally, certain fixture upgrades and new refrigeration units now have longer lead times. All of these factors could impact the ability of stores to operate normal hours of operation or have sufficient inventory at all times which may disrupt our business and negatively impact our financial results. Further, planned construction and opening of new stores have been and may continue to be negatively impacted due to increased time periods to get materials such as steel, obtain permits and licenses and set up utilities. Finally, we have incurred, and expect to continue to incur, additional expenses as a result of certain increased costs related to our IOs. For example, we are paying a portion of the costs of personal protective equipment ("PPE") and cleaning supplies for our IOs as well as reducing interest rates on outstanding IO notes. We cannot reasonably estimate the length or severity of this pandemic, but it could have a material adverse impact on our consolidated financial position, consolidated results of operations, and consolidated cash flows in fiscal 2021. See "Risk Factors—Major health epidemics, such as the outbreak caused by COVID-19 and its variants, and other outbreaks could continue to disrupt and adversely affect our operations, financial condition and business" in Part II of this Report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GAAP measures we use are net sales, gross profit and gross margin, selling, general and administrative expenses (“SG&amp;A”) and operating income. The key operational metrics and non-GAAP measures we use are number of new stores, comparable store sales, EBITDA, adjusted EBITDA, adjusted net income and adjusted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2021 Overview</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the third quarter of fiscal 2021 were as follows:</w:t>
      </w:r>
    </w:p>
    <w:p>
      <w:pPr>
        <w:spacing w:after="0" w:line="117" w:lineRule="exact"/>
        <w:rPr>
          <w:sz w:val="20"/>
          <w:szCs w:val="20"/>
          <w:color w:val="auto"/>
        </w:rPr>
      </w:pPr>
    </w:p>
    <w:p>
      <w:pPr>
        <w:ind w:left="82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increased by 0.6% to $768.9 million from $764.1 million in the third quarter of fiscal 2020; comparable store sales decreased by 4.3% compared to a 9.1% increase in the same period last year.</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opened 7 new stores, ending the third quarter of fiscal 2021 with 407 stores in six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decreased 57.7% to $17.1 million, or $0.17 per diluted share, compared to net income of $40.5 million, or $0.41 per diluted share, in the third quarter of fiscal 2020.</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decreased 6.2% to $51.4 million compared to $54.8 million in the third quarter of fiscal 2020.</w:t>
      </w:r>
    </w:p>
    <w:p>
      <w:pPr>
        <w:spacing w:after="0" w:line="59"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decreased 15.3% to $23.4 million, or $0.24 per adjusted diluted share</w:t>
      </w:r>
      <w:r>
        <w:rPr>
          <w:rFonts w:ascii="Arial" w:cs="Arial" w:eastAsia="Arial" w:hAnsi="Arial"/>
          <w:sz w:val="20"/>
          <w:szCs w:val="20"/>
          <w:color w:val="auto"/>
          <w:vertAlign w:val="superscript"/>
        </w:rPr>
        <w:t>(1)</w:t>
      </w:r>
      <w:r>
        <w:rPr>
          <w:rFonts w:ascii="Arial" w:cs="Arial" w:eastAsia="Arial" w:hAnsi="Arial"/>
          <w:sz w:val="16"/>
          <w:szCs w:val="16"/>
          <w:color w:val="auto"/>
        </w:rPr>
        <w:t>, compared to $27.7 million, or $0.28 per adjusted</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diluted share, in the third quarter of fiscal 2020.</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1"/>
          <w:szCs w:val="11"/>
          <w:color w:val="auto"/>
        </w:rPr>
        <w:t>_______________________</w:t>
      </w:r>
    </w:p>
    <w:p>
      <w:pPr>
        <w:spacing w:after="0" w:line="103" w:lineRule="exact"/>
        <w:rPr>
          <w:sz w:val="20"/>
          <w:szCs w:val="20"/>
          <w:color w:val="auto"/>
        </w:rPr>
      </w:pPr>
    </w:p>
    <w:p>
      <w:pPr>
        <w:jc w:val="both"/>
        <w:ind w:left="660" w:hanging="328"/>
        <w:spacing w:after="0" w:line="274"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EBITDA, adjusted net income and adjusted diluted earnings per share are non-GAAP financial measures and should be considered as a supplement to, and not as a substitute for, or superior to, financial measures calculated in accordance with GAAP. Beginning with the fourth quarter of fiscal 2020, we updated our definitions of adjusted EBITDA and adjusted net income to simplify our presentation and enhance comparability between periods. The presentations for adjusted EBITDA, adjusted net income and adjusted diluted earnings per share for fiscal 2020 have been recast to reflect these changes. See GAAP to non-GAAP reconciliations in the "Operating Metrics and Non-GAAP Financial Measures" section below for additional information.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affected by changes in macroeconomic conditions, such as those experienced due to the COVID-19 pandemic, and changes in discretionary income. As another example, we believe the re-opening of businesses led to a decrease in our customer count as customers are again traveling and eating out at restaurants.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we have benefited from periods of economic uncertainty.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changes in consumer demand like we experienced at the beginning of the COVID-19 pandemic, changes in supply chain costs and changes in discretionary income has resulted and could continue to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SG&amp;A expenses are comprised of both store-related expenses and corporate expenses. Store-related expenses include commissions paid to IOs, occupancy and shared maintenance costs, the cost of opening new IO stores, and Company-operated store expenses, including payroll, benefits, supplies and utilities. In addition, beginning in fiscal 2020, SG&amp;A included incremental costs associated with COVID-19, such as cleaning and safety costs, costs for PPE and supplies.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our competitors and other retailers. We expect that our SG&amp;A will continue to increase in future periods as we continue to grow our sales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gain on insurance recoveries, debt extinguishment and modification costs and income tax expense (benefit). We use operating income as an indicator of the productivity of our business and our ability to manage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net sales (amounts in thousands, except for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9"/>
          </w:tcPr>
          <w:p>
            <w:pPr>
              <w:ind w:left="900"/>
              <w:spacing w:after="0"/>
              <w:rPr>
                <w:sz w:val="20"/>
                <w:szCs w:val="20"/>
                <w:color w:val="auto"/>
              </w:rPr>
            </w:pPr>
            <w:r>
              <w:rPr>
                <w:rFonts w:ascii="Arial" w:cs="Arial" w:eastAsia="Arial" w:hAnsi="Arial"/>
                <w:sz w:val="14"/>
                <w:szCs w:val="14"/>
                <w:b w:val="1"/>
                <w:bCs w:val="1"/>
                <w:color w:val="auto"/>
              </w:rPr>
              <w:t>13 Weeks Ended</w:t>
            </w:r>
          </w:p>
        </w:tc>
        <w:tc>
          <w:tcPr>
            <w:tcW w:w="200" w:type="dxa"/>
            <w:vAlign w:val="bottom"/>
          </w:tcPr>
          <w:p>
            <w:pPr>
              <w:spacing w:after="0"/>
              <w:rPr>
                <w:sz w:val="16"/>
                <w:szCs w:val="16"/>
                <w:color w:val="auto"/>
              </w:rPr>
            </w:pPr>
          </w:p>
        </w:tc>
        <w:tc>
          <w:tcPr>
            <w:tcW w:w="2880" w:type="dxa"/>
            <w:vAlign w:val="bottom"/>
            <w:gridSpan w:val="6"/>
          </w:tcPr>
          <w:p>
            <w:pPr>
              <w:jc w:val="right"/>
              <w:ind w:right="952"/>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4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ind w:left="280"/>
              <w:spacing w:after="0" w:line="135" w:lineRule="exact"/>
              <w:rPr>
                <w:sz w:val="20"/>
                <w:szCs w:val="20"/>
                <w:color w:val="auto"/>
              </w:rPr>
            </w:pPr>
            <w:r>
              <w:rPr>
                <w:rFonts w:ascii="Arial" w:cs="Arial" w:eastAsia="Arial" w:hAnsi="Arial"/>
                <w:sz w:val="14"/>
                <w:szCs w:val="14"/>
                <w:b w:val="1"/>
                <w:bCs w:val="1"/>
                <w:color w:val="auto"/>
              </w:rPr>
              <w:t>October 2,</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right"/>
              <w:ind w:right="300"/>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ind w:left="220"/>
              <w:spacing w:after="0" w:line="135" w:lineRule="exact"/>
              <w:rPr>
                <w:sz w:val="20"/>
                <w:szCs w:val="20"/>
                <w:color w:val="auto"/>
              </w:rPr>
            </w:pPr>
            <w:r>
              <w:rPr>
                <w:rFonts w:ascii="Arial" w:cs="Arial" w:eastAsia="Arial" w:hAnsi="Arial"/>
                <w:sz w:val="14"/>
                <w:szCs w:val="14"/>
                <w:b w:val="1"/>
                <w:bCs w:val="1"/>
                <w:color w:val="auto"/>
              </w:rPr>
              <w:t>October 2,</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12"/>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46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768,880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764,082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2,296,881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2,327,819</w:t>
            </w:r>
          </w:p>
        </w:tc>
      </w:tr>
      <w:tr>
        <w:trPr>
          <w:trHeight w:val="230"/>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531,768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525,899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1,590,044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1,598,859</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237,112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238,183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706,837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728,960</w:t>
            </w: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574,813</w:t>
            </w:r>
          </w:p>
        </w:tc>
      </w:tr>
      <w:tr>
        <w:trPr>
          <w:trHeight w:val="229"/>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17,495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40,291</w:t>
            </w: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r>
      <w:tr>
        <w:trPr>
          <w:trHeight w:val="223"/>
        </w:trPr>
        <w:tc>
          <w:tcPr>
            <w:tcW w:w="49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210,969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207,868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633,173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649,413</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79,547</w:t>
            </w:r>
          </w:p>
        </w:tc>
      </w:tr>
      <w:tr>
        <w:trPr>
          <w:trHeight w:val="20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Other expenses (income):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r>
      <w:tr>
        <w:trPr>
          <w:trHeight w:val="229"/>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Gain on insurance recoveries</w:t>
            </w:r>
          </w:p>
        </w:tc>
        <w:tc>
          <w:tcPr>
            <w:tcW w:w="140" w:type="dxa"/>
            <w:vAlign w:val="bottom"/>
          </w:tcPr>
          <w:p>
            <w:pPr>
              <w:spacing w:after="0"/>
              <w:rPr>
                <w:sz w:val="19"/>
                <w:szCs w:val="19"/>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Debt extinguishment and modification costs</w:t>
            </w:r>
          </w:p>
        </w:tc>
        <w:tc>
          <w:tcPr>
            <w:tcW w:w="14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49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other expenses (income)</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4,833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7,808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16,135</w:t>
            </w: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63,412</w:t>
            </w:r>
          </w:p>
        </w:tc>
      </w:tr>
      <w:tr>
        <w:trPr>
          <w:trHeight w:val="230"/>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5,054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(14,992)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10,185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(19,037)</w:t>
            </w: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40,474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97"/>
        </w:trPr>
        <w:tc>
          <w:tcPr>
            <w:tcW w:w="4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032"/>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4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October 2,</w:t>
            </w:r>
          </w:p>
        </w:tc>
        <w:tc>
          <w:tcPr>
            <w:tcW w:w="1340" w:type="dxa"/>
            <w:vAlign w:val="bottom"/>
            <w:gridSpan w:val="2"/>
          </w:tcPr>
          <w:p>
            <w:pPr>
              <w:jc w:val="right"/>
              <w:ind w:right="272"/>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80" w:type="dxa"/>
            <w:vAlign w:val="bottom"/>
          </w:tcPr>
          <w:p>
            <w:pPr>
              <w:spacing w:after="0"/>
              <w:rPr>
                <w:sz w:val="11"/>
                <w:szCs w:val="11"/>
                <w:color w:val="auto"/>
              </w:rPr>
            </w:pPr>
          </w:p>
        </w:tc>
        <w:tc>
          <w:tcPr>
            <w:tcW w:w="1300" w:type="dxa"/>
            <w:vAlign w:val="bottom"/>
          </w:tcPr>
          <w:p>
            <w:pPr>
              <w:jc w:val="right"/>
              <w:ind w:right="272"/>
              <w:spacing w:after="0" w:line="135" w:lineRule="exact"/>
              <w:rPr>
                <w:sz w:val="20"/>
                <w:szCs w:val="20"/>
                <w:color w:val="auto"/>
              </w:rPr>
            </w:pPr>
            <w:r>
              <w:rPr>
                <w:rFonts w:ascii="Arial" w:cs="Arial" w:eastAsia="Arial" w:hAnsi="Arial"/>
                <w:sz w:val="14"/>
                <w:szCs w:val="14"/>
                <w:b w:val="1"/>
                <w:bCs w:val="1"/>
                <w:color w:val="auto"/>
                <w:w w:val="96"/>
              </w:rPr>
              <w:t>September 26,</w:t>
            </w:r>
          </w:p>
        </w:tc>
      </w:tr>
      <w:tr>
        <w:trPr>
          <w:trHeight w:val="188"/>
        </w:trPr>
        <w:tc>
          <w:tcPr>
            <w:tcW w:w="4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11"/>
        </w:trPr>
        <w:tc>
          <w:tcPr>
            <w:tcW w:w="468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Percentage of net sales </w:t>
            </w:r>
            <w:r>
              <w:rPr>
                <w:rFonts w:ascii="Arial" w:cs="Arial" w:eastAsia="Arial" w:hAnsi="Arial"/>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29"/>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46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4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insurance recoveries</w:t>
            </w:r>
          </w:p>
        </w:tc>
        <w:tc>
          <w:tcPr>
            <w:tcW w:w="14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980" w:type="dxa"/>
            <w:vAlign w:val="bottom"/>
            <w:gridSpan w:val="2"/>
          </w:tcPr>
          <w:p>
            <w:pPr>
              <w:ind w:left="240"/>
              <w:spacing w:after="0"/>
              <w:rPr>
                <w:sz w:val="20"/>
                <w:szCs w:val="20"/>
                <w:color w:val="auto"/>
              </w:rPr>
            </w:pPr>
            <w:r>
              <w:rPr>
                <w:rFonts w:ascii="Arial" w:cs="Arial" w:eastAsia="Arial" w:hAnsi="Arial"/>
                <w:sz w:val="18"/>
                <w:szCs w:val="18"/>
                <w:color w:val="auto"/>
              </w:rPr>
              <w:t>Debt extinguishment and modification costs</w:t>
            </w:r>
          </w:p>
        </w:tc>
        <w:tc>
          <w:tcPr>
            <w:tcW w:w="140" w:type="dxa"/>
            <w:vAlign w:val="bottom"/>
          </w:tcPr>
          <w:p>
            <w:pPr>
              <w:spacing w:after="0"/>
              <w:rPr>
                <w:sz w:val="19"/>
                <w:szCs w:val="19"/>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expenses (income)</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new store growth to be the primary driver of our sales growth over the long term. We lease substantially all of our store locations. Our initial lease terms on stores are typically ten years with options to renew for two or three successive five-year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1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we exclude the net sales in the non-comparable week of a 53-week year from the same store sales calculation.</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Adjusted Net Income and Adjusted Earnings Per Share</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EBITDA, adjusted EBITDA, adjusted net income and adjusted earnings per share are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8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accounts receivable reserves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impact of option exercises and vesting of RSUs,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spacing w:after="0" w:line="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Beginning with the fourth quarter of fiscal 2020, we updated our definitions of adjusted EBITDA and adjusted net income to simplify our presentation and enhance comparability between periods. We no longer exclude new store pre-opening expenses from our presentation of adjusted EBITDA and adjusted net income. We also updated our definition of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net income to exclude the tax impact of options exercises and vesting of RSUs. Lastly, debt extinguishment and modification costs were reclassified to the other adjustments line item within the presentation of both adjusted EBITDA and adjusted net income. The presentations for adjusted EBITDA and adjusted net income for the 13 and 39 weeks ended September 26, 2020 have been recast to reflect these changes and reconciliations between the revised and previous definitions of adjusted EBITDA and adjusted net income for each quarter of fiscal years 2020 and 2019 were provided in our Form 8-K filed with the SEC on March 2, 2021.</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components of our results of operations for the periods presented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ind w:left="820"/>
              <w:spacing w:after="0"/>
              <w:rPr>
                <w:sz w:val="20"/>
                <w:szCs w:val="20"/>
                <w:color w:val="auto"/>
              </w:rPr>
            </w:pPr>
            <w:r>
              <w:rPr>
                <w:rFonts w:ascii="Arial" w:cs="Arial" w:eastAsia="Arial" w:hAnsi="Arial"/>
                <w:sz w:val="14"/>
                <w:szCs w:val="14"/>
                <w:b w:val="1"/>
                <w:bCs w:val="1"/>
                <w:color w:val="auto"/>
              </w:rPr>
              <w:t>13 Weeks Ended</w:t>
            </w:r>
          </w:p>
        </w:tc>
        <w:tc>
          <w:tcPr>
            <w:tcW w:w="280" w:type="dxa"/>
            <w:vAlign w:val="bottom"/>
          </w:tcPr>
          <w:p>
            <w:pPr>
              <w:spacing w:after="0"/>
              <w:rPr>
                <w:sz w:val="16"/>
                <w:szCs w:val="16"/>
                <w:color w:val="auto"/>
              </w:rPr>
            </w:pPr>
          </w:p>
        </w:tc>
        <w:tc>
          <w:tcPr>
            <w:tcW w:w="296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39 Weeks Ended</w:t>
            </w:r>
          </w:p>
        </w:tc>
      </w:tr>
      <w:tr>
        <w:trPr>
          <w:trHeight w:val="134"/>
        </w:trPr>
        <w:tc>
          <w:tcPr>
            <w:tcW w:w="46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October 2,</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75"/>
              <w:spacing w:after="0" w:line="135" w:lineRule="exact"/>
              <w:rPr>
                <w:sz w:val="20"/>
                <w:szCs w:val="20"/>
                <w:color w:val="auto"/>
              </w:rPr>
            </w:pPr>
            <w:r>
              <w:rPr>
                <w:rFonts w:ascii="Arial" w:cs="Arial" w:eastAsia="Arial" w:hAnsi="Arial"/>
                <w:sz w:val="14"/>
                <w:szCs w:val="14"/>
                <w:b w:val="1"/>
                <w:bCs w:val="1"/>
                <w:color w:val="auto"/>
              </w:rPr>
              <w:t>September 26,</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October 2,</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September 26,</w:t>
            </w:r>
          </w:p>
        </w:tc>
      </w:tr>
      <w:tr>
        <w:trPr>
          <w:trHeight w:val="188"/>
        </w:trPr>
        <w:tc>
          <w:tcPr>
            <w:tcW w:w="4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280" w:type="dxa"/>
            <w:vAlign w:val="bottom"/>
          </w:tcPr>
          <w:p>
            <w:pPr>
              <w:spacing w:after="0"/>
              <w:rPr>
                <w:sz w:val="19"/>
                <w:szCs w:val="19"/>
                <w:color w:val="auto"/>
              </w:rPr>
            </w:pP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27</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372</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6"/>
                <w:szCs w:val="26"/>
                <w:color w:val="auto"/>
                <w:vertAlign w:val="superscript"/>
              </w:rPr>
              <w:t>(1)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44,377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45,111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129,679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121,602</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51,389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54,775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151,062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171,703</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6"/>
                <w:szCs w:val="26"/>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69,899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88,417</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Comparable store sales consist of net sales from our stores beginning on the first day of the fourteenth full fiscal month following the store's opening, which is when we believe comparability is achieved.</w:t>
      </w:r>
    </w:p>
    <w:p>
      <w:pPr>
        <w:spacing w:after="0" w:line="10"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"GAAP to Non-GAAP Reconciliations" section below for a reconciliation from our net income to EBITDA and adjusted EBITDA, net income to adjusted net income, and GAAP earnings per share to adjusted earnings per share for the periods presented. Beginning with the fourth quarter of fiscal 2020, we updated our definitions of adjusted EBITDA and adjusted net income to simplify our presentation and enhance comparability between periods.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16"/>
                <w:szCs w:val="16"/>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October 2,</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12"/>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12"/>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82,449</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15,937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(19,037)</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42,253</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13 Weeks Ended</w:t>
            </w:r>
          </w:p>
        </w:tc>
        <w:tc>
          <w:tcPr>
            <w:tcW w:w="260" w:type="dxa"/>
            <w:vAlign w:val="bottom"/>
          </w:tcPr>
          <w:p>
            <w:pPr>
              <w:spacing w:after="0"/>
              <w:rPr>
                <w:sz w:val="24"/>
                <w:szCs w:val="24"/>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39 Weeks Ended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October 2,</w:t>
            </w: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12"/>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12"/>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4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82,449</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Provision for accounts receivable reserves </w:t>
            </w:r>
            <w:r>
              <w:rPr>
                <w:rFonts w:ascii="Arial" w:cs="Arial" w:eastAsia="Arial" w:hAnsi="Arial"/>
                <w:sz w:val="26"/>
                <w:szCs w:val="26"/>
                <w:color w:val="auto"/>
                <w:vertAlign w:val="superscript"/>
              </w:rPr>
              <w:t>(5)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Amortization of purchase accounting assets and deferred financing</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costs </w:t>
            </w:r>
            <w:r>
              <w:rPr>
                <w:rFonts w:ascii="Arial" w:cs="Arial" w:eastAsia="Arial" w:hAnsi="Arial"/>
                <w:sz w:val="26"/>
                <w:szCs w:val="26"/>
                <w:color w:val="auto"/>
                <w:vertAlign w:val="superscript"/>
              </w:rPr>
              <w:t>(7)</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tcPr>
          <w:p>
            <w:pPr>
              <w:ind w:left="20"/>
              <w:spacing w:after="0" w:line="176" w:lineRule="exact"/>
              <w:rPr>
                <w:sz w:val="20"/>
                <w:szCs w:val="20"/>
                <w:color w:val="auto"/>
              </w:rPr>
            </w:pPr>
            <w:r>
              <w:rPr>
                <w:rFonts w:ascii="Arial" w:cs="Arial" w:eastAsia="Arial" w:hAnsi="Arial"/>
                <w:sz w:val="18"/>
                <w:szCs w:val="18"/>
                <w:color w:val="auto"/>
                <w:w w:val="92"/>
              </w:rPr>
              <w:t>Tax impact of stock option exercises and vesting of restricted stock</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(21,880)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(36,458)</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units </w:t>
            </w:r>
            <w:r>
              <w:rPr>
                <w:rFonts w:ascii="Arial" w:cs="Arial" w:eastAsia="Arial" w:hAnsi="Arial"/>
                <w:sz w:val="26"/>
                <w:szCs w:val="26"/>
                <w:color w:val="auto"/>
                <w:vertAlign w:val="superscript"/>
              </w:rPr>
              <w:t>(8)</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(9)</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0" w:type="dxa"/>
            <w:vAlign w:val="bottom"/>
          </w:tcPr>
          <w:p>
            <w:pPr>
              <w:spacing w:after="0"/>
              <w:rPr>
                <w:sz w:val="1"/>
                <w:szCs w:val="1"/>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88,417</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GAAP earnings per share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90,929</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99,266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98,033</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49" w:lineRule="exact"/>
        <w:rPr>
          <w:sz w:val="20"/>
          <w:szCs w:val="20"/>
          <w:color w:val="auto"/>
        </w:rPr>
      </w:pPr>
    </w:p>
    <w:p>
      <w:pPr>
        <w:ind w:left="500" w:hanging="492"/>
        <w:spacing w:after="0" w:line="300"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ind w:left="500" w:hanging="492"/>
        <w:spacing w:after="0" w:line="275" w:lineRule="auto"/>
        <w:tabs>
          <w:tab w:leader="none" w:pos="50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Includes non-cash share-based compensation expense and cash dividends paid on vested share-based awards as a result of dividends declared in connection with recapitalizations that occurred in fiscal 2018 and 2016. See "Share-based Compensation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Expense" in the "Comparison of the 13 and 39 weeks ended October 2, 2021 and September 26, 2020" section below for additional information.</w:t>
      </w:r>
    </w:p>
    <w:p>
      <w:pPr>
        <w:spacing w:after="0" w:line="59" w:lineRule="exact"/>
        <w:rPr>
          <w:sz w:val="20"/>
          <w:szCs w:val="20"/>
          <w:color w:val="auto"/>
        </w:rPr>
      </w:pPr>
    </w:p>
    <w:p>
      <w:pPr>
        <w:ind w:left="500" w:hanging="492"/>
        <w:spacing w:after="0" w:line="300"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store growth in recent years.</w:t>
      </w: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impairment charges with respect to planned store closures and gains or losses on dispositions of assets in connection with store transitions to new IOs.</w:t>
      </w:r>
    </w:p>
    <w:p>
      <w:pPr>
        <w:spacing w:after="0" w:line="82" w:lineRule="exact"/>
        <w:rPr>
          <w:rFonts w:ascii="Arial" w:cs="Arial" w:eastAsia="Arial" w:hAnsi="Arial"/>
          <w:sz w:val="14"/>
          <w:szCs w:val="14"/>
          <w:color w:val="auto"/>
        </w:rPr>
      </w:pP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 See Note 2 to the condensed consolidated financial statements for additional information.</w:t>
      </w:r>
    </w:p>
    <w:p>
      <w:pPr>
        <w:spacing w:after="0" w:line="10"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other non-recurring, non-cash or non-operational items, such as gain on insurance recoveries, technology upgrade implementation costs, costs related to employer payroll taxes associated with equity awards, personnel-related costs, store closing costs, legal expenses, secondary equity offering transaction costs, debt extinguishment and modification costs, strategic project costs and miscellaneous costs.</w:t>
      </w:r>
    </w:p>
    <w:p>
      <w:pPr>
        <w:spacing w:after="0" w:line="20"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excess tax benefits related to stock option exercises and vesting of RSUs that are recorded in earnings as discrete items in the reporting period in which they occur.</w:t>
      </w:r>
    </w:p>
    <w:p>
      <w:pPr>
        <w:spacing w:after="0" w:line="10"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We calculate the tax effect of the total adjustments on a discrete basis excluding any non-recurring and unusual tax items.</w:t>
      </w:r>
    </w:p>
    <w:p>
      <w:pPr>
        <w:spacing w:after="0" w:line="164" w:lineRule="exact"/>
        <w:rPr>
          <w:sz w:val="20"/>
          <w:szCs w:val="20"/>
          <w:color w:val="auto"/>
        </w:rPr>
      </w:pPr>
    </w:p>
    <w:p>
      <w:pPr>
        <w:ind w:right="1500"/>
        <w:spacing w:after="0" w:line="396" w:lineRule="auto"/>
        <w:rPr>
          <w:sz w:val="20"/>
          <w:szCs w:val="20"/>
          <w:color w:val="auto"/>
        </w:rPr>
      </w:pPr>
      <w:r>
        <w:rPr>
          <w:rFonts w:ascii="Arial" w:cs="Arial" w:eastAsia="Arial" w:hAnsi="Arial"/>
          <w:sz w:val="18"/>
          <w:szCs w:val="18"/>
          <w:b w:val="1"/>
          <w:bCs w:val="1"/>
          <w:color w:val="auto"/>
        </w:rPr>
        <w:t xml:space="preserve">Comparison of the 13 and 39 weeks ended October 2, 2021 and September 26, 2020 (amounts in thousands, except percentages)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October 2,</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768,880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764,082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w w:val="95"/>
              </w:rPr>
              <w:t>2,296,881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5"/>
              </w:rPr>
              <w:t>2,327,819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increase in net sales for the 13 weeks ended October 2, 2021 compared to the same period in fiscal 2020 was primarily attributable to non-comparable store sales growth attributable to the net 35 new stores opened over the last 12 months, partially offset by a decrease in comparable store sales.</w:t>
      </w:r>
    </w:p>
    <w:p>
      <w:pPr>
        <w:spacing w:after="0" w:line="12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decrease in net sales for the 39 weeks ended October 2, 2021 compared to the same period in fiscal 2020 was primarily attributable to a decrease in comparable store sales, partially offset by the above mentioned net 35 new stores opened over the last 12 months.</w:t>
      </w:r>
    </w:p>
    <w:p>
      <w:pPr>
        <w:spacing w:after="0" w:line="3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Comparable store sales decreased 4.3% for the 13 weeks ended October 2, 2021 and 7.6% for the 39 weeks ended October 2, 2021 compared to the same periods in fiscal 2020. As we continue to cycle periods of 2020 that included elevated COVID-related demand starting in March 2020, the decrease in comparable store sales for the 13 weeks ended October 2, 2021 was due to a decrease in customer traffic, while the decrease in comparable store sales for the 39 weeks ended October 2, 2021 was primarily attributable to a decrease in customer traffic, partially offset by an increase in average transaction size.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4"/>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531,768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525,899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5,869</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1,590,044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1,598,859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(8,815)</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increase in cost of sales for the 13 weeks ended October 2, 2021 compared to the same period in fiscal 2020 was primarily the result of new store growth and higher costs as a percentage of net sales, partially offset by a decrease in comparable store sales (as discussed above).</w:t>
      </w:r>
    </w:p>
    <w:p>
      <w:pPr>
        <w:spacing w:after="0" w:line="14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decrease in cost of sales for the 39 weeks ended October 2, 2021 compared to the same period in fiscal 2020 was primarily the result of the comparable store sales decrease discussed above, partially offset by new store growth and higher costs as a percentage of net sales.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Costs as a percentage of net sales increased for the 13 and 39 weeks ended October 2, 2021 compared to the same periods in fiscal 2020 as a result of increased distribution costs and fuel and freight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237,112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238,183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706,837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7"/>
                <w:szCs w:val="17"/>
                <w:color w:val="auto"/>
              </w:rPr>
              <w:t>728,960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(22,123)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decrease in gross profit for the 13 and 39 weeks ended October 2, 2021 compared to the same periods in fiscal 2020 was primarily the result of a decrease in comparable store sales and higher costs as a percentage of net sales (as discussed above), partially offset by new store growth. Our gross margin decreased for the 13 and 39 weeks ended October 2, 2021 compared to the same period in fiscal 2020 primarily due to the higher cost of sales as a percentage of net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SG&amp;A</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191,572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189,880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1,692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573,125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574,813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increase in SG&amp;A for the 13 weeks ended October 2, 2021 compared to the same period in fiscal 2020 was primarily driven by higher store occupancy and maintenance costs due to a higher store count, increases in commission payments to IOs and increased marketing expenses as a result of the Company's growth, partially offset by lower personnel costs driven by decreased incentive bonuses and lower expenses related to our profit sharing program under our 401(k) plan.</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SG&amp;A for the 39 weeks ended October 2, 2021 compared to the same period in fiscal 2020 was primarily driven by lower personnel costs as a result of decreased incentive bonuses and profit sharing expenses and decreased commission payments to IOs, partially offset by higher store occupancy and maintenance costs due to a higher store count and increased marketing expenses.</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percentage of net sales, SG&amp;A increased slightly for the 39 weeks ended October 2, 2021 compared to the same periods in fiscal 2020 due to lower expense leverage as a result of reduced net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Depreciation and</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17,495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14,131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3,364</w:t>
            </w:r>
          </w:p>
        </w:tc>
        <w:tc>
          <w:tcPr>
            <w:tcW w:w="10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23.8 %  $</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49,997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40,291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9,706</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24.1 %</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2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the 13 and 39 weeks ended October 2, 2021 compared to the same periods in fiscal 2020 was primarily driven by new store growth and other capital investments.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1"/>
                <w:szCs w:val="11"/>
                <w:color w:val="auto"/>
              </w:rPr>
            </w:pPr>
          </w:p>
        </w:tc>
        <w:tc>
          <w:tcPr>
            <w:tcW w:w="7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vMerge w:val="restart"/>
          </w:tcPr>
          <w:p>
            <w:pPr>
              <w:spacing w:after="0"/>
              <w:rPr>
                <w:sz w:val="11"/>
                <w:szCs w:val="11"/>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Share-based</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1,902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3,857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100" w:type="dxa"/>
            <w:vAlign w:val="bottom"/>
            <w:shd w:val="clear" w:color="auto" w:fill="CCEEFF"/>
          </w:tcPr>
          <w:p>
            <w:pPr>
              <w:spacing w:after="0"/>
              <w:rPr>
                <w:sz w:val="12"/>
                <w:szCs w:val="12"/>
                <w:color w:val="auto"/>
              </w:rPr>
            </w:pPr>
          </w:p>
        </w:tc>
        <w:tc>
          <w:tcPr>
            <w:tcW w:w="13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(50.7)%  $</w:t>
            </w:r>
          </w:p>
        </w:tc>
        <w:tc>
          <w:tcPr>
            <w:tcW w:w="1080" w:type="dxa"/>
            <w:vAlign w:val="bottom"/>
            <w:vMerge w:val="restart"/>
            <w:shd w:val="clear" w:color="auto" w:fill="CCEEFF"/>
          </w:tcPr>
          <w:p>
            <w:pPr>
              <w:jc w:val="right"/>
              <w:ind w:right="121"/>
              <w:spacing w:after="0"/>
              <w:rPr>
                <w:sz w:val="20"/>
                <w:szCs w:val="20"/>
                <w:color w:val="auto"/>
              </w:rPr>
            </w:pPr>
            <w:r>
              <w:rPr>
                <w:rFonts w:ascii="Arial" w:cs="Arial" w:eastAsia="Arial" w:hAnsi="Arial"/>
                <w:sz w:val="17"/>
                <w:szCs w:val="17"/>
                <w:color w:val="auto"/>
              </w:rPr>
              <w:t>10,051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34,309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(24,258)</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decrease in share-based compensation expenses for the 13 weeks ended October 2, 2021 compared to the same period in fiscal 2020 was primarily driven by adjustments to reflect current performance expectations related to previously granted PSUs, partially offset by expenses related to RSUs and PSUs granted during fiscal 2021.</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decrease in share-based compensation expenses for the 39 weeks ended October 2, 2021 compared to the same period in fiscal 2020 was primarily due to $26.1 million in share-based compensation expense we incurred related to 5.8 million performance-based stock options that vested in connection with performance events achieved with the closing of our February and April 2020 secondary offerings. This decrease was partially offset by an increase in expense related to RSUs and PSUs granted during fiscal 2021 and 2020. See Note 4 to the condensed consolidated financial statements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Interest expense, net</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3,950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4,833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11,778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15,937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16"/>
        </w:trPr>
        <w:tc>
          <w:tcPr>
            <w:tcW w:w="1680" w:type="dxa"/>
            <w:vAlign w:val="bottom"/>
            <w:gridSpan w:val="2"/>
          </w:tcPr>
          <w:p>
            <w:pPr>
              <w:ind w:left="20"/>
              <w:spacing w:after="0"/>
              <w:rPr>
                <w:sz w:val="20"/>
                <w:szCs w:val="20"/>
                <w:color w:val="auto"/>
              </w:rPr>
            </w:pPr>
            <w:r>
              <w:rPr>
                <w:rFonts w:ascii="Arial" w:cs="Arial" w:eastAsia="Arial" w:hAnsi="Arial"/>
                <w:sz w:val="17"/>
                <w:szCs w:val="17"/>
                <w:color w:val="auto"/>
              </w:rPr>
              <w:t>% of net sales</w:t>
            </w:r>
          </w:p>
        </w:tc>
        <w:tc>
          <w:tcPr>
            <w:tcW w:w="106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decrease in net interest expense for the 13 and 39 weeks ended October 2, 2021 compared to the same periods in fiscal 2020 was primarily driven by lower interest rates experienced under our First Lien Credit Agreement as a result of decreases in the London Inter-bank Offered Rate. Furthermore, the 39 weeks ended September 26, 2020 included interest expense from the $90.0 million borrowed under the revolving credit facility of our First Lien Credit Agreement between March and May of 2020. See Note 3 to the condensed consolidated financial statements for additional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Insurance Recoveries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13 Weeks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39 Weeks Ended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October 2,</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1"/>
                <w:szCs w:val="11"/>
                <w:color w:val="auto"/>
              </w:rPr>
            </w:pPr>
          </w:p>
        </w:tc>
        <w:tc>
          <w:tcPr>
            <w:tcW w:w="8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vMerge w:val="restart"/>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0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rPr>
              <w:t>Gain on insurance</w:t>
            </w: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gridSpan w:val="2"/>
            <w:vMerge w:val="restart"/>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340" w:type="dxa"/>
            <w:vAlign w:val="bottom"/>
            <w:gridSpan w:val="3"/>
            <w:vMerge w:val="restart"/>
            <w:shd w:val="clear" w:color="auto" w:fill="CCEEFF"/>
          </w:tcPr>
          <w:p>
            <w:pPr>
              <w:ind w:left="660"/>
              <w:spacing w:after="0"/>
              <w:rPr>
                <w:sz w:val="20"/>
                <w:szCs w:val="20"/>
                <w:color w:val="auto"/>
              </w:rPr>
            </w:pPr>
            <w:r>
              <w:rPr>
                <w:rFonts w:ascii="Arial" w:cs="Arial" w:eastAsia="Arial" w:hAnsi="Arial"/>
                <w:sz w:val="17"/>
                <w:szCs w:val="17"/>
                <w:color w:val="auto"/>
              </w:rPr>
              <w:t>— %  $</w:t>
            </w:r>
          </w:p>
        </w:tc>
        <w:tc>
          <w:tcPr>
            <w:tcW w:w="1100" w:type="dxa"/>
            <w:vAlign w:val="bottom"/>
            <w:vMerge w:val="restart"/>
            <w:shd w:val="clear" w:color="auto" w:fill="CCEEFF"/>
          </w:tcPr>
          <w:p>
            <w:pPr>
              <w:jc w:val="right"/>
              <w:ind w:right="101"/>
              <w:spacing w:after="0"/>
              <w:rPr>
                <w:sz w:val="20"/>
                <w:szCs w:val="20"/>
                <w:color w:val="auto"/>
              </w:rPr>
            </w:pPr>
            <w:r>
              <w:rPr>
                <w:rFonts w:ascii="Arial" w:cs="Arial" w:eastAsia="Arial" w:hAnsi="Arial"/>
                <w:sz w:val="17"/>
                <w:szCs w:val="17"/>
                <w:color w:val="auto"/>
              </w:rPr>
              <w:t>(3,970)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(3,970)</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ind w:left="5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16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39 weeks ended October 2, 2021 we recorded a $4.0 million gain on insurance recoveries related to the loss of our Paradise, California store in 2018 due to a wildfire.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13 Weeks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2"/>
              </w:rPr>
              <w:t>39 Weeks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October 2,</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6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54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6"/>
                <w:szCs w:val="16"/>
                <w:color w:val="auto"/>
              </w:rPr>
              <w:t>Debt extinguishment</w:t>
            </w:r>
          </w:p>
        </w:tc>
        <w:tc>
          <w:tcPr>
            <w:tcW w:w="2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and modification</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vMerge w:val="restart"/>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320" w:type="dxa"/>
            <w:vAlign w:val="bottom"/>
            <w:gridSpan w:val="3"/>
            <w:vMerge w:val="restart"/>
            <w:shd w:val="clear" w:color="auto" w:fill="CCEEFF"/>
          </w:tcPr>
          <w:p>
            <w:pPr>
              <w:ind w:left="640"/>
              <w:spacing w:after="0"/>
              <w:rPr>
                <w:sz w:val="20"/>
                <w:szCs w:val="20"/>
                <w:color w:val="auto"/>
              </w:rPr>
            </w:pPr>
            <w:r>
              <w:rPr>
                <w:rFonts w:ascii="Arial" w:cs="Arial" w:eastAsia="Arial" w:hAnsi="Arial"/>
                <w:sz w:val="17"/>
                <w:szCs w:val="17"/>
                <w:color w:val="auto"/>
              </w:rPr>
              <w:t>— %  $</w:t>
            </w:r>
          </w:p>
        </w:tc>
        <w:tc>
          <w:tcPr>
            <w:tcW w:w="1160" w:type="dxa"/>
            <w:vAlign w:val="bottom"/>
            <w:gridSpan w:val="2"/>
            <w:vMerge w:val="restart"/>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ind w:right="123"/>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2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1220" w:type="dxa"/>
            <w:vAlign w:val="bottom"/>
            <w:gridSpan w:val="2"/>
          </w:tcPr>
          <w:p>
            <w:pPr>
              <w:ind w:left="76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68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1240" w:type="dxa"/>
            <w:vAlign w:val="bottom"/>
            <w:gridSpan w:val="2"/>
          </w:tcPr>
          <w:p>
            <w:pPr>
              <w:ind w:left="78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39 weeks ended September 26, 2020 we wrote off approximately $0.1 million of debt issuance costs and incurred $0.1 million of debt modification costs related to the repricing and amendment of our First Lien Credit Agreement. See Note 3 to the condensed consolidated financial statements for additional information.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vMerge w:val="restart"/>
          </w:tcPr>
          <w:p>
            <w:pPr>
              <w:spacing w:after="0"/>
              <w:rPr>
                <w:sz w:val="11"/>
                <w:szCs w:val="11"/>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vMerge w:val="restart"/>
          </w:tcPr>
          <w:p>
            <w:pPr>
              <w:spacing w:after="0"/>
              <w:rPr>
                <w:sz w:val="11"/>
                <w:szCs w:val="11"/>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460" w:type="dxa"/>
            <w:vAlign w:val="bottom"/>
            <w:shd w:val="clear" w:color="auto" w:fill="CCEEFF"/>
          </w:tcPr>
          <w:p>
            <w:pPr>
              <w:ind w:left="20"/>
              <w:spacing w:after="0" w:line="144" w:lineRule="exact"/>
              <w:rPr>
                <w:sz w:val="20"/>
                <w:szCs w:val="20"/>
                <w:color w:val="auto"/>
              </w:rPr>
            </w:pPr>
            <w:r>
              <w:rPr>
                <w:rFonts w:ascii="Arial" w:cs="Arial" w:eastAsia="Arial" w:hAnsi="Arial"/>
                <w:sz w:val="16"/>
                <w:szCs w:val="16"/>
                <w:color w:val="auto"/>
                <w:w w:val="99"/>
              </w:rPr>
              <w:t>Income tax expense</w:t>
            </w: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5,054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ind w:right="81"/>
              <w:spacing w:after="0"/>
              <w:rPr>
                <w:sz w:val="20"/>
                <w:szCs w:val="20"/>
                <w:color w:val="auto"/>
              </w:rPr>
            </w:pPr>
            <w:r>
              <w:rPr>
                <w:rFonts w:ascii="Arial" w:cs="Arial" w:eastAsia="Arial" w:hAnsi="Arial"/>
                <w:sz w:val="17"/>
                <w:szCs w:val="17"/>
                <w:color w:val="auto"/>
              </w:rPr>
              <w:t>(14,992)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20,046</w:t>
            </w:r>
          </w:p>
        </w:tc>
        <w:tc>
          <w:tcPr>
            <w:tcW w:w="8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133.7 %  $</w:t>
            </w:r>
          </w:p>
        </w:tc>
        <w:tc>
          <w:tcPr>
            <w:tcW w:w="1080" w:type="dxa"/>
            <w:vAlign w:val="bottom"/>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10,185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ind w:right="81"/>
              <w:spacing w:after="0"/>
              <w:rPr>
                <w:sz w:val="20"/>
                <w:szCs w:val="20"/>
                <w:color w:val="auto"/>
              </w:rPr>
            </w:pPr>
            <w:r>
              <w:rPr>
                <w:rFonts w:ascii="Arial" w:cs="Arial" w:eastAsia="Arial" w:hAnsi="Arial"/>
                <w:sz w:val="17"/>
                <w:szCs w:val="17"/>
                <w:color w:val="auto"/>
              </w:rPr>
              <w:t>(19,037)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29,222</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153.5 %</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w:t>
            </w:r>
          </w:p>
        </w:tc>
        <w:tc>
          <w:tcPr>
            <w:tcW w:w="2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13 weeks ended October 2, 2021, we recorded an income tax expense of $5.1 million compared to an income tax benefit of $15.0 million for the 13 weeks ended September 26, 2020. This change was primarily driven by a reduction in excess tax benefits related to the exercise of stock options and vesting of RSUs as compared to the same period in fiscal 2020. Such excess tax benefits totaled $0.9 million for the 13 weeks ended October 2, 2021 compared to $21.9 million for the 13 weeks ended September 26, 2020.</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39 weeks ended October 2, 2021, we recorded an income tax expense of $10.2 million compared to an income tax benefit of $19.0 million for the 39 weeks ended September 26, 2020. This increase was primarily driven by a reduction in excess tax benefits related to the exercise of stock options and vesting of RSUs as compared to the same period in fiscal 2020. Such excess tax benefits totaled $7.5 million for the 39 weeks ended October 2, 2021 compared to $36.5 million for the 39 weeks ended September 26,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13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17,139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40,474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(23,335)</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rPr>
              <w:t>55,671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7"/>
                <w:szCs w:val="17"/>
                <w:color w:val="auto"/>
              </w:rPr>
              <w:t>82,449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(26,778)</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Arial" w:cs="Arial" w:eastAsia="Arial" w:hAnsi="Arial"/>
                <w:sz w:val="17"/>
                <w:szCs w:val="17"/>
                <w:color w:val="auto"/>
              </w:rPr>
              <w:t>% of net sales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result of the foregoing factors, net income decreased for the 13 and 39 weeks ended October 2, 2021 compared to the same periods in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October 2,</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October 2,</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4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54,775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151,062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171,703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(20,641)</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decrease in adjusted EBITDA for the 13 and 39 weeks ended October 2, 2021 compared to the same periods in fiscal 2020 was primarily due to a decrease in gross profit, which was primarily driven by a decrease in comparable store sales of 4.3% for the 13 weeks ended October 2, 2021 and 7.6% for the 39 weeks ended October 2, 2021, as well as increases in costs as a percentage of net sales, each as discussed above.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13 Weeks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39 Weeks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October 2,</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3"/>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October 2,</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Adjusted 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27,671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(4,231)</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88,417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(18,518)</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The decrease in adjusted net income for the 13 and 39 weeks ended October 2, 2021 compared to the same periods in fiscal 2020 was primarily due to a decrease in gross profit, which was primarily driven by a decrease in comparable store sales of 4.3% for the 13 weeks ended October 2, 2021 and 7.6% for the 39 weeks ended October 2, 2021, as well as increases in costs as a percentage of net sales, each as discussed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October 2, 2021, we had cash and cash equivalents of $156.0 million, which consisted primarily of cash held in checking and money market accounts with financial institutions.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liquidity requirements arise primarily from our working capital needs, capital expenditures and debt service requirements. We have funded our working capital and capital expenditures requirements with internally generated cash on hand and through proceeds from the initial public offering of our common stock in June 2019. Our current primary sources of liquidity are net cash provided by operating activities and borrowings under our First Lien Credit Agreement (as defined below). In addition, we have a revolving credit facility with $100.0 million in borrowing capacity under our First Lien Credit Agreement. As of October 2, 2021, we had $3.5 million of outstanding standby letters of credit and $96.5 million of remaining borrowing capacity available under this revolving credit facility. We have not borrowed under this revolving credit facility during fiscal 2021.</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of our selling stockholders completed a secondary public offering of shares of our common stock. We did not receive any of the proceeds from the sale of these shares by the selling stockholders. We incurred offering costs of $1.1 million, which we recognized in SG&amp;A during the first quarter of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Second Incremental Agreement </w:t>
      </w:r>
      <w:r>
        <w:rPr>
          <w:rFonts w:ascii="Arial" w:cs="Arial" w:eastAsia="Arial" w:hAnsi="Arial"/>
          <w:sz w:val="17"/>
          <w:szCs w:val="17"/>
          <w:color w:val="auto"/>
        </w:rPr>
        <w:t>— On January 24, 2020, we entered into a second incremental agreement (the “Second Incremental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amended a previous incremental agreement (the "First Incremental Agreement"). The Second Incremental Agreement refinanced a previous replacement term loan under the First Incremental Agreement with a replacement $460.0 million senior secured term loan credit facility (the "Second Replacement Term Loan") with an applicable margin of 2.75% for Eurodollar loans and 1.75% for base rate loans, and made certain other corresponding technical changes and updates to the previously amended First Lien Credit Agreement. The interest rate on the Second Replacement Term Loan was 2.88% as of October 2, 2021. The Second Replacement Term Loan matures on October 22, 2025, which is the same maturity date as the prior term loans under the original First Lien Credit Agreement and First Incremental Agreement.</w:t>
      </w:r>
    </w:p>
    <w:p>
      <w:pPr>
        <w:spacing w:after="0" w:line="6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Other than as described above, the Second Replacement Term Loan has the same terms as provided under the original First Lien Credit Agreement and the First Incremental Agreement, including voluntary prepayment on borrowings without premium or penalty. Additionally, the parties to the Second Incremental Agreement continue to have the same obligations set forth in the original First Lien Credit Agreement and the First Incremental Agreement.</w:t>
      </w:r>
    </w:p>
    <w:p>
      <w:pPr>
        <w:spacing w:after="0" w:line="4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 On March 19, 2020, we borrowed $90.0 million under the revolving credit facility of our First Lien Credit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Based on our new store growth plans, we believe our existing cash and cash equivalents position, cash generated from our operations, and borrowings under our revolving credit facility will be adequate to finance our working capital requirements, planned capital expenditures and debt service over the next 12 months.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(as defined in the First Lien Credit Agreement) of 7:00 to 1:00.</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2, 2021,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(amounts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39 Weeks Ended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 2021</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26, 2020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color w:val="auto"/>
                <w:w w:val="90"/>
              </w:rPr>
              <w:t>99,261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42,504</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42.8 %</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(96,283)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596"/>
              <w:spacing w:after="0"/>
              <w:rPr>
                <w:sz w:val="20"/>
                <w:szCs w:val="20"/>
                <w:color w:val="auto"/>
              </w:rPr>
            </w:pPr>
            <w:r>
              <w:rPr>
                <w:rFonts w:ascii="Arial" w:cs="Arial" w:eastAsia="Arial" w:hAnsi="Arial"/>
                <w:sz w:val="18"/>
                <w:szCs w:val="18"/>
                <w:color w:val="auto"/>
                <w:w w:val="92"/>
              </w:rPr>
              <w:t>(92,907)</w:t>
            </w:r>
          </w:p>
        </w:tc>
        <w:tc>
          <w:tcPr>
            <w:tcW w:w="12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8"/>
                <w:szCs w:val="18"/>
                <w:color w:val="auto"/>
                <w:w w:val="90"/>
              </w:rPr>
              <w:t>24,627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636"/>
              <w:spacing w:after="0"/>
              <w:rPr>
                <w:sz w:val="20"/>
                <w:szCs w:val="20"/>
                <w:color w:val="auto"/>
              </w:rPr>
            </w:pPr>
            <w:r>
              <w:rPr>
                <w:rFonts w:ascii="Arial" w:cs="Arial" w:eastAsia="Arial" w:hAnsi="Arial"/>
                <w:sz w:val="18"/>
                <w:szCs w:val="18"/>
                <w:color w:val="auto"/>
                <w:w w:val="90"/>
              </w:rPr>
              <w:t>30,981</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63.5 %</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provided by operating activities was $141.8 million for the 39 weeks ended October 2, 2021 compared to $99.3 million for the same period in fiscal 2020. The increase in net cash provided by operating activities of $42.5 million for the 39 weeks ended October 2, 2021 compared to the same period in fiscal 2020 was primarily driven by a reduction in cash used for merchandise inventory and increases in trade accounts payable and accrued expenses. The increase in working capital was partially offset by lower net sales driven by a decrease in comparable store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used in investing activities was $96.3 million for the 39 weeks ended October 2, 2021 compared to $92.9 million for the same period in fiscal 2020. The increase in net cash used in investing activities of $3.4 million for the 39 weeks ended October 2, 2021 compared to the same period in fiscal 2020 was primarily related to capital expenditures including the construction of newly opened stores and stores under development as well as existing store capital investments. We had 28 new store openings and three store relocations during the 39 weeks ended October 2, 2021 compared to 27 new store openings and one store relocation for the same period of fiscal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financing activities was $5.2 million for the 39 weeks ended October 2, 2021 compared to $24.6 million for the same period in fiscal 2020. The decrease in net cash provided by financing activities was primarily due to a decrease in proceeds received from the exercise of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2,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to our contractual obligations during the 39 weeks ended October 2, 2021 from those disclosed in our 2020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39 weeks ended October 2, 2021 from those disclosed in our 2020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 to the condensed consolidated financial statements included elsewhere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results are subject to market risk from interest rate fluctuations on our credit facilities, which bear variable interest rates. As of October 2, 2021, our outstanding credit facilities included a $460.0 million term loan (the "Second Replacement Term Loan"). As of October 2, 2021, the interest rate on the Second Replacement Term Loan was 2.88%. See Note 3 to the condensed consolidated financial statements for additional information. Based on the outstanding balance and interest rate of our Second Replacement Term Loan as of October 2, 2021, a hypothetical 10% relative increase or decrease in the effective interest rate would cause an increase or decrease in interest expense of approximately $1.3 million over the next 12 months.</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do not currently use derivative financial instruments for speculative or trading purposes. This practice does not preclude our adoption of specific hedging strategies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at a reasonable assurance level as of October 2,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October 2, 2021,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From time to time, we may be party to litigation that arises in the ordinary course of our business. Management believes that we do not have any pending litigation that, separately or in the aggregate, would have a material adverse effect on our financial condition,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2020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2020 Form 10-K, other than as set forth below.</w:t>
      </w:r>
    </w:p>
    <w:p>
      <w:pPr>
        <w:spacing w:after="0" w:line="13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Operations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identify trends and maintain a consistent level of opportunistic products which could have a material adverse effect on our business, financial condition and results of operations.</w:t>
      </w:r>
    </w:p>
    <w:p>
      <w:pPr>
        <w:spacing w:after="0" w:line="5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Consumer preferences often change rapidly and without warning. We may not successfully address consumer trends or be able to acquire desirable products at discounts that excite our customers, which could add difficulty in attracting new customers and retaining existing customers and encouraging frequent visits. Customer demand for certain products has fluctuated as the COVID-19 pandemic has progressed and customer behaviors have changed, specifically relating to shopping trip consolidations, and a decrease in the number of stores visited as online purchases have increased. These circumstances have led to a decline in our customer count during 2021 and we cannot predict whether such changes are temporary. We generally make individual purchase decisions for products that become available, and these purchases may be for large quantities that we may not be able to sell on a timely or cost-effective basis. Some of our products are sourced from suppliers at significantly reduced prices for specific reasons, and we are not always able to purchase specific products on a recurring basis. To the extent that some of our suppliers are better able to manage their inventory levels and reduce the amount of their excess inventory, the amount of over-stock and short-dated products available to us could also be materially reduced, making it difficult to deliver products to our customers at attractive prices. Maintaining adequate inventory of quality, name-brand products requires significant attention and monitoring of market trends, local markets and developments with suppliers and our distribution network, and it is not certain that we or the IOs will be effective in inventory management.</w:t>
      </w:r>
    </w:p>
    <w:p>
      <w:pPr>
        <w:spacing w:after="0" w:line="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base our purchases of inventory, in part, on our sales forecasts. If our sales forecasts overestimate customer demand, we may experience higher inventory levels and need to take markdowns on excess or slow-moving inventory, leading to decreased profit margins. Conversely, if our sales forecasts underestimate customer demand, we may have insufficient inventory to meet demand, leading to lost sales, either of which could materially adversely affect our financial performance.</w:t>
      </w:r>
    </w:p>
    <w:p>
      <w:pPr>
        <w:spacing w:after="0" w:line="12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long-term success depends in part on our ability and the ability of the IOs to maintain or increase comparable store sales, and if we are unable to achieve comparable store growth over the long-term, our profitability and performance could be materially adversely impacted.</w:t>
      </w:r>
    </w:p>
    <w:p>
      <w:pPr>
        <w:spacing w:after="0" w:line="1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IOs are responsible for store operations. Our success depends on increasing comparable store sales through our opportunistic purchasing strategy and the ability of the IOs to increase sales and profits. To increase net sales and profits, and therefore comparable store sales growth, we and the IOs focus on delivering value and generating customer excitement by strengthening opportunistic purchasing, optimizing inventory management, maintaining strong store conditions and effectively marketing current products and new product offerings. As we cycle periods of 2020 that included elevated COVID-related demand, we are reporting declines in year-over-year net sales and comparable store sales growth on a year-to-date basis. In addition, competition and pricing pressures from competitors and suppliers may also materially adversely impact our operating margins. Our comparable store sales growth could continue to be lower than our historical average or our future target for many reasons, including general economic conditions that may not favor our model, operational performance, including by the IOs, price inflation or deflation, industry competition, new competitive entrants near our stores, price changes in response to competitive factors, the impact of new stores entering the comparable store base, cycling against any year or quarter of above-average net sales results, possible supply shortages or other operational disruptions, the number and dollar amount of customer transactions in our stores, our ability to provide product or service offerings that generate new and repeat visits to our stores and the level of customer engagement that we and the IOs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 in our stores. In addition, we may not accurately model cannibalization for our new stores. Opening new stores in our established markets may result in inadvertent oversaturation, temporarily or permanently diverting customers and sales from our existing stores to new stores and reduce comparable store sales, thus adversely affecting our overall financial performance. These factors may cause our comparable store sales results to be materially lower than in recent periods, which could harm our profitability and business.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we compete to a substantial degree on price, changes affecting the market prices of the products we sell, including due to inflation or deflation, increases in freight or other supply costs, or worsening economic conditions, could materially adversely affect our financial condition and operating results.</w:t>
      </w:r>
    </w:p>
    <w:p>
      <w:pPr>
        <w:spacing w:after="0" w:line="7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 critical differentiator of our business is our ability to offer value to our customers, including offering prices that are substantially below those offered by some of our competitors. We carefully monitor the market prices of our products in order to maintain our price advantage and reputation. Recently, we have experienced varying levels of inflation in certain categories, resulting in part from various supply disruptions, increased shipping/transportation costs, increased commodity costs, increased labor costs in the supply chain and other disruptions caused by the COVID-19 pandemic and the uncertain economic environment. If costs of goods continue to increase and our suppliers seek price increases from us, we may not be able to mitigate such increases and would consider setting a higher price, which could deter customers. If our competitors substantially lower their prices, we may lose customers and mark down prices. Our profitability may be impacted by lower prices, which may impact gross margins. We may also experience reduced sales as a result of a decline in the number and average basket size of customer transactions. In addition, the market price of the products we sell can be influenced by general economic conditions. For example, general deflation in the prices of the products we sell could cause us and the IOs to mark down prices and thereby reduce our gross profits and gross margins. Our low-price model and competitive pressures may inhibit our ability to reflect these increased costs in the prices of our products, and therefore reduce our profitability and materially adversely affect our business,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currently experiencing disruptions in our distribution network causing the timely receipt of inventory to our distribution centers and stores to be impaired, which has had and could continue to have an adverse impact on our operating performance.</w:t>
      </w:r>
    </w:p>
    <w:p>
      <w:pPr>
        <w:spacing w:after="0" w:line="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rely on our distribution and transportation network, including by means of truck, ocean and rail to provide goods to our distribution centers and stores in a timely and cost-effective manner. We use three primary leased distribution centers that we operate and five primary distribution centers operated by third-parties. Deliveries to our stores occur from our distribution centers or directly from our suppliers. Any disruption, unanticipated or unusual expense or operational failure related to this process could affect store operations negatively. Recently, COVID-19-related labor shortages and supply chain disruptions have caused logistical challenges for us and many other businesses in the retail industry, causing delay in product delivery to our distribution centers, stores and customers. These logistical challenges have also caused increased costs to deliver goods to our stores resulting from increased fuel costs, increased carrier rates and driver wages as a result of driver shortages, a decrease in transportation capacity, and slowdowns. If these circumstance continue, they could have a material adverse impact on our ability to generate sales and earn profits. In addition, events beyond our control, such as disruptions in operations due to fire or other catastrophic events or labor disagreements, may result in delays in the delivery of merchandise to our stores. While we maintain business interruption insurance, in the event our distribution centers are shut down for any reason, such insurance may not be sufficient, and any related insurance proceeds may not be timely paid to us. Furthermore, there can be no guarantee that we will be able to renew the leases or third-party distribution and transportation contracts, as applicable, on our distribution centers on attractive terms or at all, which may increase our expenses and cause temporary disruptions in our distribution network.</w:t>
      </w:r>
    </w:p>
    <w:p>
      <w:pPr>
        <w:spacing w:after="0" w:line="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we continue to implement our store growth strategy, effectively managing our distribution network and distribution centers becomes more complex. Our new store locations receiving shipments may be further away from our distribution centers, which may increase transportation costs and may create transportation scheduling strains, or may require us to add additional facilities to the network.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just begun and have limited experience competing in the growing online retail marketplace.</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Recently, we entered into a partnership with Instacart to test online shopping at a limited number of our stores. Certain of our competitors and a number of pure online retailers have already established robust online operations and have increased their online sales as a result of the COVID-19 pandemic. Increased competition from online grocery retailers and our lack of a tested online retail presence may reduce our customers’ desire to purchase products from us. If we decide to expand our online shopping efforts, we may be exposed to new risks and challenges. Furthermore, there can be no assurance that any investments that we make to test or expand our online shopping capabilities will be repaid. These factors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our IOs are experiencing and may continue to experience challenges in recruiting and retaining qualified employees.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future growth, performance and positive customer experience depends on our and the IOs’ ability to attract, train, retain and motivate qualified employees who understand and appreciate our culture and are able to represent our brand effectively and establish credibility with our business partners and customers. We and the IOs are currently facing intense competition for management personnel and hourly employees. If we and the IOs are unable to attract and retain adequate numbers of qualified employees, our operations, customer service levels and support functions could suffer. There is no assurance that we and the IOs will be able to attract or retain highly qualified employees to operate our business.</w:t>
      </w:r>
    </w:p>
    <w:p>
      <w:pPr>
        <w:spacing w:after="0" w:line="11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Risks Related to Our Business Environment</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Major health epidemics, such as the outbreak caused by COVID-19 and its variants, and other outbreaks have and could continue to disrupt and adversely affect our operations, financial condition and business.</w:t>
      </w:r>
    </w:p>
    <w:p>
      <w:pPr>
        <w:spacing w:after="0" w:line="5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United States and other countries have experienced, and may experience in the future, major health epidemics related to viruses or other pathogens. The COVID-19 pandemic in particular has negatively impacted the economy, disrupted consumer behaviors and supply chains, and created volatility among the financial markets. We and our IOs have faced and will continue to face staffing challenges including staffing shortages additional sick and overtime pay for a variety of reasons that are attributable to the COVID-19 pandemic. In early 2021, many counties in California and Washington enacted ordinances mandating "hazard pay" for grocery workers. While most of those ordinances have applied to large companies with more than 300 employees and have not applied to smaller businesses operated by a single employer (such as an Independent Operator), these ordinances do create staffing issues as many competitors are subject to those ordinances and may offer more competitive compensation. While most of the hazard pay ordinances have expired, if there is another COVID surge, counties may try to implement new ordinances. In addition, federal and state governments have enacted legislation to provide additional company paid benefits for employees and former employees impacted by the COVID-19 pandemic.</w:t>
      </w:r>
    </w:p>
    <w:p>
      <w:pPr>
        <w:spacing w:after="0" w:line="5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Additionally, since the start of the pandemic, supply for inventory, including opportunistic inventory, has been, and may in the future again be, negatively impacted at times when overall demand for inventory is increased or inventory is more difficult to procure, which could negatively impact our margin. Our planned construction and opening of new stores have been and may continue to be negatively impacted due to increased time periods to get materials such as steel, obtain permits and licenses and set up utilities. A significant subset of our corporate employee population remains in a remote or hybrid work environments in an effort to mitigate the spread of COVID-19, which may exacerbate certain risks to our business, including an increased risk of phishing and other cybersecurity attacks. In the event that an employee, IO, or IO employee tests positive for COVID-19, we have had to, and may in the future have to, temporarily close one or more stores, offices or distribution centers for cleaning and/or quarantine one or more employees, which could negatively impact our financial results. Outbreaks of COVID-19 among employees of any of our suppliers, vendors, third party distributors or service providers may further disrupt or limit product supply and vendor services which could have a negative impact on our financial results. In addition, if one of more of our employees, IOs, IOs’ employees or customers becomes ill from COVID-19 and attributes their exposure to such illness to us or one of our stores, we and/or our IOs could be subject to allegations of failure to adequately mitigate the risk of such exposure. Such allegations could harm our reputation and sales and expose us to the risks of litigation and liability. Many states are now increasing enforcement and COVID-19 compliance efforts through state OSHA or public health inspections. Such enforcement efforts could result in citations, additional requirements or temporary store closures which could negatively impact our financial results.</w:t>
      </w:r>
    </w:p>
    <w:p>
      <w:pPr>
        <w:spacing w:after="0" w:line="7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Due to the extraordinary impact of the outbreak of COVID-19 on our operations, including, without limitation, on customer behavior and inventory supply in fiscal 2020 and 2021, as well as significant supply chain logistics and staffing challenges and the other factors discussed above in fiscal 2021, our operating performance and financial results during fiscal years 2020 and 2021 may not be meaningful indicators of future results. These impacts and the uncertainty surrounding the COVID-19 situation and the severity of related variants also make it more challenging for us to estimate future performance of the business and develop growth strategies for the future. The rapid development and fluidity of this situation precludes any prediction as to the adverse impact to us of COVID-19. We are continuing to monitor the spread of COVID-19 and related risks. The magnitude and duration of the pandemic and its impact on our business, results of operations, financial position, and cash flows are uncertain as this situation continues to evolve globally.</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COVID-19 pandemic and the perception that new epidemics may occur, may cause people to avoid gathering in public places, which may adversely affect our customer traffic, our ability and that of our IOs to adequately staff our stores and operations, and our ability to transport product on a timely basis. Further, outbreaks of pathogens, such as COVID-19, may also impact our ability to access and ship product from impacted locations. To the extent that a pathogen is food-borne, or perceived to be food-borne, future outbreaks may adversely affect the price and availability of certain food products and cause our customers to consume less of such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extent of COVID-19’s effect on our operational and financial performance in the future will depend on future developments, including the duration, spread and intensity of the pandemic, any emerging variants for which vaccines may not be effective, any future government actions affecting consumers and the economy generally, changing economic conditions and any resulting inflationary impacts, as well as timing and effectiveness of global vaccines, all of which are uncertain and difficult to predict considering the rapidly evolving landscape. Although the potential effects that COVID-19 may continue to have on us are not clear, such impacts could materially adversely affect our business, financial condition and results of operations.</w:t>
      </w:r>
    </w:p>
    <w:p>
      <w:pPr>
        <w:spacing w:after="0" w:line="10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The current geographic concentration of our stores creates an exposure to local or regional downturns, natural or man-made disasters, unusual weather conditions (whether or not caused by climate change), power outages, terrorist acts, political events and other serious catastrophic events which could disrupt business and result in lower sales and otherwise materially adversely affect our financial performance.</w:t>
      </w:r>
    </w:p>
    <w:p>
      <w:pPr>
        <w:spacing w:after="0" w:line="38"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As of October 2, 2021, we operated 240 stores and distributed product from four distribution centers in California, making California our largest market, representing 59% of our total stores. As a result, our business is currently more susceptible to regional conditions than the operations of more geographically diversified competitors, and we are vulnerable to economic downturns or disruptions in those regions. Any unforeseen events or circumstances that negatively affect these areas could materially adversely affect our sales and profitability. These factors include, among other things, changes in demographics, population and employee bases, wage increases, property tax increases, changes in economic conditions, severe weather conditions and climate change, natural disasters (including fires, earthquakes, hurricanes, floods and tornadoes), power outages, pandemic outbreaks, terrorist acts or disruptive political events and other catastrophic or disruptive occurrences. For example, there have been significant fires across the west coast of the United States from 2018 through 2020. In 2018, our store in Paradise, California, burned down entirely and we have also suffered inventory losses related to power outages and evacuations due to fires. In 2021, there were additional significant fires in California and the Pacific Northwest causing a number of stores to be closed and requiring evacuations. For example, the Caldor fire caused our South Lake Tahoe store to close for a week resulting in inventory losses due to the evacuation. Such conditions may result in reduced customer traffic and spending in our stores, changes in consumer shopping patterns that lead to lost sales or greater than expected markdowns, physical damage to our stores, loss of inventory, closure of one or more of our stores, inadequate workforce in our markets, temporary disruption in the supply of products, delays in the delivery of goods to our stores, increased expenses and a reduction in the availability of products in our stores. To the extent these conditions or events result in the closure of one or more of our distribution centers, a significant number of stores, or our administrative offices or impact one or more of our key suppliers, our operations and financial performance could be materially adversely affected through an inability to make deliveries or provide other support functions to our stores and through lost sales. In addition, these events could result in increases in fuel (or other energy) prices or a fuel shortage, delays in opening new stores, the temporary lack of an adequate work force in a market, the temporary or long-term disruption in the supply of products from some domestic and overseas suppliers, the temporary disruption in the transport of goods from overseas, delay or increased transportation costs in the delivery of goods to our distribution centers or stores, the inability of customers to reach or have transportation to our stores directly affected by such events, the temporary reduction in the availability of products in our stores and disruption of our utility services or to our information systems. These events also can have indirect consequences such as increases in the costs of insurance if they result in significant loss of property or other insurable damage. Any of these factors may disrupt our business and materially adversely affect our financial condition and results of operations and the occurrence of any of these events in a region where our stores or other operations are concentrated may increase the impact of such disruption and adverse effect.</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quarterly operating results fluctuate and may fall short of prior periods, our projections or the expectations of securities analysts or investors, which could materially adversely affect our stock price.</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operating results have fluctuated from quarter to quarter at points in the past, including more significantly since the start of the COVID-19 pandemic, and they may do so in the future. Therefore, results of any one fiscal quarter are not a reliable indication of results to be expected for any other fiscal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For example, since the beginning of our current fiscal year through October 2, 2021 our common stock has traded at prices as low as $21.01 and as high as $46.58, which we believe is due in part to comparisons to the significant pandemic-related purchases made in fiscal 2020 that led to outsized performance compared to historical and fiscal 2021 performance. Stock price fluctuations may continue to occur in response to various factors, many of which we cannot control.</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Quarterly operating results may be affected by various factors, including those described in these risk factors. We maintain a forecasting process that seeks to plan sales and align expenses. If we do not control costs or appropriately adjust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costs to actual results, or if actual results differ significantly from our forecast, our quarterly financial performance could be materially adversely affected.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4" w:right="4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Exhibit No.</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140" w:type="dxa"/>
            <w:vAlign w:val="bottom"/>
            <w:gridSpan w:val="10"/>
            <w:vMerge w:val="restart"/>
          </w:tcPr>
          <w:p>
            <w:pPr>
              <w:ind w:left="1820"/>
              <w:spacing w:after="0"/>
              <w:rPr>
                <w:sz w:val="20"/>
                <w:szCs w:val="20"/>
                <w:color w:val="auto"/>
              </w:rPr>
            </w:pPr>
            <w:r>
              <w:rPr>
                <w:rFonts w:ascii="Arial" w:cs="Arial" w:eastAsia="Arial" w:hAnsi="Arial"/>
                <w:sz w:val="16"/>
                <w:szCs w:val="16"/>
                <w:b w:val="1"/>
                <w:bCs w:val="1"/>
                <w:color w:val="auto"/>
              </w:rPr>
              <w:t>Exhibit</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3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4"/>
              </w:rPr>
              <w:t>File</w:t>
            </w: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gridSpan w:val="10"/>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1"/>
          </w:tcPr>
          <w:p>
            <w:pPr>
              <w:spacing w:after="0" w:line="185" w:lineRule="exact"/>
              <w:rPr>
                <w:rFonts w:ascii="Arial" w:cs="Arial" w:eastAsia="Arial" w:hAnsi="Arial"/>
                <w:sz w:val="18"/>
                <w:szCs w:val="18"/>
                <w:color w:val="0000FF"/>
                <w:w w:val="95"/>
              </w:rPr>
            </w:pPr>
            <w:hyperlink r:id="rId58">
              <w:r>
                <w:rPr>
                  <w:rFonts w:ascii="Arial" w:cs="Arial" w:eastAsia="Arial" w:hAnsi="Arial"/>
                  <w:sz w:val="18"/>
                  <w:szCs w:val="18"/>
                  <w:color w:val="0000FF"/>
                  <w:w w:val="95"/>
                </w:rPr>
                <w:t>Amended and Restated Certificate of Incorporation of Grocery Outlet Holding</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2"/>
              </w:rPr>
              <w:t>S-8</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58">
              <w:r>
                <w:rPr>
                  <w:rFonts w:ascii="Arial" w:cs="Arial" w:eastAsia="Arial" w:hAnsi="Arial"/>
                  <w:sz w:val="18"/>
                  <w:szCs w:val="18"/>
                  <w:color w:val="0000FF"/>
                  <w:w w:val="86"/>
                </w:rPr>
                <w:t>Corp.</w:t>
              </w:r>
            </w:hyperlink>
          </w:p>
        </w:tc>
        <w:tc>
          <w:tcPr>
            <w:tcW w:w="548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Amended and Restated Bylaws of Grocery Outlet Holding Corp.</w:t>
              </w:r>
            </w:hyperlink>
          </w:p>
        </w:tc>
        <w:tc>
          <w:tcPr>
            <w:tcW w:w="1340" w:type="dxa"/>
            <w:vAlign w:val="bottom"/>
            <w:gridSpan w:val="9"/>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333-232318</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6/24/2019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 of Principal Executive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14(a) and 15d-14(a), as adopted pursuant to Section 302 of the Sarbanes-Oxley</w:t>
              </w:r>
            </w:hyperlink>
          </w:p>
        </w:tc>
        <w:tc>
          <w:tcPr>
            <w:tcW w:w="1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3">
              <w:r>
                <w:rPr>
                  <w:rFonts w:ascii="Arial" w:cs="Arial" w:eastAsia="Arial" w:hAnsi="Arial"/>
                  <w:sz w:val="18"/>
                  <w:szCs w:val="18"/>
                  <w:color w:val="0000FF"/>
                  <w:w w:val="92"/>
                </w:rPr>
                <w:t>Act of 2002</w:t>
              </w:r>
            </w:hyperlink>
          </w:p>
        </w:tc>
        <w:tc>
          <w:tcPr>
            <w:tcW w:w="48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of Principal Financial Officer pursuant to Exchange Act Rules 13a-</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8"/>
          </w:tcPr>
          <w:p>
            <w:pPr>
              <w:spacing w:after="0" w:line="156" w:lineRule="exact"/>
              <w:rPr>
                <w:rFonts w:ascii="Arial" w:cs="Arial" w:eastAsia="Arial" w:hAnsi="Arial"/>
                <w:sz w:val="18"/>
                <w:szCs w:val="18"/>
                <w:color w:val="0000FF"/>
                <w:w w:val="90"/>
              </w:rPr>
            </w:pPr>
            <w:hyperlink w:anchor="page44">
              <w:r>
                <w:rPr>
                  <w:rFonts w:ascii="Arial" w:cs="Arial" w:eastAsia="Arial" w:hAnsi="Arial"/>
                  <w:sz w:val="18"/>
                  <w:szCs w:val="18"/>
                  <w:color w:val="0000FF"/>
                  <w:w w:val="90"/>
                </w:rPr>
                <w:t>14(a) and 15d-14(a), as adopted pursuant to Section 302 of the Sarbanes-Oxley</w:t>
              </w:r>
            </w:hyperlink>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44">
              <w:r>
                <w:rPr>
                  <w:rFonts w:ascii="Arial" w:cs="Arial" w:eastAsia="Arial" w:hAnsi="Arial"/>
                  <w:sz w:val="18"/>
                  <w:szCs w:val="18"/>
                  <w:color w:val="0000FF"/>
                  <w:w w:val="92"/>
                </w:rPr>
                <w:t>Act of 2002</w:t>
              </w:r>
            </w:hyperlink>
          </w:p>
        </w:tc>
        <w:tc>
          <w:tcPr>
            <w:tcW w:w="48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Certification of Principal Executive Officer pursuant to 18 U.S.C. Section 1350,</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as adopted pursuant to Section 906 of the Sarbanes-Oxley Act of 2002</w:t>
              </w:r>
            </w:hyperlink>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6"/>
              </w:rPr>
            </w:pPr>
            <w:hyperlink w:anchor="page46">
              <w:r>
                <w:rPr>
                  <w:rFonts w:ascii="Arial" w:cs="Arial" w:eastAsia="Arial" w:hAnsi="Arial"/>
                  <w:sz w:val="18"/>
                  <w:szCs w:val="18"/>
                  <w:color w:val="0000FF"/>
                  <w:w w:val="96"/>
                </w:rPr>
                <w:t>Certification of Principal Financial Officer pursuant to 18 U.S.C. Section 1350,</w:t>
              </w:r>
            </w:hyperlink>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as adopted pursuant to Section 906 of the Sarbanes-Oxley Act of 2002</w:t>
              </w:r>
            </w:hyperlink>
          </w:p>
        </w:tc>
        <w:tc>
          <w:tcPr>
            <w:tcW w:w="300" w:type="dxa"/>
            <w:vAlign w:val="bottom"/>
            <w:gridSpan w:val="6"/>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7"/>
                <w:szCs w:val="17"/>
                <w:color w:val="auto"/>
              </w:rPr>
            </w:pPr>
          </w:p>
        </w:tc>
        <w:tc>
          <w:tcPr>
            <w:tcW w:w="6000" w:type="dxa"/>
            <w:vAlign w:val="bottom"/>
            <w:gridSpan w:val="12"/>
          </w:tcPr>
          <w:p>
            <w:pPr>
              <w:spacing w:after="0" w:line="196" w:lineRule="exact"/>
              <w:rPr>
                <w:sz w:val="20"/>
                <w:szCs w:val="20"/>
                <w:color w:val="auto"/>
              </w:rPr>
            </w:pPr>
            <w:r>
              <w:rPr>
                <w:rFonts w:ascii="Arial" w:cs="Arial" w:eastAsia="Arial" w:hAnsi="Arial"/>
                <w:sz w:val="18"/>
                <w:szCs w:val="18"/>
                <w:color w:val="auto"/>
                <w:w w:val="93"/>
              </w:rPr>
              <w:t>Inline XBRL Instance Document - the instance document does not appear in the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gridSpan w:val="12"/>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 the Inline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Definition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0"/>
                <w:szCs w:val="20"/>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auto"/>
              </w:rPr>
              <w:t>Inline XBRL Extension Presentation 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00" w:right="4260" w:hanging="748"/>
        <w:spacing w:after="0" w:line="224"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6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9" w:lineRule="exact"/>
        <w:rPr>
          <w:sz w:val="20"/>
          <w:szCs w:val="20"/>
          <w:color w:val="auto"/>
        </w:rPr>
      </w:pPr>
    </w:p>
    <w:p>
      <w:pPr>
        <w:ind w:left="720" w:hanging="69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720" w:right="120" w:hanging="694"/>
        <w:spacing w:after="0" w:line="197" w:lineRule="auto"/>
        <w:tabs>
          <w:tab w:leader="none" w:pos="720" w:val="left"/>
        </w:tabs>
        <w:numPr>
          <w:ilvl w:val="0"/>
          <w:numId w:val="18"/>
        </w:numPr>
        <w:rPr>
          <w:rFonts w:ascii="Arial" w:cs="Arial" w:eastAsia="Arial" w:hAnsi="Arial"/>
          <w:sz w:val="32"/>
          <w:szCs w:val="32"/>
          <w:color w:val="auto"/>
          <w:vertAlign w:val="subscript"/>
        </w:rPr>
      </w:pPr>
      <w:r>
        <w:rPr>
          <w:rFonts w:ascii="Arial" w:cs="Arial" w:eastAsia="Arial" w:hAnsi="Arial"/>
          <w:sz w:val="16"/>
          <w:szCs w:val="16"/>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Charles C. Bracher</w:t>
      </w:r>
    </w:p>
    <w:p>
      <w:pPr>
        <w:ind w:left="7100"/>
        <w:spacing w:after="0" w:line="203" w:lineRule="auto"/>
        <w:rPr>
          <w:sz w:val="20"/>
          <w:szCs w:val="20"/>
          <w:color w:val="auto"/>
        </w:rPr>
      </w:pPr>
      <w:r>
        <w:rPr>
          <w:rFonts w:ascii="Arial" w:cs="Arial" w:eastAsia="Arial" w:hAnsi="Arial"/>
          <w:sz w:val="18"/>
          <w:szCs w:val="18"/>
          <w:color w:val="auto"/>
        </w:rPr>
        <w:t>Chief Financial Officer</w:t>
      </w:r>
    </w:p>
    <w:p>
      <w:pPr>
        <w:ind w:left="71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Arial" w:cs="Arial" w:eastAsia="Arial" w:hAnsi="Arial"/>
          <w:sz w:val="18"/>
          <w:szCs w:val="18"/>
          <w:color w:val="auto"/>
        </w:rPr>
        <w:t>Date:</w:t>
        <w:tab/>
        <w:t>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Lindsay E. Gray</w:t>
      </w:r>
    </w:p>
    <w:p>
      <w:pPr>
        <w:ind w:left="7100"/>
        <w:spacing w:after="0" w:line="203" w:lineRule="auto"/>
        <w:rPr>
          <w:sz w:val="20"/>
          <w:szCs w:val="20"/>
          <w:color w:val="auto"/>
        </w:rPr>
      </w:pPr>
      <w:r>
        <w:rPr>
          <w:rFonts w:ascii="Arial" w:cs="Arial" w:eastAsia="Arial" w:hAnsi="Arial"/>
          <w:sz w:val="18"/>
          <w:szCs w:val="18"/>
          <w:color w:val="auto"/>
        </w:rPr>
        <w:t>Vice President and Corporate Controller</w:t>
      </w:r>
    </w:p>
    <w:p>
      <w:pPr>
        <w:ind w:left="71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1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J. Lindberg, Jr.,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November 10, 2021</w:t>
            </w:r>
          </w:p>
        </w:tc>
        <w:tc>
          <w:tcPr>
            <w:tcW w:w="5600" w:type="dxa"/>
            <w:vAlign w:val="bottom"/>
            <w:gridSpan w:val="2"/>
          </w:tcPr>
          <w:p>
            <w:pPr>
              <w:ind w:left="2280"/>
              <w:spacing w:after="0"/>
              <w:rPr>
                <w:sz w:val="20"/>
                <w:szCs w:val="20"/>
                <w:color w:val="auto"/>
              </w:rPr>
            </w:pPr>
            <w:r>
              <w:rPr>
                <w:rFonts w:ascii="Arial" w:cs="Arial" w:eastAsia="Arial" w:hAnsi="Arial"/>
                <w:sz w:val="18"/>
                <w:szCs w:val="18"/>
                <w:color w:val="auto"/>
              </w:rPr>
              <w:t>By: /s/ Eric J. Lindberg, Jr.</w:t>
            </w:r>
          </w:p>
        </w:tc>
      </w:tr>
      <w:tr>
        <w:trPr>
          <w:trHeight w:val="222"/>
        </w:trPr>
        <w:tc>
          <w:tcPr>
            <w:tcW w:w="4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4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November 10, 2021</w:t>
            </w:r>
          </w:p>
        </w:tc>
        <w:tc>
          <w:tcPr>
            <w:tcW w:w="5600" w:type="dxa"/>
            <w:vAlign w:val="bottom"/>
            <w:gridSpan w:val="2"/>
          </w:tcPr>
          <w:p>
            <w:pPr>
              <w:ind w:left="2280"/>
              <w:spacing w:after="0"/>
              <w:rPr>
                <w:sz w:val="20"/>
                <w:szCs w:val="20"/>
                <w:color w:val="auto"/>
              </w:rPr>
            </w:pPr>
            <w:r>
              <w:rPr>
                <w:rFonts w:ascii="Arial" w:cs="Arial" w:eastAsia="Arial" w:hAnsi="Arial"/>
                <w:sz w:val="18"/>
                <w:szCs w:val="18"/>
                <w:color w:val="auto"/>
              </w:rPr>
              <w:t>By: /s/ Charles C. Bracher</w:t>
            </w:r>
          </w:p>
        </w:tc>
      </w:tr>
      <w:tr>
        <w:trPr>
          <w:trHeight w:val="222"/>
        </w:trPr>
        <w:tc>
          <w:tcPr>
            <w:tcW w:w="4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4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October 2, 2021 as filed with the Securities and Exchange Commission on the date hereof (the “Report”), I, Eric J. Lindberg, Jr.,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10, 2021</w:t>
            </w:r>
          </w:p>
        </w:tc>
        <w:tc>
          <w:tcPr>
            <w:tcW w:w="5260" w:type="dxa"/>
            <w:vAlign w:val="bottom"/>
            <w:gridSpan w:val="2"/>
          </w:tcPr>
          <w:p>
            <w:pPr>
              <w:ind w:left="1940"/>
              <w:spacing w:after="0"/>
              <w:rPr>
                <w:sz w:val="20"/>
                <w:szCs w:val="20"/>
                <w:color w:val="auto"/>
              </w:rPr>
            </w:pPr>
            <w:r>
              <w:rPr>
                <w:rFonts w:ascii="Arial" w:cs="Arial" w:eastAsia="Arial" w:hAnsi="Arial"/>
                <w:sz w:val="18"/>
                <w:szCs w:val="18"/>
                <w:color w:val="auto"/>
              </w:rPr>
              <w:t>By: /s/ Eric J. Lindberg, Jr.</w:t>
            </w:r>
          </w:p>
        </w:tc>
      </w:tr>
      <w:tr>
        <w:trPr>
          <w:trHeight w:val="222"/>
        </w:trPr>
        <w:tc>
          <w:tcPr>
            <w:tcW w:w="3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J. Lindberg, Jr.</w:t>
            </w:r>
          </w:p>
        </w:tc>
      </w:tr>
      <w:tr>
        <w:trPr>
          <w:trHeight w:val="230"/>
        </w:trPr>
        <w:tc>
          <w:tcPr>
            <w:tcW w:w="3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of Grocery Outlet Holding Corp. (the “Company”) on Form 10-Q for the period ended October 2, 2021 as filed with the Securities and Exchange Commission on the date hereof (the “Report”), I, Charles C. Bracher, certify pursuant to 18 U.S.C. § 1350, as adopted pursuant to § 906 of the Sarbanes-Oxley Act of 2002, that:</w:t>
      </w:r>
    </w:p>
    <w:p>
      <w:pPr>
        <w:spacing w:after="0" w:line="157" w:lineRule="exact"/>
        <w:rPr>
          <w:sz w:val="20"/>
          <w:szCs w:val="20"/>
          <w:color w:val="auto"/>
        </w:rPr>
      </w:pPr>
    </w:p>
    <w:p>
      <w:pPr>
        <w:ind w:left="1060" w:hanging="36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10, 2021</w:t>
            </w:r>
          </w:p>
        </w:tc>
        <w:tc>
          <w:tcPr>
            <w:tcW w:w="5260" w:type="dxa"/>
            <w:vAlign w:val="bottom"/>
            <w:gridSpan w:val="2"/>
          </w:tcPr>
          <w:p>
            <w:pPr>
              <w:ind w:left="1940"/>
              <w:spacing w:after="0"/>
              <w:rPr>
                <w:sz w:val="20"/>
                <w:szCs w:val="20"/>
                <w:color w:val="auto"/>
              </w:rPr>
            </w:pPr>
            <w:r>
              <w:rPr>
                <w:rFonts w:ascii="Arial" w:cs="Arial" w:eastAsia="Arial" w:hAnsi="Arial"/>
                <w:sz w:val="18"/>
                <w:szCs w:val="18"/>
                <w:color w:val="auto"/>
              </w:rPr>
              <w:t>By: /s/ Charles C. Bracher</w:t>
            </w:r>
          </w:p>
        </w:tc>
      </w:tr>
      <w:tr>
        <w:trPr>
          <w:trHeight w:val="222"/>
        </w:trPr>
        <w:tc>
          <w:tcPr>
            <w:tcW w:w="3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3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104"/>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8" Type="http://schemas.openxmlformats.org/officeDocument/2006/relationships/hyperlink" Target="http://www.sec.gov/Archives/edgar/data/1771515/000119312519180291/d729208dex41.htm" TargetMode="External"/><Relationship Id="rId59" Type="http://schemas.openxmlformats.org/officeDocument/2006/relationships/hyperlink" Target="http://www.sec.gov/Archives/edgar/data/1771515/000119312519180291/d72920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2021-11-10T15:39:02Z</dcterms:created>
  <dcterms:modified xsi:type="dcterms:W3CDTF">2021-11-10T15:39:02Z</dcterms:modified>
</cp:coreProperties>
</file>