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001-38950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952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320" w:type="dxa"/>
        <w:jc w:val="center"/>
        <w:tblInd w:w="0" w:type="dxa"/>
        <w:tblLayout w:type="fixed"/>
        <w:tblCellMar>
          <w:top w:w="28" w:type="dxa"/>
          <w:left w:w="28" w:type="dxa"/>
          <w:bottom w:w="28" w:type="dxa"/>
          <w:right w:w="28" w:type="dxa"/>
        </w:tblCellMar>
      </w:tblPr>
      <w:tblGrid>
        <w:gridCol w:w="1323"/>
        <w:gridCol w:w="1163"/>
        <w:gridCol w:w="1174"/>
        <w:gridCol w:w="109"/>
        <w:gridCol w:w="109"/>
        <w:gridCol w:w="109"/>
        <w:gridCol w:w="109"/>
        <w:gridCol w:w="109"/>
        <w:gridCol w:w="109"/>
        <w:gridCol w:w="109"/>
        <w:gridCol w:w="109"/>
        <w:gridCol w:w="109"/>
        <w:gridCol w:w="490"/>
        <w:gridCol w:w="490"/>
        <w:gridCol w:w="699"/>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47-1874201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(I.R.S. Employer </w:t>
              <w:br/>
              <w:t>Identification No.)</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5650 Hollis Street, Emeryville,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94608</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r>
        <w:trPr/>
        <w:tc>
          <w:tcPr>
            <w:tcW w:w="63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(510) 845-1999</w:t>
            </w:r>
          </w:p>
        </w:tc>
      </w:tr>
      <w:tr>
        <w:trPr/>
        <w:tc>
          <w:tcPr>
            <w:tcW w:w="6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692" w:type="dxa"/>
        <w:jc w:val="center"/>
        <w:tblInd w:w="0" w:type="dxa"/>
        <w:tblLayout w:type="fixed"/>
        <w:tblCellMar>
          <w:top w:w="28" w:type="dxa"/>
          <w:left w:w="28" w:type="dxa"/>
          <w:bottom w:w="28" w:type="dxa"/>
          <w:right w:w="28" w:type="dxa"/>
        </w:tblCellMar>
      </w:tblPr>
      <w:tblGrid>
        <w:gridCol w:w="1155"/>
        <w:gridCol w:w="1017"/>
        <w:gridCol w:w="1023"/>
        <w:gridCol w:w="109"/>
        <w:gridCol w:w="109"/>
        <w:gridCol w:w="109"/>
        <w:gridCol w:w="454"/>
        <w:gridCol w:w="454"/>
        <w:gridCol w:w="456"/>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0"/>
        <w:ind w:left="0" w:right="0" w:firstLine="54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bl>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120" w:after="283"/>
        <w:jc w:val="both"/>
        <w:rPr/>
      </w:pPr>
      <w:r>
        <w:rPr>
          <w:rFonts w:ascii="Times New Roman;sans-serif" w:hAnsi="Times New Roman;sans-serif"/>
          <w:b w:val="false"/>
          <w:color w:val="000000"/>
          <w:sz w:val="18"/>
          <w:shd w:fill="FFFFFF" w:val="clear"/>
        </w:rPr>
        <w:t>As o</w:t>
      </w:r>
      <w:r>
        <w:rPr>
          <w:rFonts w:ascii="Times New Roman;sans-serif" w:hAnsi="Times New Roman;sans-serif"/>
          <w:b w:val="false"/>
          <w:color w:val="000000"/>
          <w:sz w:val="18"/>
        </w:rPr>
        <w:t>f November 2, 2023, the r</w:t>
      </w:r>
      <w:r>
        <w:rPr>
          <w:rFonts w:ascii="Times New Roman;sans-serif" w:hAnsi="Times New Roman;sans-serif"/>
          <w:b w:val="false"/>
          <w:color w:val="000000"/>
          <w:sz w:val="18"/>
          <w:shd w:fill="FFFFFF" w:val="clear"/>
        </w:rPr>
        <w:t>egistrant</w:t>
      </w:r>
      <w:r>
        <w:rPr>
          <w:color w:val="000000"/>
        </w:rPr>
        <w:t xml:space="preserve"> </w:t>
      </w:r>
      <w:r>
        <w:rPr>
          <w:rFonts w:ascii="Times New Roman;sans-serif" w:hAnsi="Times New Roman;sans-serif"/>
          <w:b w:val="false"/>
          <w:color w:val="000000"/>
          <w:sz w:val="18"/>
        </w:rPr>
        <w:t>had 99,269,236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GROCERY OUTLET HOLDING CORP.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10-Q</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115" w:type="dxa"/>
        <w:jc w:val="center"/>
        <w:tblInd w:w="0" w:type="dxa"/>
        <w:tblLayout w:type="fixed"/>
        <w:tblCellMar>
          <w:top w:w="28" w:type="dxa"/>
          <w:left w:w="28" w:type="dxa"/>
          <w:bottom w:w="28" w:type="dxa"/>
          <w:right w:w="28" w:type="dxa"/>
        </w:tblCellMar>
      </w:tblPr>
      <w:tblGrid>
        <w:gridCol w:w="824"/>
        <w:gridCol w:w="723"/>
        <w:gridCol w:w="723"/>
        <w:gridCol w:w="2430"/>
        <w:gridCol w:w="2430"/>
        <w:gridCol w:w="2474"/>
        <w:gridCol w:w="149"/>
        <w:gridCol w:w="149"/>
        <w:gridCol w:w="213"/>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6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3">
              <w:r>
                <w:rPr>
                  <w:rStyle w:val="InternetLink"/>
                  <w:rFonts w:ascii="Times New Roman;sans-serif" w:hAnsi="Times New Roman;sans-serif"/>
                  <w:b w:val="false"/>
                  <w:color w:val="3051F2"/>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13">
              <w:r>
                <w:rPr>
                  <w:rStyle w:val="InternetLink"/>
                  <w:rFonts w:ascii="Times New Roman;sans-serif" w:hAnsi="Times New Roman;sans-serif"/>
                  <w:b w:val="false"/>
                  <w:color w:val="3051F2"/>
                  <w:sz w:val="18"/>
                  <w:u w:val="single"/>
                </w:rPr>
                <w:t>2</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16">
              <w:r>
                <w:rPr>
                  <w:rStyle w:val="InternetLink"/>
                  <w:rFonts w:ascii="Times New Roman;sans-serif" w:hAnsi="Times New Roman;sans-serif"/>
                  <w:b/>
                  <w:strike w:val="false"/>
                  <w:dstrike w:val="false"/>
                  <w:color w:val="000080"/>
                  <w:sz w:val="20"/>
                  <w:u w:val="single"/>
                  <w:effect w:val="none"/>
                </w:rPr>
                <w:t xml:space="preserve">PART I. </w:t>
              </w:r>
            </w:hyperlink>
            <w:hyperlink w:anchor="i5b21a39c1c8d4564937ff60d5a6e85a8_16">
              <w:r>
                <w:rPr>
                  <w:rStyle w:val="InternetLink"/>
                  <w:rFonts w:ascii="Times New Roman;sans-serif" w:hAnsi="Times New Roman;sans-serif"/>
                  <w:b/>
                  <w:strike w:val="false"/>
                  <w:dstrike w:val="false"/>
                  <w:color w:val="000080"/>
                  <w:sz w:val="20"/>
                  <w:u w:val="single"/>
                  <w:effect w:val="non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9">
              <w:r>
                <w:rPr>
                  <w:rStyle w:val="InternetLink"/>
                  <w:rFonts w:ascii="Times New Roman;sans-serif" w:hAnsi="Times New Roman;sans-serif"/>
                  <w:b w:val="false"/>
                  <w:strike w:val="false"/>
                  <w:dstrike w:val="false"/>
                  <w:color w:val="000000"/>
                  <w:sz w:val="20"/>
                  <w:u w:val="none"/>
                  <w:effect w:val="none"/>
                </w:rPr>
                <w:t>Item 1</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9">
              <w:r>
                <w:rPr>
                  <w:rStyle w:val="InternetLink"/>
                  <w:rFonts w:ascii="Times New Roman;sans-serif" w:hAnsi="Times New Roman;sans-serif"/>
                  <w:b w:val="false"/>
                  <w:color w:val="3051F2"/>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19">
              <w:r>
                <w:rPr>
                  <w:rStyle w:val="InternetLink"/>
                  <w:rFonts w:ascii="Times New Roman;sans-serif" w:hAnsi="Times New Roman;sans-serif"/>
                  <w:b w:val="false"/>
                  <w:color w:val="3051F2"/>
                  <w:sz w:val="18"/>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22">
              <w:r>
                <w:rPr>
                  <w:rStyle w:val="InternetLink"/>
                  <w:rFonts w:ascii="Times New Roman;sans-serif" w:hAnsi="Times New Roman;sans-serif"/>
                  <w:b w:val="false"/>
                  <w:color w:val="3051F2"/>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22">
              <w:r>
                <w:rPr>
                  <w:rStyle w:val="InternetLink"/>
                  <w:rFonts w:ascii="Times New Roman;sans-serif" w:hAnsi="Times New Roman;sans-serif"/>
                  <w:b w:val="false"/>
                  <w:color w:val="3051F2"/>
                  <w:sz w:val="18"/>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25">
              <w:r>
                <w:rPr>
                  <w:rStyle w:val="InternetLink"/>
                  <w:rFonts w:ascii="Times New Roman;sans-serif" w:hAnsi="Times New Roman;sans-serif"/>
                  <w:b w:val="false"/>
                  <w:color w:val="3051F2"/>
                  <w:sz w:val="20"/>
                  <w:u w:val="single"/>
                </w:rPr>
                <w:t>Condensed Consolidated Statements of Operations and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25">
              <w:r>
                <w:rPr>
                  <w:rStyle w:val="InternetLink"/>
                  <w:rFonts w:ascii="Times New Roman;sans-serif" w:hAnsi="Times New Roman;sans-serif"/>
                  <w:b w:val="false"/>
                  <w:color w:val="3051F2"/>
                  <w:sz w:val="18"/>
                  <w:u w:val="single"/>
                </w:rPr>
                <w:t>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28">
              <w:r>
                <w:rPr>
                  <w:rStyle w:val="InternetLink"/>
                  <w:rFonts w:ascii="Times New Roman;sans-serif" w:hAnsi="Times New Roman;sans-serif"/>
                  <w:b w:val="false"/>
                  <w:color w:val="3051F2"/>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28">
              <w:r>
                <w:rPr>
                  <w:rStyle w:val="InternetLink"/>
                  <w:rFonts w:ascii="Times New Roman;sans-serif" w:hAnsi="Times New Roman;sans-serif"/>
                  <w:b w:val="false"/>
                  <w:color w:val="3051F2"/>
                  <w:sz w:val="18"/>
                  <w:u w:val="single"/>
                </w:rPr>
                <w:t>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31">
              <w:r>
                <w:rPr>
                  <w:rStyle w:val="InternetLink"/>
                  <w:rFonts w:ascii="Times New Roman;sans-serif" w:hAnsi="Times New Roman;sans-serif"/>
                  <w:b w:val="false"/>
                  <w:color w:val="3051F2"/>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31">
              <w:r>
                <w:rPr>
                  <w:rStyle w:val="InternetLink"/>
                  <w:rFonts w:ascii="Times New Roman;sans-serif" w:hAnsi="Times New Roman;sans-serif"/>
                  <w:b w:val="false"/>
                  <w:color w:val="3051F2"/>
                  <w:sz w:val="18"/>
                  <w:u w:val="single"/>
                </w:rPr>
                <w:t>7</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34">
              <w:r>
                <w:rPr>
                  <w:rStyle w:val="InternetLink"/>
                  <w:rFonts w:ascii="Times New Roman;sans-serif" w:hAnsi="Times New Roman;sans-serif"/>
                  <w:b w:val="false"/>
                  <w:color w:val="3051F2"/>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34">
              <w:r>
                <w:rPr>
                  <w:rStyle w:val="InternetLink"/>
                  <w:rFonts w:ascii="Times New Roman;sans-serif" w:hAnsi="Times New Roman;sans-serif"/>
                  <w:b w:val="false"/>
                  <w:color w:val="3051F2"/>
                  <w:sz w:val="18"/>
                  <w:u w:val="single"/>
                </w:rPr>
                <w:t>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64">
              <w:r>
                <w:rPr>
                  <w:rStyle w:val="InternetLink"/>
                  <w:rFonts w:ascii="Times New Roman;sans-serif" w:hAnsi="Times New Roman;sans-serif"/>
                  <w:b w:val="false"/>
                  <w:strike w:val="false"/>
                  <w:dstrike w:val="false"/>
                  <w:color w:val="000000"/>
                  <w:sz w:val="20"/>
                  <w:u w:val="none"/>
                  <w:effect w:val="none"/>
                </w:rPr>
                <w:t>Item 2</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64">
              <w:r>
                <w:rPr>
                  <w:rStyle w:val="InternetLink"/>
                  <w:rFonts w:ascii="Times New Roman;sans-serif" w:hAnsi="Times New Roman;sans-serif"/>
                  <w:b w:val="false"/>
                  <w:color w:val="3051F2"/>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64">
              <w:r>
                <w:rPr>
                  <w:rStyle w:val="InternetLink"/>
                  <w:rFonts w:ascii="Times New Roman;sans-serif" w:hAnsi="Times New Roman;sans-serif"/>
                  <w:b w:val="false"/>
                  <w:color w:val="3051F2"/>
                  <w:sz w:val="18"/>
                  <w:u w:val="single"/>
                </w:rPr>
                <w:t>20</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67">
              <w:r>
                <w:rPr>
                  <w:rStyle w:val="InternetLink"/>
                  <w:rFonts w:ascii="Times New Roman;sans-serif" w:hAnsi="Times New Roman;sans-serif"/>
                  <w:b w:val="false"/>
                  <w:color w:val="3051F2"/>
                  <w:sz w:val="20"/>
                  <w:u w:val="singl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67">
              <w:r>
                <w:rPr>
                  <w:rStyle w:val="InternetLink"/>
                  <w:rFonts w:ascii="Times New Roman;sans-serif" w:hAnsi="Times New Roman;sans-serif"/>
                  <w:b w:val="false"/>
                  <w:color w:val="3051F2"/>
                  <w:sz w:val="18"/>
                  <w:u w:val="single"/>
                </w:rPr>
                <w:t>20</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70">
              <w:r>
                <w:rPr>
                  <w:rStyle w:val="InternetLink"/>
                  <w:rFonts w:ascii="Times New Roman;sans-serif" w:hAnsi="Times New Roman;sans-serif"/>
                  <w:b w:val="false"/>
                  <w:color w:val="3051F2"/>
                  <w:sz w:val="20"/>
                  <w:u w:val="single"/>
                </w:rPr>
                <w:t>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70">
              <w:r>
                <w:rPr>
                  <w:rStyle w:val="InternetLink"/>
                  <w:rFonts w:ascii="Times New Roman;sans-serif" w:hAnsi="Times New Roman;sans-serif"/>
                  <w:b w:val="false"/>
                  <w:color w:val="3051F2"/>
                  <w:sz w:val="18"/>
                  <w:u w:val="single"/>
                </w:rPr>
                <w:t>23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73">
              <w:r>
                <w:rPr>
                  <w:rStyle w:val="InternetLink"/>
                  <w:rFonts w:ascii="Times New Roman;sans-serif" w:hAnsi="Times New Roman;sans-serif"/>
                  <w:b w:val="false"/>
                  <w:color w:val="3051F2"/>
                  <w:sz w:val="20"/>
                  <w:u w:val="single"/>
                </w:rPr>
                <w:t>Liquidity and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73">
              <w:r>
                <w:rPr>
                  <w:rStyle w:val="InternetLink"/>
                  <w:rFonts w:ascii="Times New Roman;sans-serif" w:hAnsi="Times New Roman;sans-serif"/>
                  <w:b w:val="false"/>
                  <w:color w:val="3051F2"/>
                  <w:sz w:val="18"/>
                  <w:u w:val="single"/>
                </w:rPr>
                <w:t>31</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76">
              <w:r>
                <w:rPr>
                  <w:rStyle w:val="InternetLink"/>
                  <w:rFonts w:ascii="Times New Roman;sans-serif" w:hAnsi="Times New Roman;sans-serif"/>
                  <w:b w:val="false"/>
                  <w:color w:val="3051F2"/>
                  <w:sz w:val="20"/>
                  <w:u w:val="single"/>
                </w:rPr>
                <w:t>Critical Accounting Policies and Estimates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76">
              <w:r>
                <w:rPr>
                  <w:rStyle w:val="InternetLink"/>
                  <w:rFonts w:ascii="Times New Roman;sans-serif" w:hAnsi="Times New Roman;sans-serif"/>
                  <w:b w:val="false"/>
                  <w:color w:val="3051F2"/>
                  <w:sz w:val="18"/>
                  <w:u w:val="single"/>
                </w:rPr>
                <w:t>33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79">
              <w:r>
                <w:rPr>
                  <w:rStyle w:val="InternetLink"/>
                  <w:rFonts w:ascii="Times New Roman;sans-serif" w:hAnsi="Times New Roman;sans-serif"/>
                  <w:b w:val="false"/>
                  <w:color w:val="3051F2"/>
                  <w:sz w:val="20"/>
                  <w:u w:val="single"/>
                </w:rPr>
                <w:t>Recent Accounting Pronouncements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79">
              <w:r>
                <w:rPr>
                  <w:rStyle w:val="InternetLink"/>
                  <w:rFonts w:ascii="Times New Roman;sans-serif" w:hAnsi="Times New Roman;sans-serif"/>
                  <w:b w:val="false"/>
                  <w:color w:val="3051F2"/>
                  <w:sz w:val="18"/>
                  <w:u w:val="single"/>
                </w:rPr>
                <w:t>33</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82">
              <w:r>
                <w:rPr>
                  <w:rStyle w:val="InternetLink"/>
                  <w:rFonts w:ascii="Times New Roman;sans-serif" w:hAnsi="Times New Roman;sans-serif"/>
                  <w:b w:val="false"/>
                  <w:strike w:val="false"/>
                  <w:dstrike w:val="false"/>
                  <w:color w:val="000000"/>
                  <w:sz w:val="20"/>
                  <w:u w:val="none"/>
                  <w:effect w:val="none"/>
                </w:rPr>
                <w:t>Item 3</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82">
              <w:r>
                <w:rPr>
                  <w:rStyle w:val="InternetLink"/>
                  <w:rFonts w:ascii="Times New Roman;sans-serif" w:hAnsi="Times New Roman;sans-serif"/>
                  <w:b w:val="false"/>
                  <w:color w:val="3051F2"/>
                  <w:sz w:val="20"/>
                  <w:u w:val="single"/>
                </w:rPr>
                <w:t>Quantitative and Qualitative Disclosure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82">
              <w:r>
                <w:rPr>
                  <w:rStyle w:val="InternetLink"/>
                  <w:rFonts w:ascii="Times New Roman;sans-serif" w:hAnsi="Times New Roman;sans-serif"/>
                  <w:b w:val="false"/>
                  <w:color w:val="3051F2"/>
                  <w:sz w:val="18"/>
                  <w:u w:val="single"/>
                </w:rPr>
                <w:t>34</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85">
              <w:r>
                <w:rPr>
                  <w:rStyle w:val="InternetLink"/>
                  <w:rFonts w:ascii="Times New Roman;sans-serif" w:hAnsi="Times New Roman;sans-serif"/>
                  <w:b w:val="false"/>
                  <w:strike w:val="false"/>
                  <w:dstrike w:val="false"/>
                  <w:color w:val="000000"/>
                  <w:sz w:val="20"/>
                  <w:u w:val="none"/>
                  <w:effect w:val="none"/>
                </w:rPr>
                <w:t>Item 4</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85">
              <w:r>
                <w:rPr>
                  <w:rStyle w:val="InternetLink"/>
                  <w:rFonts w:ascii="Times New Roman;sans-serif" w:hAnsi="Times New Roman;sans-serif"/>
                  <w:b w:val="false"/>
                  <w:color w:val="3051F2"/>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85">
              <w:r>
                <w:rPr>
                  <w:rStyle w:val="InternetLink"/>
                  <w:rFonts w:ascii="Times New Roman;sans-serif" w:hAnsi="Times New Roman;sans-serif"/>
                  <w:b w:val="false"/>
                  <w:color w:val="3051F2"/>
                  <w:sz w:val="18"/>
                  <w:u w:val="single"/>
                </w:rPr>
                <w:t>35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88">
              <w:r>
                <w:rPr>
                  <w:rStyle w:val="InternetLink"/>
                  <w:rFonts w:ascii="Times New Roman;sans-serif" w:hAnsi="Times New Roman;sans-serif"/>
                  <w:b/>
                  <w:strike w:val="false"/>
                  <w:dstrike w:val="false"/>
                  <w:color w:val="000080"/>
                  <w:sz w:val="20"/>
                  <w:u w:val="single"/>
                  <w:effect w:val="none"/>
                </w:rPr>
                <w:t xml:space="preserve">PART II. </w:t>
              </w:r>
            </w:hyperlink>
            <w:hyperlink w:anchor="i5b21a39c1c8d4564937ff60d5a6e85a8_88">
              <w:r>
                <w:rPr>
                  <w:rStyle w:val="InternetLink"/>
                  <w:rFonts w:ascii="Times New Roman;sans-serif" w:hAnsi="Times New Roman;sans-serif"/>
                  <w:b/>
                  <w:strike w:val="false"/>
                  <w:dstrike w:val="false"/>
                  <w:color w:val="000080"/>
                  <w:sz w:val="20"/>
                  <w:u w:val="singl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91">
              <w:r>
                <w:rPr>
                  <w:rStyle w:val="InternetLink"/>
                  <w:rFonts w:ascii="Times New Roman;sans-serif" w:hAnsi="Times New Roman;sans-serif"/>
                  <w:b w:val="false"/>
                  <w:strike w:val="false"/>
                  <w:dstrike w:val="false"/>
                  <w:color w:val="000000"/>
                  <w:sz w:val="20"/>
                  <w:u w:val="none"/>
                  <w:effect w:val="none"/>
                </w:rPr>
                <w:t>Item 1</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91">
              <w:r>
                <w:rPr>
                  <w:rStyle w:val="InternetLink"/>
                  <w:rFonts w:ascii="Times New Roman;sans-serif" w:hAnsi="Times New Roman;sans-serif"/>
                  <w:b w:val="false"/>
                  <w:color w:val="3051F2"/>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91">
              <w:r>
                <w:rPr>
                  <w:rStyle w:val="InternetLink"/>
                  <w:rFonts w:ascii="Times New Roman;sans-serif" w:hAnsi="Times New Roman;sans-serif"/>
                  <w:b w:val="false"/>
                  <w:color w:val="3051F2"/>
                  <w:sz w:val="18"/>
                  <w:u w:val="single"/>
                </w:rPr>
                <w:t>36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94">
              <w:r>
                <w:rPr>
                  <w:rStyle w:val="InternetLink"/>
                  <w:rFonts w:ascii="Times New Roman;sans-serif" w:hAnsi="Times New Roman;sans-serif"/>
                  <w:b w:val="false"/>
                  <w:strike w:val="false"/>
                  <w:dstrike w:val="false"/>
                  <w:color w:val="000000"/>
                  <w:sz w:val="20"/>
                  <w:u w:val="none"/>
                  <w:effect w:val="none"/>
                </w:rPr>
                <w:t>Item 1A</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94">
              <w:r>
                <w:rPr>
                  <w:rStyle w:val="InternetLink"/>
                  <w:rFonts w:ascii="Times New Roman;sans-serif" w:hAnsi="Times New Roman;sans-serif"/>
                  <w:b w:val="false"/>
                  <w:color w:val="3051F2"/>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94">
              <w:r>
                <w:rPr>
                  <w:rStyle w:val="InternetLink"/>
                  <w:rFonts w:ascii="Times New Roman;sans-serif" w:hAnsi="Times New Roman;sans-serif"/>
                  <w:b w:val="false"/>
                  <w:color w:val="3051F2"/>
                  <w:sz w:val="18"/>
                  <w:u w:val="single"/>
                </w:rPr>
                <w:t>36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97">
              <w:r>
                <w:rPr>
                  <w:rStyle w:val="InternetLink"/>
                  <w:rFonts w:ascii="Times New Roman;sans-serif" w:hAnsi="Times New Roman;sans-serif"/>
                  <w:b w:val="false"/>
                  <w:color w:val="3051F2"/>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97">
              <w:r>
                <w:rPr>
                  <w:rStyle w:val="InternetLink"/>
                  <w:rFonts w:ascii="Times New Roman;sans-serif" w:hAnsi="Times New Roman;sans-serif"/>
                  <w:b w:val="false"/>
                  <w:color w:val="3051F2"/>
                  <w:sz w:val="18"/>
                  <w:u w:val="single"/>
                </w:rPr>
                <w:t>36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00">
              <w:r>
                <w:rPr>
                  <w:rStyle w:val="InternetLink"/>
                  <w:rFonts w:ascii="Times New Roman;sans-serif" w:hAnsi="Times New Roman;sans-serif"/>
                  <w:b w:val="false"/>
                  <w:strike w:val="false"/>
                  <w:dstrike w:val="false"/>
                  <w:color w:val="000000"/>
                  <w:sz w:val="20"/>
                  <w:u w:val="none"/>
                  <w:effect w:val="none"/>
                </w:rPr>
                <w:t>Item 3</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00">
              <w:r>
                <w:rPr>
                  <w:rStyle w:val="InternetLink"/>
                  <w:rFonts w:ascii="Times New Roman;sans-serif" w:hAnsi="Times New Roman;sans-serif"/>
                  <w:b w:val="false"/>
                  <w:color w:val="3051F2"/>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100">
              <w:r>
                <w:rPr>
                  <w:rStyle w:val="InternetLink"/>
                  <w:rFonts w:ascii="Times New Roman;sans-serif" w:hAnsi="Times New Roman;sans-serif"/>
                  <w:b w:val="false"/>
                  <w:color w:val="3051F2"/>
                  <w:sz w:val="18"/>
                  <w:u w:val="single"/>
                </w:rPr>
                <w:t>36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03">
              <w:r>
                <w:rPr>
                  <w:rStyle w:val="InternetLink"/>
                  <w:rFonts w:ascii="Times New Roman;sans-serif" w:hAnsi="Times New Roman;sans-serif"/>
                  <w:b w:val="false"/>
                  <w:color w:val="3051F2"/>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103">
              <w:r>
                <w:rPr>
                  <w:rStyle w:val="InternetLink"/>
                  <w:rFonts w:ascii="Times New Roman;sans-serif" w:hAnsi="Times New Roman;sans-serif"/>
                  <w:b w:val="false"/>
                  <w:color w:val="3051F2"/>
                  <w:sz w:val="18"/>
                  <w:u w:val="single"/>
                </w:rPr>
                <w:t>36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06">
              <w:r>
                <w:rPr>
                  <w:rStyle w:val="InternetLink"/>
                  <w:rFonts w:ascii="Times New Roman;sans-serif" w:hAnsi="Times New Roman;sans-serif"/>
                  <w:b w:val="false"/>
                  <w:strike w:val="false"/>
                  <w:dstrike w:val="false"/>
                  <w:color w:val="000000"/>
                  <w:sz w:val="20"/>
                  <w:u w:val="none"/>
                  <w:effect w:val="none"/>
                </w:rPr>
                <w:t>Item 5</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06">
              <w:r>
                <w:rPr>
                  <w:rStyle w:val="InternetLink"/>
                  <w:rFonts w:ascii="Times New Roman;sans-serif" w:hAnsi="Times New Roman;sans-serif"/>
                  <w:b w:val="false"/>
                  <w:color w:val="3051F2"/>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106">
              <w:r>
                <w:rPr>
                  <w:rStyle w:val="InternetLink"/>
                  <w:rFonts w:ascii="Times New Roman;sans-serif" w:hAnsi="Times New Roman;sans-serif"/>
                  <w:b w:val="false"/>
                  <w:color w:val="3051F2"/>
                  <w:sz w:val="18"/>
                  <w:u w:val="single"/>
                </w:rPr>
                <w:t>36</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09">
              <w:r>
                <w:rPr>
                  <w:rStyle w:val="InternetLink"/>
                  <w:rFonts w:ascii="Times New Roman;sans-serif" w:hAnsi="Times New Roman;sans-serif"/>
                  <w:b w:val="false"/>
                  <w:strike w:val="false"/>
                  <w:dstrike w:val="false"/>
                  <w:color w:val="000000"/>
                  <w:sz w:val="20"/>
                  <w:u w:val="none"/>
                  <w:effect w:val="none"/>
                </w:rPr>
                <w:t>Item 6</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09">
              <w:r>
                <w:rPr>
                  <w:rStyle w:val="InternetLink"/>
                  <w:rFonts w:ascii="Times New Roman;sans-serif" w:hAnsi="Times New Roman;sans-serif"/>
                  <w:b w:val="false"/>
                  <w:color w:val="3051F2"/>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109">
              <w:r>
                <w:rPr>
                  <w:rStyle w:val="InternetLink"/>
                  <w:rFonts w:ascii="Times New Roman;sans-serif" w:hAnsi="Times New Roman;sans-serif"/>
                  <w:b w:val="false"/>
                  <w:color w:val="3051F2"/>
                  <w:sz w:val="18"/>
                  <w:u w:val="single"/>
                </w:rPr>
                <w:t>38</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1a39c1c8d4564937ff60d5a6e85a8_112">
              <w:r>
                <w:rPr>
                  <w:rStyle w:val="InternetLink"/>
                  <w:rFonts w:ascii="Times New Roman;sans-serif" w:hAnsi="Times New Roman;sans-serif"/>
                  <w:b w:val="false"/>
                  <w:color w:val="0E32E1"/>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21a39c1c8d4564937ff60d5a6e85a8_112">
              <w:r>
                <w:rPr>
                  <w:rStyle w:val="InternetLink"/>
                  <w:rFonts w:ascii="Times New Roman;sans-serif" w:hAnsi="Times New Roman;sans-serif"/>
                  <w:b w:val="false"/>
                  <w:color w:val="3051F2"/>
                  <w:sz w:val="18"/>
                  <w:u w:val="single"/>
                </w:rPr>
                <w:t>39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Certain statements contained in this Quarterly Report on Form 10-Q ("Form 10-Q" or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and the sufficiency of our cash balances, working capital and cash generated from operating, investing and financing activities for our future liquidity and capital resource needs.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and elsewhere in our Annual Report on Form 10-K for the fiscal year ended December 31, 2022, and as described in other subsequent reports we file with the United States ("U.S.") Securities and Exchange Commission (the "SEC"), including this report. We encourage you to read this report and our other filings with the SEC carefully. Moreover, we operate in a very competitive and rapidly changing environment and new risks emerge from time to time.</w:t>
      </w:r>
    </w:p>
    <w:p>
      <w:pPr>
        <w:pStyle w:val="TextBody"/>
        <w:bidi w:val="0"/>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pStyle w:val="TextBody"/>
        <w:bidi w:val="0"/>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As used in this report, references to "Grocery Outlet," "the Company," "registrant," "we," "us" and "our," refer to Grocery Outlet Holding Corp. and its consolidated subsidiary unless otherwise indicated or the context requires otherwise.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Website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statements for our annual meetings of stockholders are available, free of charge, on our website as soon as practicable after we file the reports with the SEC.</w:t>
      </w:r>
    </w:p>
    <w:p>
      <w:pPr>
        <w:pStyle w:val="TextBody"/>
        <w:bidi w:val="0"/>
        <w:spacing w:before="200" w:after="283"/>
        <w:ind w:left="0" w:right="0" w:firstLine="58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06"/>
        <w:gridCol w:w="2281"/>
        <w:gridCol w:w="2253"/>
        <w:gridCol w:w="211"/>
        <w:gridCol w:w="976"/>
        <w:gridCol w:w="109"/>
        <w:gridCol w:w="109"/>
        <w:gridCol w:w="109"/>
        <w:gridCol w:w="109"/>
        <w:gridCol w:w="211"/>
        <w:gridCol w:w="976"/>
        <w:gridCol w:w="155"/>
      </w:tblGrid>
      <w:tr>
        <w:trPr/>
        <w:tc>
          <w:tcPr>
            <w:tcW w:w="270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receivables and current portion of independent operator notes, net of allowance $5,024 and $2,238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accounts receivable, net of allowance $77 and $7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notes and receivables, net of allowance $11,351 and $12,509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1,662,190 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 500,000,000 shares authorized; 99,338,790 and 97,674,356 shares issued and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 par value $0.001 per share, 50,000,000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975" w:type="dxa"/>
        <w:jc w:val="center"/>
        <w:tblInd w:w="0" w:type="dxa"/>
        <w:tblLayout w:type="fixed"/>
        <w:tblCellMar>
          <w:top w:w="28" w:type="dxa"/>
          <w:left w:w="28" w:type="dxa"/>
          <w:bottom w:w="28" w:type="dxa"/>
          <w:right w:w="28" w:type="dxa"/>
        </w:tblCellMar>
      </w:tblPr>
      <w:tblGrid>
        <w:gridCol w:w="1677"/>
        <w:gridCol w:w="1110"/>
        <w:gridCol w:w="1128"/>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GROCERY OUTLET HOLDING CORP.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27"/>
        <w:gridCol w:w="523"/>
        <w:gridCol w:w="524"/>
        <w:gridCol w:w="540"/>
        <w:gridCol w:w="541"/>
        <w:gridCol w:w="196"/>
        <w:gridCol w:w="109"/>
        <w:gridCol w:w="109"/>
        <w:gridCol w:w="109"/>
        <w:gridCol w:w="214"/>
        <w:gridCol w:w="366"/>
        <w:gridCol w:w="111"/>
        <w:gridCol w:w="109"/>
        <w:gridCol w:w="109"/>
        <w:gridCol w:w="109"/>
        <w:gridCol w:w="910"/>
        <w:gridCol w:w="109"/>
        <w:gridCol w:w="109"/>
        <w:gridCol w:w="109"/>
        <w:gridCol w:w="216"/>
        <w:gridCol w:w="849"/>
        <w:gridCol w:w="112"/>
        <w:gridCol w:w="109"/>
        <w:gridCol w:w="109"/>
        <w:gridCol w:w="109"/>
        <w:gridCol w:w="220"/>
        <w:gridCol w:w="862"/>
        <w:gridCol w:w="113"/>
        <w:gridCol w:w="109"/>
        <w:gridCol w:w="109"/>
        <w:gridCol w:w="109"/>
        <w:gridCol w:w="211"/>
        <w:gridCol w:w="976"/>
        <w:gridCol w:w="159"/>
      </w:tblGrid>
      <w:tr>
        <w:trPr/>
        <w:tc>
          <w:tcPr>
            <w:tcW w:w="92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673" w:type="dxa"/>
            <w:gridSpan w:val="6"/>
            <w:tcBorders/>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97,674,356 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98,285,804 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 net of shares withheld for employee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and comprehensive income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July 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98,773,249 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300,718 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 net of shares withheld for employee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99,338,790 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875,134 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327,858 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1,203,091 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GROCERY OUTLET HOLDING CORP.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22"/>
        <w:gridCol w:w="463"/>
        <w:gridCol w:w="465"/>
        <w:gridCol w:w="540"/>
        <w:gridCol w:w="541"/>
        <w:gridCol w:w="196"/>
        <w:gridCol w:w="109"/>
        <w:gridCol w:w="109"/>
        <w:gridCol w:w="109"/>
        <w:gridCol w:w="214"/>
        <w:gridCol w:w="366"/>
        <w:gridCol w:w="111"/>
        <w:gridCol w:w="109"/>
        <w:gridCol w:w="109"/>
        <w:gridCol w:w="109"/>
        <w:gridCol w:w="951"/>
        <w:gridCol w:w="109"/>
        <w:gridCol w:w="109"/>
        <w:gridCol w:w="109"/>
        <w:gridCol w:w="223"/>
        <w:gridCol w:w="873"/>
        <w:gridCol w:w="115"/>
        <w:gridCol w:w="109"/>
        <w:gridCol w:w="109"/>
        <w:gridCol w:w="109"/>
        <w:gridCol w:w="229"/>
        <w:gridCol w:w="899"/>
        <w:gridCol w:w="118"/>
        <w:gridCol w:w="109"/>
        <w:gridCol w:w="109"/>
        <w:gridCol w:w="109"/>
        <w:gridCol w:w="211"/>
        <w:gridCol w:w="976"/>
        <w:gridCol w:w="157"/>
      </w:tblGrid>
      <w:tr>
        <w:trPr/>
        <w:tc>
          <w:tcPr>
            <w:tcW w:w="92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671" w:type="dxa"/>
            <w:gridSpan w:val="6"/>
            <w:tcBorders/>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96,144,433 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1,009,272 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2,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96,281,188 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July 2, 2022</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96,846,980 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827,451 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229,143 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October 1, 2022</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97,228,838 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838,577 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246,638 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1,085,312 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383" w:type="dxa"/>
        <w:jc w:val="center"/>
        <w:tblInd w:w="0" w:type="dxa"/>
        <w:tblLayout w:type="fixed"/>
        <w:tblCellMar>
          <w:top w:w="28" w:type="dxa"/>
          <w:left w:w="28" w:type="dxa"/>
          <w:bottom w:w="28" w:type="dxa"/>
          <w:right w:w="28" w:type="dxa"/>
        </w:tblCellMar>
      </w:tblPr>
      <w:tblGrid>
        <w:gridCol w:w="2429"/>
        <w:gridCol w:w="2138"/>
        <w:gridCol w:w="2152"/>
        <w:gridCol w:w="211"/>
        <w:gridCol w:w="826"/>
        <w:gridCol w:w="109"/>
        <w:gridCol w:w="109"/>
        <w:gridCol w:w="109"/>
        <w:gridCol w:w="109"/>
        <w:gridCol w:w="211"/>
        <w:gridCol w:w="826"/>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issuance costs and debt discounts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debt extinguishment and modification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accounts receivable reserves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Independent operator and other 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Merchandise 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and other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 accrued compensation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139,860 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Advances to independent operators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advances from independent operators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sales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intangible assets and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insurance recoveries -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(99,227)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withholding related to net settlement of employee share-based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senior term loan due 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on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on senior term loan due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on senior term loan due 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on finance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Debt issuance costs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(73,441)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107,277 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Summary of Significant Accounting Policies</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Description of Business </w:t>
      </w:r>
      <w:r>
        <w:rPr>
          <w:color w:val="000000"/>
        </w:rPr>
        <w:t xml:space="preserve">— </w:t>
      </w:r>
      <w:r>
        <w:rPr>
          <w:rFonts w:ascii="Times New Roman;sans-serif" w:hAnsi="Times New Roman;sans-serif"/>
          <w:b w:val="false"/>
          <w:color w:val="000000"/>
          <w:sz w:val="20"/>
        </w:rPr>
        <w:t>Based in Emeryville, California, and incorporated in Delaware in 2014, Grocery Outlet Holding Corp. (together with its wholly owned subsidiary, "Grocery Outlet," "we," or the "Company") is a high-growth, extreme value retailer of quality, name-brand consumables and fresh products sold through a network of independently operated stores. Effective July 12, 2023, subsidiaries Globe Intermediate Corp., GOBP Holdings, Inc. and GOBP Midco, Inc. were merged with and into Grocery Outlet Holding Corp. As of September 30, 2023, we had 455 stores throughout California, Washington, Oregon, Pennsylvania, Idaho, Nevada, Maryland and New Jersey.</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Basis of Presentation </w:t>
      </w:r>
      <w:r>
        <w:rPr>
          <w:color w:val="000000"/>
        </w:rPr>
        <w:t>— </w:t>
      </w:r>
      <w:r>
        <w:rPr>
          <w:rFonts w:ascii="Times New Roman;sans-serif" w:hAnsi="Times New Roman;sans-serif"/>
          <w:b w:val="false"/>
          <w:color w:val="000000"/>
          <w:sz w:val="20"/>
        </w:rPr>
        <w:t xml:space="preserve">The accompanying unaudited condensed consolidated financial statements have been prepared in accordance with accounting principles generally accepted in the United States of America ("GAAP") and the applicable rules and regulations of the United States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the fiscal year ended December 31, 2022 (the "2022 Form 10-K"). The condensed consolidated balance sheet as of December 31, 2022 included herein has been derived from those audited consolidated financial statements.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include the accounts of Grocery Outlet Holding Corp. and its wholly owned subsidiary.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 Beginning with the first quarter of fiscal 2023, certain prior period amounts in the condensed consolidated statements of operations and comprehensive income have been reclassified to conform to the current period presentation. Specifically, in order to enhance the comparability of our results with our peers, depreciation and amortization expenses and share-based compensation expenses are now included in selling, general and administrative expenses. The reclassification of these items had no impact on net income, earnings per share, or retained earnings in the current or prior periods.</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Use of Estimates </w:t>
      </w:r>
      <w:r>
        <w:rPr>
          <w:color w:val="000000"/>
        </w:rPr>
        <w:t xml:space="preserve">— </w:t>
      </w: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 We consider our accounting policy relating to long-lived asset impairment to be a significant accounting policy that involves management's estimate and judgment.</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Segment Reporting </w:t>
      </w:r>
      <w:r>
        <w:rPr>
          <w:color w:val="000000"/>
        </w:rPr>
        <w:t xml:space="preserve">— </w:t>
      </w:r>
      <w:r>
        <w:rPr>
          <w:rFonts w:ascii="Times New Roman;sans-serif" w:hAnsi="Times New Roman;sans-serif"/>
          <w:b w:val="false"/>
          <w:color w:val="000000"/>
          <w:sz w:val="20"/>
        </w:rPr>
        <w:t xml:space="preserve">We manage our business as one operating segment. In addition, all of our sales were made to customers located in the U.S. and all property and equipment is located in the U.S. </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Merchandise Inventories </w:t>
      </w:r>
      <w:r>
        <w:rPr>
          <w:color w:val="000000"/>
        </w:rPr>
        <w:t xml:space="preserve">— </w:t>
      </w:r>
      <w:r>
        <w:rPr>
          <w:rFonts w:ascii="Times New Roman;sans-serif" w:hAnsi="Times New Roman;sans-serif"/>
          <w:b w:val="false"/>
          <w:color w:val="000000"/>
          <w:sz w:val="20"/>
        </w:rPr>
        <w:t>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Leases </w:t>
      </w:r>
      <w:r>
        <w:rPr>
          <w:color w:val="000000"/>
        </w:rPr>
        <w:t xml:space="preserve">— </w:t>
      </w:r>
      <w:r>
        <w:rPr>
          <w:rFonts w:ascii="Times New Roman;sans-serif" w:hAnsi="Times New Roman;sans-serif"/>
          <w:b w:val="false"/>
          <w:color w:val="000000"/>
          <w:sz w:val="20"/>
        </w:rPr>
        <w:t>We determine if an arrangement is a lease at inception. Operating leases are included in operating lease right-of-use assets, current lease liabilities, and long-term lease liabilities in our condensed consolidated balance sheets. Finance leases are included in other assets, current lease liabilities, and long-term lease liabilities in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lease retail facilities for store locations, distribution centers, office space and equipment and account for these leases as operating leases. We account for one retail store lease and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Fair Value Measurements </w:t>
      </w:r>
      <w:r>
        <w:rPr>
          <w:color w:val="000000"/>
        </w:rPr>
        <w:t xml:space="preserve">— </w:t>
      </w:r>
      <w:r>
        <w:rPr>
          <w:rFonts w:ascii="Times New Roman;sans-serif" w:hAnsi="Times New Roman;sans-serif"/>
          <w:b w:val="false"/>
          <w:color w:val="000000"/>
          <w:sz w:val="20"/>
        </w:rPr>
        <w:t xml:space="preserve">Fair value is defined as the exchange price, or exit price, representing the amount that would be received to sell an 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 </w:t>
      </w:r>
    </w:p>
    <w:p>
      <w:pPr>
        <w:pStyle w:val="TextBody"/>
        <w:bidi w:val="0"/>
        <w:spacing w:lineRule="auto" w:line="288" w:before="120" w:after="283"/>
        <w:ind w:left="0" w:right="0" w:hanging="360"/>
        <w:jc w:val="both"/>
        <w:rPr/>
      </w:pPr>
      <w:r>
        <w:rPr>
          <w:rFonts w:ascii="Times New Roman;sans-serif" w:hAnsi="Times New Roman;sans-serif"/>
          <w:b/>
          <w:color w:val="000000"/>
          <w:sz w:val="20"/>
        </w:rPr>
        <w:t xml:space="preserve">Level 1 </w:t>
      </w:r>
      <w:r>
        <w:rPr>
          <w:color w:val="000000"/>
        </w:rPr>
        <w:t xml:space="preserve">— </w:t>
      </w:r>
      <w:r>
        <w:rPr>
          <w:rFonts w:ascii="Times New Roman;sans-serif" w:hAnsi="Times New Roman;sans-serif"/>
          <w:b w:val="false"/>
          <w:color w:val="000000"/>
          <w:sz w:val="20"/>
        </w:rPr>
        <w:t>Quoted prices in active markets for identical assets or liabilities</w:t>
      </w:r>
    </w:p>
    <w:p>
      <w:pPr>
        <w:pStyle w:val="TextBody"/>
        <w:bidi w:val="0"/>
        <w:spacing w:lineRule="auto" w:line="288" w:before="60" w:after="283"/>
        <w:ind w:left="0" w:right="0" w:hanging="360"/>
        <w:jc w:val="both"/>
        <w:rPr/>
      </w:pPr>
      <w:r>
        <w:rPr>
          <w:rFonts w:ascii="Times New Roman;sans-serif" w:hAnsi="Times New Roman;sans-serif"/>
          <w:b/>
          <w:color w:val="000000"/>
          <w:sz w:val="20"/>
        </w:rPr>
        <w:t xml:space="preserve">Level 2 </w:t>
      </w:r>
      <w:r>
        <w:rPr>
          <w:color w:val="000000"/>
        </w:rPr>
        <w:t xml:space="preserve">— </w:t>
      </w:r>
      <w:r>
        <w:rPr>
          <w:rFonts w:ascii="Times New Roman;sans-serif" w:hAnsi="Times New Roman;sans-serif"/>
          <w:b w:val="false"/>
          <w:color w:val="000000"/>
          <w:sz w:val="20"/>
        </w:rPr>
        <w:t>Quoted prices for similar assets and liabilities in active markets or inputs that are observable</w:t>
      </w:r>
    </w:p>
    <w:p>
      <w:pPr>
        <w:pStyle w:val="TextBody"/>
        <w:bidi w:val="0"/>
        <w:spacing w:lineRule="auto" w:line="288" w:before="60" w:after="283"/>
        <w:ind w:left="0" w:right="0" w:hanging="990"/>
        <w:jc w:val="both"/>
        <w:rPr/>
      </w:pPr>
      <w:r>
        <w:rPr>
          <w:rFonts w:ascii="Times New Roman;sans-serif" w:hAnsi="Times New Roman;sans-serif"/>
          <w:b/>
          <w:color w:val="000000"/>
          <w:sz w:val="20"/>
        </w:rPr>
        <w:t xml:space="preserve">Level 3 </w:t>
      </w:r>
      <w:r>
        <w:rPr>
          <w:color w:val="000000"/>
        </w:rPr>
        <w:t xml:space="preserve">— </w:t>
      </w:r>
      <w:r>
        <w:rPr>
          <w:rFonts w:ascii="Times New Roman;sans-serif" w:hAnsi="Times New Roman;sans-serif"/>
          <w:b w:val="false"/>
          <w:color w:val="000000"/>
          <w:sz w:val="20"/>
        </w:rPr>
        <w:t>Unobservable inputs in which there is little or no market data, which requires us to develop our own assumptions when pricing the financial instruments, such as cash flow modeling assumptions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assets or liabilities measured at fair value on a recurring or non-recurring basis as of September 30, 2023 or December 31, 2022. Generally, assets are recorded at fair value on a non-recurring basis as a result of impairment charges. There were no transfers of assets or liabilities between levels within the fair value hierarchy during the 39 weeks ended September 30,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assets and liabilities are carried at cost, which generally approximates their fair value, as described below:</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Cash and cash equivalents, independent operator ("IO") receivables, other accounts receivable and accounts payable </w:t>
      </w:r>
      <w:r>
        <w:rPr>
          <w:color w:val="000000"/>
        </w:rPr>
        <w:t xml:space="preserve">— </w:t>
      </w:r>
      <w:r>
        <w:rPr>
          <w:rFonts w:ascii="Times New Roman;sans-serif" w:hAnsi="Times New Roman;sans-serif"/>
          <w:b w:val="false"/>
          <w:color w:val="000000"/>
          <w:sz w:val="20"/>
        </w:rPr>
        <w:t>The carrying value of such financial instruments approximates their fair value due to factors such as their short-term nature, their variable interest rates or the effect of the related allowance for expected credit losses.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Independent operator notes receivable (net) </w:t>
      </w:r>
      <w:r>
        <w:rPr>
          <w:color w:val="000000"/>
        </w:rPr>
        <w:t xml:space="preserve">— </w:t>
      </w:r>
      <w:r>
        <w:rPr>
          <w:rFonts w:ascii="Times New Roman;sans-serif" w:hAnsi="Times New Roman;sans-serif"/>
          <w:b w:val="false"/>
          <w:color w:val="000000"/>
          <w:sz w:val="20"/>
        </w:rPr>
        <w:t>The carrying value of such financial instruments approximates their fair value due to the effect of the related allowance for expected credit losses.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the carrying amounts and estimated fair values of our significant financial liabilities that are not recorded at fair value on the condensed consolidated balance sheets (amounts in thousands):</w:t>
      </w:r>
    </w:p>
    <w:tbl>
      <w:tblPr>
        <w:tblW w:w="10205" w:type="dxa"/>
        <w:jc w:val="left"/>
        <w:tblInd w:w="0" w:type="dxa"/>
        <w:tblLayout w:type="fixed"/>
        <w:tblCellMar>
          <w:top w:w="28" w:type="dxa"/>
          <w:left w:w="28" w:type="dxa"/>
          <w:bottom w:w="28" w:type="dxa"/>
          <w:right w:w="28" w:type="dxa"/>
        </w:tblCellMar>
      </w:tblPr>
      <w:tblGrid>
        <w:gridCol w:w="825"/>
        <w:gridCol w:w="723"/>
        <w:gridCol w:w="728"/>
        <w:gridCol w:w="295"/>
        <w:gridCol w:w="1159"/>
        <w:gridCol w:w="152"/>
        <w:gridCol w:w="109"/>
        <w:gridCol w:w="109"/>
        <w:gridCol w:w="109"/>
        <w:gridCol w:w="338"/>
        <w:gridCol w:w="1328"/>
        <w:gridCol w:w="175"/>
        <w:gridCol w:w="109"/>
        <w:gridCol w:w="109"/>
        <w:gridCol w:w="109"/>
        <w:gridCol w:w="295"/>
        <w:gridCol w:w="1159"/>
        <w:gridCol w:w="152"/>
        <w:gridCol w:w="109"/>
        <w:gridCol w:w="109"/>
        <w:gridCol w:w="109"/>
        <w:gridCol w:w="333"/>
        <w:gridCol w:w="1308"/>
        <w:gridCol w:w="254"/>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Carrying Amount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Estimated Fair Value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Carrying Amount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Estimated Fair Value </w:t>
            </w:r>
            <w:r>
              <w:rPr>
                <w:rFonts w:ascii="Times New Roman;sans-serif" w:hAnsi="Times New Roman;sans-serif"/>
                <w:b/>
                <w:color w:val="000000"/>
                <w:sz w:val="13"/>
              </w:rPr>
              <w:t>(3)</w:t>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term loans (Level 2)</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383,075 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(1)The carrying amounts of our senior term loans as of September 30, 2023 and December 31, 2022 were net of unamortized debt discounts of zero and $0.6 million, respectively, and debt issuance costs of $1.7 million and $4.7 million, respectively.</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(2)The estimated fair value of our current senior term loan borrowings under our 2023 Credit Agreement, as defined in Note 3, was deemed to approximate the carrying value, excluding unamortized debt issuance costs, because the interest rate is variable with short reset periods and is reflective of the current market rate.</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(3)The estimated fair value of our prior senior term loan, as defined in Note 3, was determined based on the average quoted bid-ask prices for the prior senior term loan in an over-the-counter market on the last trading day of the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Revenue Recognition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Net Sales</w:t>
      </w:r>
      <w:r>
        <w:rPr>
          <w:color w:val="000000"/>
        </w:rPr>
        <w:t xml:space="preserve"> — </w:t>
      </w:r>
      <w:r>
        <w:rPr>
          <w:rFonts w:ascii="Times New Roman;sans-serif" w:hAnsi="Times New Roman;sans-serif"/>
          <w:b w:val="false"/>
          <w:color w:val="000000"/>
          <w:sz w:val="20"/>
        </w:rPr>
        <w:t xml:space="preserve">We recognize revenue from the sale of products at the point of sale, net of any taxes or deposits collected and remitted to governmental authorities. For e-commerce related sales 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material contract assets or receivables from contracts with customers, any revenue recognized in the current year from performance obligations satisfied in previous periods, any material performance obligations other than our gift card deferred revenue liability, or any material costs to obtain or fulfill a contract as of September 30, 2023 and December 31, 2022.</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Gift Cards</w:t>
      </w:r>
      <w:r>
        <w:rPr>
          <w:color w:val="000000"/>
        </w:rPr>
        <w:t xml:space="preserve"> — </w:t>
      </w:r>
      <w:r>
        <w:rPr>
          <w:rFonts w:ascii="Times New Roman;sans-serif" w:hAnsi="Times New Roman;sans-serif"/>
          <w:b w:val="false"/>
          <w:color w:val="000000"/>
          <w:sz w:val="20"/>
        </w:rPr>
        <w:t>We record a deferred revenue liability when a Grocery Outlet gift card is sold. Revenue related to gift cards is recognized as the gift 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$2.8 million and $3.6 million as of September 30, 2023 and December 31, 2022, respectively. Breakage amounts were immaterial for the 13 and 39 weeks ended September 30, 2023 and October 1, 2022.</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Disaggregated Revenues</w:t>
      </w:r>
      <w:r>
        <w:rPr>
          <w:color w:val="000000"/>
        </w:rPr>
        <w:t xml:space="preserve"> — </w:t>
      </w:r>
      <w:r>
        <w:rPr>
          <w:rFonts w:ascii="Times New Roman;sans-serif" w:hAnsi="Times New Roman;sans-serif"/>
          <w:b w:val="false"/>
          <w:color w:val="000000"/>
          <w:sz w:val="20"/>
        </w:rPr>
        <w:t>The following table presents net sales revenue by type of product for the periods indicated (amounts in thousands):</w:t>
      </w:r>
    </w:p>
    <w:tbl>
      <w:tblPr>
        <w:tblW w:w="7634" w:type="dxa"/>
        <w:jc w:val="left"/>
        <w:tblInd w:w="0" w:type="dxa"/>
        <w:tblLayout w:type="fixed"/>
        <w:tblCellMar>
          <w:top w:w="28" w:type="dxa"/>
          <w:left w:w="28" w:type="dxa"/>
          <w:bottom w:w="28" w:type="dxa"/>
          <w:right w:w="28" w:type="dxa"/>
        </w:tblCellMar>
      </w:tblPr>
      <w:tblGrid>
        <w:gridCol w:w="569"/>
        <w:gridCol w:w="500"/>
        <w:gridCol w:w="505"/>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Perishable </w:t>
            </w:r>
            <w:r>
              <w:rPr>
                <w:rFonts w:ascii="Times New Roman;sans-serif" w:hAnsi="Times New Roman;sans-serif"/>
                <w:b w:val="false"/>
                <w:color w:val="000000"/>
                <w:sz w:val="16"/>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Non-perishable </w:t>
            </w:r>
            <w:r>
              <w:rPr>
                <w:rFonts w:ascii="Times New Roman;sans-serif" w:hAnsi="Times New Roman;sans-serif"/>
                <w:b w:val="false"/>
                <w:color w:val="000000"/>
                <w:sz w:val="16"/>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2,647,271 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Perishable departments include dairy and deli; produce and floral; and fresh meat and seafood. </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    Non-perishable departments include non-perishable grocery; general merchandise; health and beauty care; frozen foods; and beer and wine. </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Variable Interest Entities </w:t>
      </w:r>
      <w:r>
        <w:rPr>
          <w:color w:val="000000"/>
        </w:rPr>
        <w:t xml:space="preserve">— </w:t>
      </w:r>
      <w:r>
        <w:rPr>
          <w:rFonts w:ascii="Times New Roman;sans-serif" w:hAnsi="Times New Roman;sans-serif"/>
          <w:b w:val="false"/>
          <w:color w:val="000000"/>
          <w:sz w:val="20"/>
        </w:rPr>
        <w:t xml:space="preserve">In accordance with the variable interest entities sub-section of Accounting Standards Codification ("ASC") Topic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 xml:space="preserve">, we assess at each reporting period whether we, or any consolidated entity, are considered the primary beneficiary of a variable interest entity ("VIE") and therefore required to consolidate the financial results of the VIE in our condensed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had 453, 438 and 427 stores operated by IOs as of September 30, 2023, December 31, 2022 and October 1, 2022,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The IO is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consignor of all merchandise to each IO, the aggregate net sales proceeds from merchandise sales belongs to us. Net sales related to IO stores were $991.4 million and $903.1 million for the 13 weeks ended September 30, 2023 and October 1, 2022, respectively, and $2.94 billion and $2.60 billion for the 39 weeks ended September 30, 2023 and October 1, 2022, respectively. We, in turn, pay each IO a commission based on a share of the gross profit of the store. Inventories and related net sales proceeds are our property, and we are responsible for store rent and related occupancy costs. IO commissions are expensed and included in SG&amp;A. IO commissions were $161.7 million and $136.5 million for the 13 weeks ended September 30, 2023 and October 1, 2022, respectively, and $465.1 million and $395.7 million for the 39 weeks ended September 30, 2023 and October 1, 2022, respectively. IO commissions of $22.6 million and $6.2 million were included in accrued and other current liabilities as of September 30, 2023 and December 31, 2022,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IO may fund its initial store investment from existing capital, a third-party loan or most commonly through a loan from us, as further discussed in Note 2. As collateral for IO obligations and performance, the Operator Agreement grants us the security interests in the assets owned by each IO related to the respective store. Since the total investment at risk associated with each IO is not sufficient to permit each IO to finance its activities without additional subordinated financial support, each IO is a VIE that we have a variable interest in. To determine if we are the primary beneficiary of a VIE,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its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 illustrate the lack of ultimate control over the IO. Therefore, we are not the primary beneficiary of these VIEs.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maximum exposure, in accordance with ASC Topic 810, to the IOs is generally limited to the IO notes and IO receivables due from these entities, which was $51.6 million and $48.1 million as of September 30, 2023 and December 31, 2022, respectively. See Note 2 for additional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Standards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Accounting Standards Update ("ASU") No. 2022-02</w:t>
      </w:r>
      <w:r>
        <w:rPr>
          <w:color w:val="000000"/>
        </w:rPr>
        <w:t xml:space="preserve"> — </w:t>
      </w:r>
      <w:r>
        <w:rPr>
          <w:rFonts w:ascii="Times New Roman;sans-serif" w:hAnsi="Times New Roman;sans-serif"/>
          <w:b w:val="false"/>
          <w:color w:val="000000"/>
          <w:sz w:val="20"/>
        </w:rPr>
        <w:t>In March 2022, the Financial Accounting Standards Board issued ASU No. 2022-02, Troubled Debt Restructurings and Vintage Disclosures ("ASU 2022-02"). ASU 2022-02 eliminates the accounting guidance on troubled debt restructurings for creditors in ASC Topic 310 and amends the guidance on "vintage disclosures" to require disclosure of current-period gross write-offs by year of origination. ASU 2022-02 also updates the requirements related to accounting for credit losses under ASC Topic 326 and adds enhanced disclosures for creditors with respect to loan refinancings and restructurings for borrowers experiencing financial difficulty. We adopted ASU 2022-02 beginning in the first quarter of fiscal 2023. The adoption of ASU 2022-02 had no material impact on our condensed consolidated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Recently Issued Accounting Pronouncements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recently issued accounting pronouncements are expected to have a material effect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2. Independent Operator Notes and Independent Operator Receivables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included in IO notes and IO receivables consist primarily of funds we loaned to IOs, net of estimated uncollectible amounts. IO notes, which are payable on demand and have no maturity date, typically bear interest at rates between 5.50% and 9.95%. Accrued interest receivable on IO notes is included within the "independent operator receivables and current portion of independent operator notes, net of allowance" line item on the condensed consolidated balance sheets and was $1.4 million and $0.9 million as of September 30, 2023 and December 31, 2022, respectively. There were no IO notes that were past due or on a non-accrual status due to delinquency as of September 30, 2023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2022. Notes and receivables from our IOs participating in our TCAP, as defined below, are not considered to be past due or on a non-accrual status due to delinquency and are excluded from such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TCAP — Includes the notes and receivables from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Non-TCAP </w:t>
      </w:r>
      <w:r>
        <w:rPr>
          <w:color w:val="000000"/>
        </w:rPr>
        <w:t xml:space="preserve">— </w:t>
      </w:r>
      <w:r>
        <w:rPr>
          <w:rFonts w:ascii="Times New Roman;sans-serif" w:hAnsi="Times New Roman;sans-serif"/>
          <w:b w:val="false"/>
          <w:color w:val="000000"/>
          <w:sz w:val="20"/>
        </w:rPr>
        <w:t>Includes the notes and receivables from IOs with stores that have been open for more than 18 months that are not participating in TCAP as of the end of each reporting period.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New store </w:t>
      </w:r>
      <w:r>
        <w:rPr>
          <w:color w:val="000000"/>
        </w:rPr>
        <w:t xml:space="preserve">— </w:t>
      </w:r>
      <w:r>
        <w:rPr>
          <w:rFonts w:ascii="Times New Roman;sans-serif" w:hAnsi="Times New Roman;sans-serif"/>
          <w:b w:val="false"/>
          <w:color w:val="000000"/>
          <w:sz w:val="20"/>
        </w:rPr>
        <w:t>Includes the notes and receivables from IOs with stores that have been open for less than 18 months as of the end of each reporting period, and may or may not be participating in TCAP.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without such shared risk characteristics or credit quality indicators, such as assets with unique circumstances or with delinquencies and historical losses in excess of their TCAP, non-TCAP or new store peers are evaluated on an individual basis.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Amounts due from IOs and the related allowances as of September 30, 2023 and December 31, 2022 consisted of the following (amounts in thousands)</w:t>
      </w:r>
      <w:r>
        <w:rPr>
          <w:rFonts w:ascii="Times New Roman;sans-serif" w:hAnsi="Times New Roman;sans-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706"/>
        <w:gridCol w:w="557"/>
        <w:gridCol w:w="559"/>
        <w:gridCol w:w="211"/>
        <w:gridCol w:w="721"/>
        <w:gridCol w:w="109"/>
        <w:gridCol w:w="109"/>
        <w:gridCol w:w="109"/>
        <w:gridCol w:w="109"/>
        <w:gridCol w:w="234"/>
        <w:gridCol w:w="733"/>
        <w:gridCol w:w="121"/>
        <w:gridCol w:w="109"/>
        <w:gridCol w:w="109"/>
        <w:gridCol w:w="109"/>
        <w:gridCol w:w="239"/>
        <w:gridCol w:w="867"/>
        <w:gridCol w:w="123"/>
        <w:gridCol w:w="109"/>
        <w:gridCol w:w="109"/>
        <w:gridCol w:w="109"/>
        <w:gridCol w:w="211"/>
        <w:gridCol w:w="721"/>
        <w:gridCol w:w="109"/>
        <w:gridCol w:w="109"/>
        <w:gridCol w:w="109"/>
        <w:gridCol w:w="109"/>
        <w:gridCol w:w="243"/>
        <w:gridCol w:w="710"/>
        <w:gridCol w:w="125"/>
        <w:gridCol w:w="109"/>
        <w:gridCol w:w="109"/>
        <w:gridCol w:w="109"/>
        <w:gridCol w:w="245"/>
        <w:gridCol w:w="840"/>
        <w:gridCol w:w="186"/>
      </w:tblGrid>
      <w:tr>
        <w:trPr/>
        <w:tc>
          <w:tcPr>
            <w:tcW w:w="70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(11,351)</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11"/>
        <w:gridCol w:w="537"/>
        <w:gridCol w:w="539"/>
        <w:gridCol w:w="211"/>
        <w:gridCol w:w="721"/>
        <w:gridCol w:w="109"/>
        <w:gridCol w:w="109"/>
        <w:gridCol w:w="109"/>
        <w:gridCol w:w="109"/>
        <w:gridCol w:w="233"/>
        <w:gridCol w:w="727"/>
        <w:gridCol w:w="120"/>
        <w:gridCol w:w="109"/>
        <w:gridCol w:w="109"/>
        <w:gridCol w:w="109"/>
        <w:gridCol w:w="237"/>
        <w:gridCol w:w="860"/>
        <w:gridCol w:w="122"/>
        <w:gridCol w:w="109"/>
        <w:gridCol w:w="109"/>
        <w:gridCol w:w="109"/>
        <w:gridCol w:w="211"/>
        <w:gridCol w:w="721"/>
        <w:gridCol w:w="109"/>
        <w:gridCol w:w="109"/>
        <w:gridCol w:w="109"/>
        <w:gridCol w:w="109"/>
        <w:gridCol w:w="230"/>
        <w:gridCol w:w="787"/>
        <w:gridCol w:w="119"/>
        <w:gridCol w:w="109"/>
        <w:gridCol w:w="109"/>
        <w:gridCol w:w="109"/>
        <w:gridCol w:w="244"/>
        <w:gridCol w:w="834"/>
        <w:gridCol w:w="188"/>
      </w:tblGrid>
      <w:tr>
        <w:trPr/>
        <w:tc>
          <w:tcPr>
            <w:tcW w:w="7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the IO notes and IO receivables allowance was as follows (amounts in thousands):</w:t>
      </w:r>
    </w:p>
    <w:tbl>
      <w:tblPr>
        <w:tblW w:w="9813" w:type="dxa"/>
        <w:jc w:val="left"/>
        <w:tblInd w:w="0" w:type="dxa"/>
        <w:tblLayout w:type="fixed"/>
        <w:tblCellMar>
          <w:top w:w="28" w:type="dxa"/>
          <w:left w:w="28" w:type="dxa"/>
          <w:bottom w:w="28" w:type="dxa"/>
          <w:right w:w="28" w:type="dxa"/>
        </w:tblCellMar>
      </w:tblPr>
      <w:tblGrid>
        <w:gridCol w:w="1604"/>
        <w:gridCol w:w="1406"/>
        <w:gridCol w:w="1415"/>
        <w:gridCol w:w="231"/>
        <w:gridCol w:w="790"/>
        <w:gridCol w:w="119"/>
        <w:gridCol w:w="109"/>
        <w:gridCol w:w="109"/>
        <w:gridCol w:w="109"/>
        <w:gridCol w:w="211"/>
        <w:gridCol w:w="721"/>
        <w:gridCol w:w="109"/>
        <w:gridCol w:w="109"/>
        <w:gridCol w:w="109"/>
        <w:gridCol w:w="109"/>
        <w:gridCol w:w="231"/>
        <w:gridCol w:w="790"/>
        <w:gridCol w:w="119"/>
        <w:gridCol w:w="109"/>
        <w:gridCol w:w="109"/>
        <w:gridCol w:w="109"/>
        <w:gridCol w:w="211"/>
        <w:gridCol w:w="721"/>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IO notes and IO receivables reserves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provision for IO notes and IO receivables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605" cy="14605"/>
                <wp:effectExtent l="0" t="0" r="0" b="0"/>
                <wp:wrapNone/>
                <wp:docPr id="14" name="Frame1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outstanding gross balance of IO notes by fiscal year of origination and credit quality indicator as of September 30, 2023 (amounts in thousands):</w:t>
      </w:r>
    </w:p>
    <w:tbl>
      <w:tblPr>
        <w:tblW w:w="10205" w:type="dxa"/>
        <w:jc w:val="left"/>
        <w:tblInd w:w="0" w:type="dxa"/>
        <w:tblLayout w:type="fixed"/>
        <w:tblCellMar>
          <w:top w:w="28" w:type="dxa"/>
          <w:left w:w="28" w:type="dxa"/>
          <w:bottom w:w="28" w:type="dxa"/>
          <w:right w:w="28" w:type="dxa"/>
        </w:tblCellMar>
      </w:tblPr>
      <w:tblGrid>
        <w:gridCol w:w="592"/>
        <w:gridCol w:w="411"/>
        <w:gridCol w:w="414"/>
        <w:gridCol w:w="215"/>
        <w:gridCol w:w="627"/>
        <w:gridCol w:w="110"/>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7"/>
      </w:tblGrid>
      <w:tr>
        <w:trPr/>
        <w:tc>
          <w:tcPr>
            <w:tcW w:w="5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Credit Quality Indicator</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(YTD)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TCAP</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Non-TCAP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TCAP IO Notes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Notes of IOs participating in our TCAP represented 52.5% and 49.7% of total IO notes balances as of September 30, 2023 and December 31, 2022, respectively.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total of $1.0 million of IO notes were added into our TCAP during the 13 weeks ended September 30, 2023. The weighted average contractual interest rate of such IO notes was reduced from 9.95% and, as of September 30, 2023, was 5.50%. In addition, $0.4 million of IO notes were transferred from TCAP to Non-TCAP during the 13 weeks ended September 30, 2023.</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total of $4.7 million of IO notes were added into our TCAP during the 39 weeks ended September 30, 2023. The weighted average contractual interest rate of such IO notes was reduced from 9.95% and, as of September 30, 2023, was 5.50%. In addition, $2.5 million of IO notes were transferred from TCAP to Non-TCAP during the 39 weeks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Long-term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(amounts in thousands):</w:t>
      </w:r>
    </w:p>
    <w:tbl>
      <w:tblPr>
        <w:tblW w:w="8663" w:type="dxa"/>
        <w:jc w:val="left"/>
        <w:tblInd w:w="0" w:type="dxa"/>
        <w:tblLayout w:type="fixed"/>
        <w:tblCellMar>
          <w:top w:w="28" w:type="dxa"/>
          <w:left w:w="28" w:type="dxa"/>
          <w:bottom w:w="28" w:type="dxa"/>
          <w:right w:w="28" w:type="dxa"/>
        </w:tblCellMar>
      </w:tblPr>
      <w:tblGrid>
        <w:gridCol w:w="2172"/>
        <w:gridCol w:w="1905"/>
        <w:gridCol w:w="1922"/>
        <w:gridCol w:w="211"/>
        <w:gridCol w:w="826"/>
        <w:gridCol w:w="109"/>
        <w:gridCol w:w="109"/>
        <w:gridCol w:w="109"/>
        <w:gridCol w:w="109"/>
        <w:gridCol w:w="211"/>
        <w:gridCol w:w="826"/>
        <w:gridCol w:w="154"/>
      </w:tblGrid>
      <w:tr>
        <w:trPr/>
        <w:tc>
          <w:tcPr>
            <w:tcW w:w="2172"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term loan due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term loan due 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gross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debt discounts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unamortized debt discounts and debt issuance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2023 Credit Agreement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2023, we entered into a credit agreement with Bank of America, N.A., as administrative agent and collateral agent, and the other parties party thereto (the "2023 Credit Agreement"). The 2023 Credit Agreement provides for senior secured credit facilities consisting of (i) a senior secured term loan facility (the "senior term loan") in an original aggregate principal amount of $300.0 million and (ii) a senior secured revolving credit facility (the "revolving credit facility" and, together with the senior term loan, the "new credit facilities") in an aggregate principal amount of $400.0 million. The revolving credit facility includes sub-commitments for $50.0 million letters of credit and $25.0 million of swingline loans. The senior term loan was borrowed in full at closing, and $25.0 million of the revolving credit facility was borrowed at closing.</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Also on February 21, 2023, we repaid all of the outstanding indebtedness under our Prior First Lien Credit Agreement, defined below, as well as fees and expenses in connection therewith. All obligations of the Company’s subsidiaries under the Prior First Lien Credit Agreement were discharged as of such date. In connection with the closing of the 2023 Credit Agreement and repayment of the Prior First Lien Credit Agreement and in accordance with ASC Topic 470-50, Debt-Modifications and Extinguishments, we wrote off $5.1 million of previously unamortized debt issuance costs and debt discounts and incurred $0.2 million in debt modification costs, which were recorded within loss on debt extinguishment and modification for the 39 weeks ended September 30, 2023. Furthermore, a total of $4.6 million of creditor and third-party debt issuance costs were capitalized or carried over from the prior credit facilities, as defined below, and will be amortized over the term of the new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2023 Credit Agreement bear interest at a rate equal to, at our option, either (a) the base rate, which is defined as a fluctuating rate per annum equal to the greatest of (i) the federal funds rate then in effect, plus 0.50%, (ii) the prime rate then in effect and (iii) a specified Term SOFR (as defined in the 2023 Credit Agreement) rate plus 1.00%, subject to the interest rate floors set forth therein, plus an applicable margin ranging from 0.75% to 1.75% based on our Total Net Leverage Ratio (as defined in the 2023 Credit Agreement); and (b) an adjusted Term SOFR rate determined on the basis of a one, three or six month interest period, plus 0.10%, subject to the interest rate floors set forth therein, plus an applicable margin ranging from 1.75% to 2.75% based on our Total Net Leverage Ratio. As of September 30, 2023, interest on borrowings under the new credit facilities was based on one-month Term SOFR with an applicable margin of 2.00%.</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new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the term loan facility, voluntary permanent reductions of the commitments for the revolving credit facility and voluntary prepayments of indebtedness secured by liens on the collateral securing the new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of 3.00 to 1.00.</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obligations under the 2023 Credit Agreement are unconditionally guaranteed by the Company’s wholly owned restricted subsidiary, subject to certain exceptions. All obligations under the 2023 Credit Agreement, and the guarantees of such obligations, are secured, subject to permitted liens and other exceptions, by substantially all of the Company’s assets and those of the subsidiary guarantor.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requires us to make scheduled amortization payments of the senior term loan. We may voluntarily prepay the new credit facilities, in whole or in part, at any time without premium or penalty, subject to reimbursement of the lenders’ breakage and redeployment costs in applicable cases.</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Senior Term Loan due 2028</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senior term loan under our 2023 Credit Agreement matures on February 21, 2028 and had an interest rate of 7.42% as of September 30, 2023.</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$4.2 million of outstanding letters of credit and $395.8 million of remaining borrowing capacity available under the revolving credit facility, which matures on February 21, 2028. The interest rate on the revolving credit facility was 7.42% as of September 30, 2023. As discussed above, $25.0 million of the revolving credit facility was borrowed at closing. On April 21, 2023, we repaid the $25.0 million of principal on our revolving credit facility. No amounts were outstanding under the revolving credit facility as of September 30, 2023. Since the April 21, 2023 repayment, no amounts were borrowed under this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pay a quarterly commitment fee ranging from 0.15% to 0.30% on the daily unused amount of the commitment under the revolving credit facility based upon our Total Net Leverage Ratio. We are also required to pay fronting fees and other customary fees for letters of credit issued under the revolving credit facility.</w:t>
      </w:r>
    </w:p>
    <w:p>
      <w:pPr>
        <w:pStyle w:val="TextBody"/>
        <w:bidi w:val="0"/>
        <w:spacing w:lineRule="auto" w:line="288" w:before="240" w:after="283"/>
        <w:jc w:val="both"/>
        <w:rPr/>
      </w:pPr>
      <w:r>
        <w:rPr>
          <w:rFonts w:ascii="Times New Roman;sans-serif" w:hAnsi="Times New Roman;sans-serif"/>
          <w:b/>
          <w:i/>
          <w:color w:val="000000"/>
          <w:sz w:val="20"/>
        </w:rPr>
        <w:t>Prior First Lien Credit Agreement</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One of our former wholly owned subsidiaries, which has since been merged with and into Grocery Outlet Holding Corp., was the borrower under a first lien credit agreement (the "Prior First Lien Credit Agreement") with a syndicate of lenders that consisted of a $385.0 million senior term loan (the "prior senior term loan") and a revolving credit facility (the "prior revolving credit facility" and, together with the prior senior term loan, the "prior credit facilities") for an amount up to $100.0 million.</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Prior Senior Term Loan due 2025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prior senior term loan under our Prior First Lien Credit Agreement had a maturity of October 22, 2025 and had an applicable margin of 2.75% for Eurodollar loans and 1.75% for base rate loans.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we prepaid $75.0 million of principal on the prior senior term loan outstanding under our Prior First Lien Credit Agreement. In connection with the payment, we wrote off $1.3 million of previously unamortized debt issuance costs and debt discounts.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on February 21, 2023, in connection with the closing of the 2023 Credit Agreement, we repaid the remaining $385.0 million of principal on the prior senior term loan outstanding under our Prior First Lien Credit Agreement.</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Prior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prior revolving credit facility under our Prior First Lien Credit Agreement had a maturity of October 23, 2023. No amounts were outstanding under the prior revolving credit facility as of December 31, 2022 and no amounts were outstanding as of final repayment of the Prior First Lien 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required to pay a quarterly commitment fee ranging from 0.25% to 0.50% on the daily unused amount of the commitment under the prior revolving credit facility based upon the leverage ratio defined in the agreement and certain criteria specified in the agreement. We were also required to pay fronting fees and other customary fees for letters of credit issued under the prior revolving credit facility.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Debt Covenants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contains certain customary representations and warranties, subject to limitations and exceptions, and affirmative and customary covenants. The 2023 Credit Agreement contains certain covenants that, among other things, limit our ability and the ability of our restricted subsidiary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our subsidiary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3.50 to 1.00 as of the last day of each test period ending prior to the test period ending on or about December 31, 2025, and no greater than 3.25 to 1.00 as of the last day of each test period ending thereafter, subject to certain adjustments set forth in the 2023 Credit Agreement. The minimum interest coverage ratio test requires us to be in compliance with a Consolidated Interest Coverage Ratio (as defined in the 2023 Credit Agreement) no less than 1.75 to 1.00 as of the last day of each test period.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were in compliance with all applicable financial covenant requirements for our 2023 Credit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Schedule of Principal Maturities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Principal maturities of debt as of September 30, 2023 are as follows (amounts in thousands):</w:t>
      </w:r>
    </w:p>
    <w:tbl>
      <w:tblPr>
        <w:tblW w:w="3350" w:type="dxa"/>
        <w:jc w:val="left"/>
        <w:tblInd w:w="0" w:type="dxa"/>
        <w:tblLayout w:type="fixed"/>
        <w:tblCellMar>
          <w:top w:w="28" w:type="dxa"/>
          <w:left w:w="28" w:type="dxa"/>
          <w:bottom w:w="28" w:type="dxa"/>
          <w:right w:w="28" w:type="dxa"/>
        </w:tblCellMar>
      </w:tblPr>
      <w:tblGrid>
        <w:gridCol w:w="781"/>
        <w:gridCol w:w="687"/>
        <w:gridCol w:w="691"/>
        <w:gridCol w:w="211"/>
        <w:gridCol w:w="82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consisted of the following (amounts in thousands):</w:t>
      </w:r>
    </w:p>
    <w:tbl>
      <w:tblPr>
        <w:tblW w:w="9856" w:type="dxa"/>
        <w:jc w:val="left"/>
        <w:tblInd w:w="0" w:type="dxa"/>
        <w:tblLayout w:type="fixed"/>
        <w:tblCellMar>
          <w:top w:w="28" w:type="dxa"/>
          <w:left w:w="28" w:type="dxa"/>
          <w:bottom w:w="28" w:type="dxa"/>
          <w:right w:w="28" w:type="dxa"/>
        </w:tblCellMar>
      </w:tblPr>
      <w:tblGrid>
        <w:gridCol w:w="1657"/>
        <w:gridCol w:w="1452"/>
        <w:gridCol w:w="1465"/>
        <w:gridCol w:w="257"/>
        <w:gridCol w:w="750"/>
        <w:gridCol w:w="132"/>
        <w:gridCol w:w="109"/>
        <w:gridCol w:w="109"/>
        <w:gridCol w:w="109"/>
        <w:gridCol w:w="211"/>
        <w:gridCol w:w="616"/>
        <w:gridCol w:w="109"/>
        <w:gridCol w:w="109"/>
        <w:gridCol w:w="109"/>
        <w:gridCol w:w="109"/>
        <w:gridCol w:w="231"/>
        <w:gridCol w:w="790"/>
        <w:gridCol w:w="119"/>
        <w:gridCol w:w="109"/>
        <w:gridCol w:w="109"/>
        <w:gridCol w:w="109"/>
        <w:gridCol w:w="211"/>
        <w:gridCol w:w="721"/>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loans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debt discounts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on Debt Extinguishment and Modification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 consisted of the following (amounts in thousands):</w:t>
      </w:r>
    </w:p>
    <w:tbl>
      <w:tblPr>
        <w:tblW w:w="9040" w:type="dxa"/>
        <w:jc w:val="left"/>
        <w:tblInd w:w="0" w:type="dxa"/>
        <w:tblLayout w:type="fixed"/>
        <w:tblCellMar>
          <w:top w:w="28" w:type="dxa"/>
          <w:left w:w="28" w:type="dxa"/>
          <w:bottom w:w="28" w:type="dxa"/>
          <w:right w:w="28" w:type="dxa"/>
        </w:tblCellMar>
      </w:tblPr>
      <w:tblGrid>
        <w:gridCol w:w="1419"/>
        <w:gridCol w:w="1246"/>
        <w:gridCol w:w="1250"/>
        <w:gridCol w:w="331"/>
        <w:gridCol w:w="637"/>
        <w:gridCol w:w="171"/>
        <w:gridCol w:w="109"/>
        <w:gridCol w:w="109"/>
        <w:gridCol w:w="109"/>
        <w:gridCol w:w="257"/>
        <w:gridCol w:w="495"/>
        <w:gridCol w:w="133"/>
        <w:gridCol w:w="109"/>
        <w:gridCol w:w="109"/>
        <w:gridCol w:w="109"/>
        <w:gridCol w:w="257"/>
        <w:gridCol w:w="750"/>
        <w:gridCol w:w="132"/>
        <w:gridCol w:w="109"/>
        <w:gridCol w:w="109"/>
        <w:gridCol w:w="109"/>
        <w:gridCol w:w="211"/>
        <w:gridCol w:w="61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debt issuance costs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debt discounts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modification costs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Stockholders' Equity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our Board of Directors approved a share repurchase program. This program, effective November 5, 2021 and without an expiration date, authorized us to repurchase up to $100.0 million of our outstanding common stock utilizing a variety of methods including open-market purchases, accelerated share repurchase programs, privately negotiated transactions, structured repurchase transactions and repurchases under a Rule 10b5-1 plan (which would permit shares to be repurchased when we might otherwise be precluded from doing so under securities laws). Any repurchased shares are constructively retired and returned to an unissued status.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13 weeks ended September 30, 2023, we did not repurchase any shares of common stock under the share repurchase program. During the 39 weeks ended September 30, 2023, we repurchased 122,862 shares of common stock under the share repurchase program totaling $3.3 million at an average price of $26.66 per share in open-market transactions pursuant to a Rule 10b5-1 plan.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13 weeks ended October 1, 2022, we did not repurchase any shares of common stock under the share repurchase program. During the 39 weeks ended October 1, 2022, we repurchased 139,718 shares of common stock under the share repurchase program totaling $3.5 million at an average price of $24.70 per share in open-market transactions pursuant to a Rule 10b5-1 plan.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$93.3 million of repurchase authority remaining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 Share-based Awards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share-based incentive plans, refer to Note 8 of our 2022 Form 10-K.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Share-based Award Activity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under all equity incentive plans during the 39 weeks ended September 30, 2023:</w:t>
      </w:r>
    </w:p>
    <w:tbl>
      <w:tblPr>
        <w:tblW w:w="10205" w:type="dxa"/>
        <w:jc w:val="left"/>
        <w:tblInd w:w="0" w:type="dxa"/>
        <w:tblLayout w:type="fixed"/>
        <w:tblCellMar>
          <w:top w:w="28" w:type="dxa"/>
          <w:left w:w="28" w:type="dxa"/>
          <w:bottom w:w="28" w:type="dxa"/>
          <w:right w:w="28" w:type="dxa"/>
        </w:tblCellMar>
      </w:tblPr>
      <w:tblGrid>
        <w:gridCol w:w="1189"/>
        <w:gridCol w:w="1028"/>
        <w:gridCol w:w="1031"/>
        <w:gridCol w:w="486"/>
        <w:gridCol w:w="383"/>
        <w:gridCol w:w="385"/>
        <w:gridCol w:w="162"/>
        <w:gridCol w:w="162"/>
        <w:gridCol w:w="162"/>
        <w:gridCol w:w="735"/>
        <w:gridCol w:w="379"/>
        <w:gridCol w:w="381"/>
        <w:gridCol w:w="109"/>
        <w:gridCol w:w="109"/>
        <w:gridCol w:w="109"/>
        <w:gridCol w:w="458"/>
        <w:gridCol w:w="394"/>
        <w:gridCol w:w="364"/>
        <w:gridCol w:w="210"/>
        <w:gridCol w:w="210"/>
        <w:gridCol w:w="210"/>
        <w:gridCol w:w="681"/>
        <w:gridCol w:w="352"/>
        <w:gridCol w:w="516"/>
      </w:tblGrid>
      <w:tr>
        <w:trPr/>
        <w:tc>
          <w:tcPr>
            <w:tcW w:w="118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Stock Options</w:t>
            </w:r>
          </w:p>
        </w:tc>
      </w:tr>
      <w:tr>
        <w:trPr/>
        <w:tc>
          <w:tcPr>
            <w:tcW w:w="3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Exercise Price</w:t>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2022</w:t>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2,562,774</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801,635</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r>
      <w:tr>
        <w:trPr/>
        <w:tc>
          <w:tcPr>
            <w:tcW w:w="3248"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(459,466)</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(565,947)</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(8,279)</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September 30, 2023</w:t>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2,095,029</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235,688</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r>
      <w:tr>
        <w:trPr/>
        <w:tc>
          <w:tcPr>
            <w:tcW w:w="3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as of September 30, 2023</w:t>
            </w:r>
          </w:p>
        </w:tc>
        <w:tc>
          <w:tcPr>
            <w:tcW w:w="125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2,061,230</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235,688</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("RSU") activity under all equity incentive plans during the 39 weeks ended September 30, 2023:</w:t>
      </w:r>
    </w:p>
    <w:tbl>
      <w:tblPr>
        <w:tblW w:w="7196" w:type="dxa"/>
        <w:jc w:val="left"/>
        <w:tblInd w:w="0" w:type="dxa"/>
        <w:tblLayout w:type="fixed"/>
        <w:tblCellMar>
          <w:top w:w="28" w:type="dxa"/>
          <w:left w:w="28" w:type="dxa"/>
          <w:bottom w:w="28" w:type="dxa"/>
          <w:right w:w="28" w:type="dxa"/>
        </w:tblCellMar>
      </w:tblPr>
      <w:tblGrid>
        <w:gridCol w:w="1321"/>
        <w:gridCol w:w="1160"/>
        <w:gridCol w:w="1164"/>
        <w:gridCol w:w="469"/>
        <w:gridCol w:w="469"/>
        <w:gridCol w:w="471"/>
        <w:gridCol w:w="109"/>
        <w:gridCol w:w="109"/>
        <w:gridCol w:w="109"/>
        <w:gridCol w:w="390"/>
        <w:gridCol w:w="1139"/>
        <w:gridCol w:w="286"/>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Grant Date Fair Value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2022</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690,354 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525,467 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(345,573)</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September 30,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837,229 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performance-based restricted stock unit ("PSU") activity under the Grocery Outlet Holding Corp. 2019 Incentive Plan during the 39 weeks ended September 30, 2023:</w:t>
      </w:r>
    </w:p>
    <w:tbl>
      <w:tblPr>
        <w:tblW w:w="8043" w:type="dxa"/>
        <w:jc w:val="left"/>
        <w:tblInd w:w="0" w:type="dxa"/>
        <w:tblLayout w:type="fixed"/>
        <w:tblCellMar>
          <w:top w:w="28" w:type="dxa"/>
          <w:left w:w="28" w:type="dxa"/>
          <w:bottom w:w="28" w:type="dxa"/>
          <w:right w:w="28" w:type="dxa"/>
        </w:tblCellMar>
      </w:tblPr>
      <w:tblGrid>
        <w:gridCol w:w="1614"/>
        <w:gridCol w:w="1418"/>
        <w:gridCol w:w="1422"/>
        <w:gridCol w:w="488"/>
        <w:gridCol w:w="488"/>
        <w:gridCol w:w="471"/>
        <w:gridCol w:w="109"/>
        <w:gridCol w:w="109"/>
        <w:gridCol w:w="109"/>
        <w:gridCol w:w="390"/>
        <w:gridCol w:w="1139"/>
        <w:gridCol w:w="286"/>
      </w:tblGrid>
      <w:tr>
        <w:trPr/>
        <w:tc>
          <w:tcPr>
            <w:tcW w:w="16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Grant Date Fair Value</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1,331,803 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Granted </w:t>
            </w:r>
            <w:r>
              <w:rPr>
                <w:rFonts w:ascii="Times New Roman;sans-serif" w:hAnsi="Times New Roman;sans-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445,809 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 for expected performance achievement </w:t>
            </w:r>
            <w:r>
              <w:rPr>
                <w:rFonts w:ascii="Times New Roman;sans-serif" w:hAnsi="Times New Roman;sans-serif"/>
                <w:b w:val="false"/>
                <w:color w:val="000000"/>
                <w:sz w:val="13"/>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383,279 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(436,522)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Unvested balance as of September 30, 2023 </w:t>
            </w:r>
            <w:r>
              <w:rPr>
                <w:rFonts w:ascii="Times New Roman;sans-serif" w:hAnsi="Times New Roman;sans-serif"/>
                <w:b w:val="false"/>
                <w:color w:val="000000"/>
                <w:sz w:val="13"/>
              </w:rPr>
              <w:t>(3)</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1,710,439 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initial grant of PSUs based on performance target level achievement of 100%.</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the year-to-date adjustment to previously granted PSUs based on performance expectations as of September 30, 2023.</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(3)An additional 475,869 PSUs could potentially be included if the maximum performance level of 200% is reached for all PSUs outstanding as of September 30, 2023.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consisted of the following (amounts in thousands):</w:t>
      </w:r>
    </w:p>
    <w:tbl>
      <w:tblPr>
        <w:tblW w:w="8267" w:type="dxa"/>
        <w:jc w:val="left"/>
        <w:tblInd w:w="0" w:type="dxa"/>
        <w:tblLayout w:type="fixed"/>
        <w:tblCellMar>
          <w:top w:w="28" w:type="dxa"/>
          <w:left w:w="28" w:type="dxa"/>
          <w:bottom w:w="28" w:type="dxa"/>
          <w:right w:w="28" w:type="dxa"/>
        </w:tblCellMar>
      </w:tblPr>
      <w:tblGrid>
        <w:gridCol w:w="1081"/>
        <w:gridCol w:w="949"/>
        <w:gridCol w:w="955"/>
        <w:gridCol w:w="257"/>
        <w:gridCol w:w="750"/>
        <w:gridCol w:w="132"/>
        <w:gridCol w:w="109"/>
        <w:gridCol w:w="109"/>
        <w:gridCol w:w="109"/>
        <w:gridCol w:w="211"/>
        <w:gridCol w:w="616"/>
        <w:gridCol w:w="109"/>
        <w:gridCol w:w="109"/>
        <w:gridCol w:w="109"/>
        <w:gridCol w:w="109"/>
        <w:gridCol w:w="231"/>
        <w:gridCol w:w="790"/>
        <w:gridCol w:w="119"/>
        <w:gridCol w:w="109"/>
        <w:gridCol w:w="109"/>
        <w:gridCol w:w="109"/>
        <w:gridCol w:w="211"/>
        <w:gridCol w:w="721"/>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Time-based stock options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Dividends</w:t>
            </w:r>
            <w:r>
              <w:rPr>
                <w:color w:val="000000"/>
              </w:rPr>
              <w:t xml:space="preserve"> </w:t>
            </w:r>
            <w:r>
              <w:rPr>
                <w:rFonts w:ascii="Times New Roman;sans-serif" w:hAnsi="Times New Roman;sans-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pPr>
      <w:r>
        <w:rPr>
          <w:rFonts w:ascii="Times New Roman;sans-serif" w:hAnsi="Times New Roman;sans-serif"/>
          <w:b w:val="false"/>
          <w:color w:val="000000"/>
          <w:sz w:val="18"/>
          <w:shd w:fill="FFFFFF" w:val="clear"/>
        </w:rPr>
        <w:t>(1)</w:t>
      </w:r>
      <w:r>
        <w:rPr>
          <w:rFonts w:ascii="Times New Roman;sans-serif" w:hAnsi="Times New Roman;sans-serif"/>
          <w:b w:val="false"/>
          <w:color w:val="000000"/>
          <w:sz w:val="18"/>
        </w:rPr>
        <w:t>Represents cash dividends paid upon vesting of share-based awards as a result of dividends declared in connection with a recapitalization that occurred in fiscal 2018.</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color w:val="000000"/>
          <w:sz w:val="20"/>
        </w:rPr>
        <w:t xml:space="preserve">Note 6. </w:t>
      </w:r>
      <w:r>
        <w:rPr>
          <w:rFonts w:ascii="Times New Roman;sans-serif" w:hAnsi="Times New Roman;sans-serif"/>
          <w:b/>
          <w:color w:val="000000"/>
          <w:sz w:val="20"/>
          <w:shd w:fill="FFFFFF" w:val="clear"/>
        </w:rPr>
        <w:t xml:space="preserve">Income Taxes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expense and effective income tax rate were as follows (amounts in thousands, except percentages):</w:t>
      </w:r>
    </w:p>
    <w:tbl>
      <w:tblPr>
        <w:tblW w:w="7709" w:type="dxa"/>
        <w:jc w:val="left"/>
        <w:tblInd w:w="0" w:type="dxa"/>
        <w:tblLayout w:type="fixed"/>
        <w:tblCellMar>
          <w:top w:w="28" w:type="dxa"/>
          <w:left w:w="28" w:type="dxa"/>
          <w:bottom w:w="28" w:type="dxa"/>
          <w:right w:w="28" w:type="dxa"/>
        </w:tblCellMar>
      </w:tblPr>
      <w:tblGrid>
        <w:gridCol w:w="777"/>
        <w:gridCol w:w="681"/>
        <w:gridCol w:w="686"/>
        <w:gridCol w:w="219"/>
        <w:gridCol w:w="640"/>
        <w:gridCol w:w="281"/>
        <w:gridCol w:w="109"/>
        <w:gridCol w:w="109"/>
        <w:gridCol w:w="109"/>
        <w:gridCol w:w="211"/>
        <w:gridCol w:w="616"/>
        <w:gridCol w:w="271"/>
        <w:gridCol w:w="109"/>
        <w:gridCol w:w="109"/>
        <w:gridCol w:w="109"/>
        <w:gridCol w:w="211"/>
        <w:gridCol w:w="721"/>
        <w:gridCol w:w="271"/>
        <w:gridCol w:w="109"/>
        <w:gridCol w:w="109"/>
        <w:gridCol w:w="109"/>
        <w:gridCol w:w="211"/>
        <w:gridCol w:w="616"/>
        <w:gridCol w:w="31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Our tax provision for interim periods is determined using an estimated annual effective tax rate, adjusted for discrete events arising in each respective quarter. During each interim period, we update the estimated annual effective tax rate. </w:t>
      </w:r>
      <w:r>
        <w:rPr>
          <w:rFonts w:ascii="Times New Roman;sans-serif" w:hAnsi="Times New Roman;sans-serif"/>
          <w:b w:val="false"/>
          <w:color w:val="000000"/>
          <w:sz w:val="20"/>
        </w:rPr>
        <w:t>Our effective income tax rate for the 13 and 39 weeks ended September 30, 2023 was lower than the combined U.S. federal and state statutory income tax rate primarily due to excess tax benefits related to the exercise of stock options, partially offset by non-deductible executive compensation under Internal Revenue Code Section 162(m). The increase in our effective income tax rate for the 13 weeks ended September 30, 2023 compared to the 13 weeks ended October 1, 2022 was primarily driven by increased pretax income without a proportional increase in tax benefits related to the exercise of stock options as well as non-deductible executive compensation under Internal Revenue Code Section 162(m) during the 13 weeks ended September 30, 2023, which was not applicable during the 13 weeks ended October 1, 2022. The increase in our effective income tax rate for the 39 weeks ended September 30, 2023 compared to the 39 weeks ended October 1, 2022 was primarily driven by lower excess tax benefits related to the exercise of stock options as well as non-deductible executive compensation under Internal Revenue Code Section 162(m) during the 39 weeks ended September 30, 2023, which was not applicable during the 39 weeks ended October 1,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recognize interest and penalties associated with uncertain tax positions as part of the income tax provision in our condensed consolidated statements of operations and comprehensive income and include accrued interest and penalties with the related income tax liability on our condensed consolidated balance sheets. To date, we have not recognized any interest and penalties, nor have we accrued for or made payments for interest and penalties. We had no uncertain tax positions as of September 30, 2023 and December 31, 2022, respectively, and do not anticipate having any material uncertain tax positions within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Related Party Transactions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Related Party 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October 1, 2022, we leased 14 and 15 store locations, respectively, and one warehouse location from entities in which Eric Lindberg, Jr., Chairman of our Board of Directors (and formerly our Chief Executive Officer until December 31, 2022), and MacGregor Read, Jr., who served as Vice Chairman of our Board of Directors until September 1, 2022, or their respective families, had a direct or indirect financial interest. As of September 30, 2023, the right-of-use assets and lease liabilities related to these properties was $35.5 million and $40.4 million, respectively. As of December 31, 2022, the right-of-use assets and lease liabilities related to these properties was $40.5 million and $45.5 million, respectively. These related parties received aggregate lease payments from us of $1.7 million for each of the 13 weeks ended September 30, 2023 and October 1, 2022, respectively, and $5.1 million for each of the 39 weeks ended September 30, 2023 and October 1, 2022.</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Independent Operator Notes and Independent Operator Receivables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interest-bearing notes to IOs and the gross amount of IO operating notes and IO receivables due was $51.6 million and $48.1 million as of September 30, 2023 and December 31, 2022, respectively. See Note 2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8. Commitments and Contingencies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from time to time in claims, proceedings and litigation arising in the normal course of business. We establish an accrual for legal proceedings if and when those matters reach a stage where they present loss contingencies that are both probable and reasonably estimable. In such cases, there may be a possible exposure to loss in excess of any amounts accrued. We monitor those matters for developments that would affect the likelihood of a loss and the accrued amount, if any, thereof, and adjust the amount as appropriate. If the loss contingency at issue is not both probable and reasonably estimable, we do not establish an accrual, but will continue to monitor the matter for developments that will make the loss contingency both probable and reasonably estimable. If it is at least a reasonable possibility that a material loss will occur, we will provide disclosure regarding the contingency. Management believes that we do not have any pending litigation that, separately or in the aggregate, would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color w:val="000000"/>
          <w:sz w:val="20"/>
        </w:rPr>
        <w:t xml:space="preserve">Note 9. </w:t>
      </w:r>
      <w:r>
        <w:rPr>
          <w:rFonts w:ascii="Times New Roman;sans-serif" w:hAnsi="Times New Roman;sans-serif"/>
          <w:b/>
          <w:color w:val="000000"/>
          <w:sz w:val="20"/>
          <w:shd w:fill="FFFFFF" w:val="clear"/>
        </w:rPr>
        <w:t>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earnings per share (amounts in thousands, except per share data):</w:t>
      </w:r>
    </w:p>
    <w:tbl>
      <w:tblPr>
        <w:tblW w:w="9333" w:type="dxa"/>
        <w:jc w:val="left"/>
        <w:tblInd w:w="0" w:type="dxa"/>
        <w:tblLayout w:type="fixed"/>
        <w:tblCellMar>
          <w:top w:w="28" w:type="dxa"/>
          <w:left w:w="28" w:type="dxa"/>
          <w:bottom w:w="28" w:type="dxa"/>
          <w:right w:w="28" w:type="dxa"/>
        </w:tblCellMar>
      </w:tblPr>
      <w:tblGrid>
        <w:gridCol w:w="1429"/>
        <w:gridCol w:w="1252"/>
        <w:gridCol w:w="1264"/>
        <w:gridCol w:w="231"/>
        <w:gridCol w:w="790"/>
        <w:gridCol w:w="119"/>
        <w:gridCol w:w="109"/>
        <w:gridCol w:w="109"/>
        <w:gridCol w:w="109"/>
        <w:gridCol w:w="211"/>
        <w:gridCol w:w="721"/>
        <w:gridCol w:w="109"/>
        <w:gridCol w:w="109"/>
        <w:gridCol w:w="109"/>
        <w:gridCol w:w="109"/>
        <w:gridCol w:w="231"/>
        <w:gridCol w:w="790"/>
        <w:gridCol w:w="119"/>
        <w:gridCol w:w="109"/>
        <w:gridCol w:w="109"/>
        <w:gridCol w:w="109"/>
        <w:gridCol w:w="211"/>
        <w:gridCol w:w="72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options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of dilutive RSUs and PSUs </w:t>
            </w:r>
            <w:r>
              <w:rPr>
                <w:rFonts w:ascii="Times New Roman;sans-serif" w:hAnsi="Times New Roman;sans-serif"/>
                <w:b w:val="false"/>
                <w:color w:val="000000"/>
                <w:sz w:val="16"/>
              </w:rPr>
              <w:t>(1)</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diluted</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100,727 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pPr>
      <w:r>
        <w:rPr>
          <w:rFonts w:ascii="Times New Roman;sans-serif" w:hAnsi="Times New Roman;sans-serif"/>
          <w:b w:val="false"/>
          <w:color w:val="231F20"/>
          <w:sz w:val="18"/>
          <w:shd w:fill="FFFFFF" w:val="clear"/>
        </w:rPr>
        <w:t>(1)</w:t>
      </w:r>
      <w:r>
        <w:rPr>
          <w:rFonts w:ascii="Times New Roman;sans-serif" w:hAnsi="Times New Roman;sans-serif"/>
          <w:b w:val="false"/>
          <w:color w:val="000000"/>
          <w:sz w:val="18"/>
        </w:rPr>
        <w:t>We are required to include in diluted weighted-average shares outstanding contingently issuable shares that would be issued assuming the end of our reporting period was the end of the relevant PSU award contingency period.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common share equivalents were excluded from the calculation of diluted earnings per share because their effect would have been anti-dilutive (amounts in thousands):</w:t>
      </w:r>
    </w:p>
    <w:tbl>
      <w:tblPr>
        <w:tblW w:w="5841" w:type="dxa"/>
        <w:jc w:val="left"/>
        <w:tblInd w:w="0" w:type="dxa"/>
        <w:tblLayout w:type="fixed"/>
        <w:tblCellMar>
          <w:top w:w="28" w:type="dxa"/>
          <w:left w:w="28" w:type="dxa"/>
          <w:bottom w:w="28" w:type="dxa"/>
          <w:right w:w="28" w:type="dxa"/>
        </w:tblCellMar>
      </w:tblPr>
      <w:tblGrid>
        <w:gridCol w:w="207"/>
        <w:gridCol w:w="181"/>
        <w:gridCol w:w="183"/>
        <w:gridCol w:w="379"/>
        <w:gridCol w:w="379"/>
        <w:gridCol w:w="381"/>
        <w:gridCol w:w="143"/>
        <w:gridCol w:w="143"/>
        <w:gridCol w:w="143"/>
        <w:gridCol w:w="294"/>
        <w:gridCol w:w="294"/>
        <w:gridCol w:w="296"/>
        <w:gridCol w:w="109"/>
        <w:gridCol w:w="109"/>
        <w:gridCol w:w="109"/>
        <w:gridCol w:w="379"/>
        <w:gridCol w:w="379"/>
        <w:gridCol w:w="381"/>
        <w:gridCol w:w="141"/>
        <w:gridCol w:w="141"/>
        <w:gridCol w:w="141"/>
        <w:gridCol w:w="272"/>
        <w:gridCol w:w="272"/>
        <w:gridCol w:w="385"/>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You should read the following discussion of our financial condition and results of operations in conjunction with the unaudited condensed consolidated financial statements and related notes thereto included elsewhere</w:t>
      </w:r>
      <w:r>
        <w:rPr>
          <w:color w:val="231F20"/>
        </w:rPr>
        <w:t xml:space="preserve"> </w:t>
      </w:r>
      <w:r>
        <w:rPr>
          <w:rFonts w:ascii="Times New Roman;sans-serif" w:hAnsi="Times New Roman;sans-serif"/>
          <w:b w:val="false"/>
          <w:i/>
          <w:color w:val="231F20"/>
          <w:sz w:val="20"/>
        </w:rPr>
        <w:t>in this report,</w:t>
      </w:r>
      <w:r>
        <w:rPr>
          <w:color w:val="000000"/>
        </w:rPr>
        <w:t xml:space="preserve"> </w:t>
      </w:r>
      <w:r>
        <w:rPr>
          <w:rFonts w:ascii="Times New Roman;sans-serif" w:hAnsi="Times New Roman;sans-serif"/>
          <w:b w:val="false"/>
          <w:i/>
          <w:color w:val="000000"/>
          <w:sz w:val="20"/>
        </w:rPr>
        <w:t xml:space="preserve">and the audited consolidated financial statements and related notes thereto and management's discussion and analysis of financial condition and results of operations included in our Annual Report on Form 10-K for the fiscal year ended December 31, 2022 ("2022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 </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operate on a fiscal year that ends on the Saturday closest to December 31st each year. References to the third quarter of fiscal 2023 and the third quarter of fiscal 2022 refer to the 13 weeks ended September 30, 2023 and October 1, 2022, respectively. </w:t>
      </w:r>
    </w:p>
    <w:p>
      <w:pPr>
        <w:pStyle w:val="TextBody"/>
        <w:bidi w:val="0"/>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As used in this report, references to "Grocery Outlet," "the Company," "the registrant," "we," "us" and "our," refer to Grocery Outlet Holding Corp. and its consolidated subsidiary unless otherwise indicated or the context requires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September 30, 2023, we had 455 stores in California, Washington, Oregon, Pennsylvania, Idaho, Nevada, Maryland and New Jersey.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and to a lesser extent recently, our business has been and continues to be impacted by macroeconomic conditions including supply chain and labor challenges, inflation, and changes in consumer behavior, and our IOs have been impacted by staffing challenges and increased labor costs and utility costs within their businesses. The extent of the continuing impact of these factors on our operational and financial performance will depend on many factors, including certain factors outside of our control.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utilize our unique buying model, our strong vendor relationships and our agile approach to inventory management to offer customers a compelling assortment at a deep value. While product costs have largely stabilized for us during the recent fiscal quarters, we continue to incur greater selling, general and administrative expenses ("SG&amp;A") related to personnel, travel, and other third party and operational costs due to the aforementioned factors. Further, planned construction and opening of new stores has been, and may continue to be, negatively impacted due to both increased lead times to acquire materials, obtain permits and licenses as well as higher construction and development related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new store growth efforts for fiscal 2024 and beyond are focused on organic growth together with new real estate opportunities that align with our long-term geographic expansion and store growth strategies. Complementary growth opportunities may include expanding strategic relationships with large property owners, evaluating acquisitions of opportunistic real estate that become available through consolidation in the retail sector, and exploring strategic regional acquisitions of operating businesses.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fiscal 2023, we replaced components of our enterprise resource planning system, including our financial ledger, inventory management platform and product data warehouse system. The implementation of these system upgrades has resulted in disruption to our business operations, which impacted our results of operations during the period, as more fully described below in “Comparison of the 13 and 39 weeks ended September 30, 2023 and October 1, 2022." For the fourth quarter of fiscal 2023, we expect the system implementation disruptions to continue to impact sales and gross margin as well as SG&amp;A related to the incremental commission support that we are electing to provide to our operators.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Factors and Measures We Use to Evaluate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 variety of financial and operating measures in assessing the performance of our business. The key generally accepted accounting principles ("GAAP") financial measures we use are net sales, gross profit and gross margin, SG&amp;A and operating income. The key operational metrics and non-GAAP financial measures we use are number of new stores, comparable store sales, EBITDA, adjusted EBITDA, adjusted net income and adjusted earnings per share.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Third Quarter of Fiscal 2023 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Key financial and operating performance results for the third quarter of fiscal 2023 compared to the third quarter of fiscal 2022 were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sales increased 9.3% to $1.00 billion from $918.2 million in the third quarter of fiscal 2022</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Comparable store sales increased by 6.4%, driven by a 8.6% increase in the number of transactions partially offset by a 1.9% decrease in average transaction size.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Gross margin increased by 80 basis points to 31.4%, compared to gross margin of 30.6% in the third quarter of fiscal 2022.</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late August, we implemented new technology platforms and, as a result, experienced disruptions which are estimated to have negatively impacted comparable store sales by approximately 150 basis points and gross margin by 50 basis points in the third quarter.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opened eight new stores, ending the third quarter of fiscal 2023 with 455 stores in eight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income increased 55.1% to $27.1 million, or $0.27 per diluted share, compared to net income of $17.5 million, or $0.17 per diluted share, in the third quarter of fiscal 2022.</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increased 20.0% to $68.1 million compared to $56.8 million in the third quarter of fiscal 2022.</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Adjusted net income</w:t>
      </w: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increased 23.4% to $31.0 million, or $0.31 per adjusted diluted share</w:t>
      </w:r>
      <w:r>
        <w:rPr>
          <w:rFonts w:ascii="Times New Roman;sans-serif" w:hAnsi="Times New Roman;sans-serif"/>
          <w:b w:val="false"/>
          <w:color w:val="000000"/>
          <w:sz w:val="13"/>
        </w:rPr>
        <w:t>(1)</w:t>
      </w:r>
      <w:r>
        <w:rPr>
          <w:rFonts w:ascii="Times New Roman;sans-serif" w:hAnsi="Times New Roman;sans-serif"/>
          <w:b w:val="false"/>
          <w:color w:val="000000"/>
          <w:sz w:val="20"/>
        </w:rPr>
        <w:t>, compared to $25.1 million, or $0.25 per adjusted diluted share, in the third quarter of fiscal 2022.</w:t>
      </w:r>
    </w:p>
    <w:p>
      <w:pPr>
        <w:pStyle w:val="TextBody"/>
        <w:bidi w:val="0"/>
        <w:spacing w:lineRule="auto" w:line="288" w:before="4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120" w:after="283"/>
        <w:ind w:left="0" w:right="0" w:hanging="360"/>
        <w:jc w:val="both"/>
        <w:rPr/>
      </w:pPr>
      <w:r>
        <w:rPr>
          <w:rFonts w:ascii="Times New Roman;sans-serif" w:hAnsi="Times New Roman;sans-serif"/>
          <w:b w:val="false"/>
          <w:color w:val="231F20"/>
          <w:sz w:val="18"/>
          <w:shd w:fill="FFFFFF" w:val="clear"/>
        </w:rPr>
        <w:t>(1)</w:t>
      </w:r>
      <w:r>
        <w:rPr>
          <w:rFonts w:ascii="Times New Roman;sans-serif" w:hAnsi="Times New Roman;sans-serif"/>
          <w:b w:val="false"/>
          <w:color w:val="000000"/>
          <w:sz w:val="18"/>
        </w:rPr>
        <w:t>Adjusted EBITDA, adjusted net income and adjusted diluted earnings per share are non-GAAP financial measures, which exclude the impact of certain special items. Please note that our non-GAAP financial measures should be considered as a supplement to, and not as a substitute for, or superior to, financial measures calculated in accordance with GAAP. Beginning with the fourth quarter of fiscal 2022, we updated our definitions of adjusted EBITDA, adjusted net income and adjusted earnings per share to no longer exclude the impact of non-cash rent expense and the provision for accounts receivable reserves. The presentation for adjusted EBITDA, adjusted net income and adjusted earnings per share for the 13 and 39 weeks ended October 1, 2022 have been recast to reflect these changes. See the "Operating Metrics and Non-GAAP Financial Measures" section of our 2022 Form 10-K, for additional information. Furthermore, see the "Operating Metrics and Non-GAAP Financial Measures" section below for additional information about these items, including their definitions, how the non-GAAP measures provide useful information to investors and how management utilizes them, and reconciliations of the non-GAAP measures and the most directly comparable GAAP measures.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revenues from the sale of products at the point of sale, net of any taxes or deposits collected and remitted to governmental authorities. Discounts provided to customers by us are recognized at the time of sale as a reduction in net sales as the products are sold. Discounts that are funded solely by IOs are not recognized as a reduction in net sales as the IO bears the incidental costs arising from the discount. We do not accept manufacturer coupons. Net sales consist of net sales from comparable stores, described below under "Comparable Store Sales," and non-comparable stores. Growth of our net sales is generally driven by expansion of our store base in existing and new markets as well as comparable store sales growth. Net sales are impacted by the spending habits of our customers, product mix and supply, as well as promotional and competitive activities. Our ever-changing selection of offerings across diverse product categories supports growth in net sales by attracting new customers and encouraging repeat visits from our existing customers. The spending habits of our customers are affected by changes in macroeconomic conditions, governmental benefit programs such as the Supplemental Nutrition Assistance Program and discretionary income. Our customers' discretionary income is impacted by wages, fuel and other cost-of-living increases including food-at-home inflation, as well as consumer trends and preferences, which fluctuate depending on the environment. Because we offer a broad selection of merchandise at extreme values, historically our business has benefited from periods of economic uncertainty.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Cost of Sales, Gross Profit and Gross Margin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includes, among other things, merchandise costs, inventory markdowns, inventory losses, transportation costs and distribution and warehousing costs, including depreciation. Gross profit is equal to our net sales less our cost of sales. Gross margin is gross profit as a percentage of our net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net sales. While our disciplined buying approach has produced consistent gross margins throughout economic cycles, which we believe has helped to mitigate adverse impacts on gross profit and results of operations, changes in consumer demand like we experienced and continue to experience as a result of the current macroeconomic conditions, including inflationary cost increases for goods, labor and transportation, supply chain constraints and changes in discretionary income, have resulted and could continue to result in higher variability to our gross margins. The components of our cost of sales, as well as our gross profit and gross margin, may not be comparable to the same or similar measures of our competitors and other retailers.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are comprised of both store-related expenses and corporate expenses. Our store-related expenses include commissions paid to IOs, occupancy and our portion of maintenance costs, depreciation and amortization of store-related assets and the cost of opening new IO stores. Company-operated store-related expenses also include payroll, benefits, supplies and utilities. Corporate expenses include payroll and benefits for corporate and field support, share-based compensation, marketing and advertising, insurance and professional services, depreciation and amortization of corporate assets and operator recruiting and training costs. We continue to closely manage our expenses and monitor SG&amp;A as a percentage of net sales. SG&amp;A generally increases as we grow our store base and invest in our corporate infrastructure. SG&amp;A related to commissions paid to IOs are variable in nature and generally increase as gross profits rise and decrease as gross profits decline. We expect that our SG&amp;A will continue to increase in future periods as we continue to grow our net sales and gross profits. The components of our SG&amp;A may not be comparable to the components of similar measures of our competitors and other retailers.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2023, in order to enhance the comparability of our results with our peers, we updated our presentation of the condensed consolidated statements of operations and comprehensive income to include depreciation and amortization expenses and share-based compensation expenses within selling, general and administrative expenses. Prior period amounts have been reclassified to conform to current period presentation. The reclassification of these items had no impact on net income, earnings per share, or retained earnings in the current or prior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Operating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is gross profit less SG&amp;A. Operating income excludes interest expense, net, loss on debt extinguishment and modification and income tax expense. We use operating income as an indicator of the productivity of our business and our ability to manage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key components of our results of operations both in dollars and as a percentage of net sales (amounts in thousands, except for percentages):</w:t>
      </w:r>
    </w:p>
    <w:tbl>
      <w:tblPr>
        <w:tblW w:w="9975" w:type="dxa"/>
        <w:jc w:val="left"/>
        <w:tblInd w:w="0" w:type="dxa"/>
        <w:tblLayout w:type="fixed"/>
        <w:tblCellMar>
          <w:top w:w="28" w:type="dxa"/>
          <w:left w:w="28" w:type="dxa"/>
          <w:bottom w:w="28" w:type="dxa"/>
          <w:right w:w="28" w:type="dxa"/>
        </w:tblCellMar>
      </w:tblPr>
      <w:tblGrid>
        <w:gridCol w:w="1677"/>
        <w:gridCol w:w="1110"/>
        <w:gridCol w:w="1128"/>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tbl>
      <w:tblPr>
        <w:tblW w:w="9665" w:type="dxa"/>
        <w:jc w:val="left"/>
        <w:tblInd w:w="0" w:type="dxa"/>
        <w:tblLayout w:type="fixed"/>
        <w:tblCellMar>
          <w:top w:w="28" w:type="dxa"/>
          <w:left w:w="28" w:type="dxa"/>
          <w:bottom w:w="28" w:type="dxa"/>
          <w:right w:w="28" w:type="dxa"/>
        </w:tblCellMar>
      </w:tblPr>
      <w:tblGrid>
        <w:gridCol w:w="1417"/>
        <w:gridCol w:w="1245"/>
        <w:gridCol w:w="1252"/>
        <w:gridCol w:w="308"/>
        <w:gridCol w:w="308"/>
        <w:gridCol w:w="632"/>
        <w:gridCol w:w="109"/>
        <w:gridCol w:w="109"/>
        <w:gridCol w:w="109"/>
        <w:gridCol w:w="308"/>
        <w:gridCol w:w="308"/>
        <w:gridCol w:w="491"/>
        <w:gridCol w:w="109"/>
        <w:gridCol w:w="109"/>
        <w:gridCol w:w="109"/>
        <w:gridCol w:w="308"/>
        <w:gridCol w:w="308"/>
        <w:gridCol w:w="632"/>
        <w:gridCol w:w="109"/>
        <w:gridCol w:w="109"/>
        <w:gridCol w:w="109"/>
        <w:gridCol w:w="308"/>
        <w:gridCol w:w="308"/>
        <w:gridCol w:w="551"/>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Percentage of net sales </w:t>
            </w:r>
            <w:r>
              <w:rPr>
                <w:rFonts w:ascii="Times New Roman;sans-serif" w:hAnsi="Times New Roman;sans-serif"/>
                <w:b/>
                <w:color w:val="000000"/>
                <w:sz w:val="13"/>
              </w:rPr>
              <w:t>(1)</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(1)Components may not sum to totals due to rounding.</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Operating Metrics and Non-GAAP Financial Measures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Number of New Stores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new stores reflects the number of stores opened during a particular reporting period. New stores require an initial capital investment from us for store build-outs, fixtures and equipment that we amortize over time as well as cash required for inventory and pre-opening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new store growth to be the primary driver of our net sales growth over the long term. We lease substantially all of our store locations. Our initial lease terms on stores are typically ten years with options to renew for two or three successive five-year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Comparable Store 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Comparable store sales consists of net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temporarily closed for an extended period, those that have had their business materially disrupted for both planned projects as well as due to unforeseen circumstances, permanent store closures and dispositions. When applicable, as was the case with fiscal 2020 and will be the case with fiscal 2025, we exclude the net sales in the non-comparable week of a 53-week year from the same store sales calculation after comparing the current and prior year weekly periods that are most closely aligned.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Opening new stores is a primary component of our growth strategy and, as we continue to execute on our growth strategy, we expect that a significant portion of our net sales growth will be attributable to non-comparable store net sales. Accordingly, comparable store sales is only one of many measur</w:t>
      </w:r>
      <w:r>
        <w:rPr>
          <w:rFonts w:ascii="Times New Roman;sans-serif" w:hAnsi="Times New Roman;sans-serif"/>
          <w:b w:val="false"/>
          <w:color w:val="000000"/>
          <w:sz w:val="20"/>
          <w:shd w:fill="FFFFFF" w:val="clear"/>
        </w:rPr>
        <w:t>es we use to assess the success of our growth strategy.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EBITDA, Adjusted EBITDA, Adjusted Net Income and Adjusted 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EBITDA, adjusted EBITDA, adjusted net income and adjusted earnings per share are supplemental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Management believes it is useful to investors and analysts to evaluate these non-GAAP measures on the same basis as management uses to evaluate our operating results. We use EBITDA, adjusted EBITDA, adjusted net income and adjusted earnings per share to supplement GAAP measures of performance to evaluate the effectiveness of our business strategies, to make budgeting decisions and to compare our performance against that of other peer companies using similar measures. In addition, we use adjusted EBITDA to supplement GAAP measures of performance to evaluate our performance in connection with compensation decisions. We believe that excluding items from operating income, net income and net income per diluted share that may not be indicative of, or are unrelated to, our core operating results, and that may vary in frequency or magnitude, enhances the comparability of our results and provides additional information for analyzing trends in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EBITDA as net income before net interest expense, income taxes and depreciation and amortization expenses. Adjusted EBITDA represents EBITDA adjusted to exclude share-based compensation expense, loss on debt extinguishment and modification, asset impairment and gain or loss on disposition and certain other expenses that may not be indicative of, or are unrelated to, our core operating results, and that may vary in frequency or magnitude. Adjusted net income represents net income adjusted for the previously mentioned adjusted EBITDA adjustments, further adjusted for costs related to amortization of purchase accounting assets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EBITDA, adjusted EBITDA, adjusted net income and adjusted earnings per share are non-GAAP measures and may not be comparable to similar measures reported by other companies. EBITDA, adjusted EBITDA, adjusted net income and adjusted earnings per share have limitations as analytical tools, and you should not consider them in isolation or as a substitute for analysis of our results as reported under GAAP. We address the limitations of the non-GAAP measures through the use of various GAAP measures. In the future, we will incur expenses or charges such as those added back to calculate adjusted EBITDA or adjusted net income. Our presentation of EBITDA, adjusted EBITDA, adjusted net income and adjusted earnings per share should not be construed as an inference that our future results will be unaffected by the adjustments we have used to derive our non-GAAP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Beginning with the fourth quarter of fiscal 2022, we updated our definitions of adjusted EBITDA, adjusted net income and adjusted earnings per share to no longer exclude the impact of non-cash rent expense and the provision for accounts receivable reserves. The presentation for adjusted EBITDA, adjusted net income and adjusted earnings per share for the 13 and 39 weeks ended October 1, 2022 has been recast to reflect these changes.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operating metrics and non-GAAP financial measures for the periods presented (amounts in thousands, except for percentages and store counts):</w:t>
      </w:r>
    </w:p>
    <w:tbl>
      <w:tblPr>
        <w:tblW w:w="9318" w:type="dxa"/>
        <w:jc w:val="left"/>
        <w:tblInd w:w="0" w:type="dxa"/>
        <w:tblLayout w:type="fixed"/>
        <w:tblCellMar>
          <w:top w:w="28" w:type="dxa"/>
          <w:left w:w="28" w:type="dxa"/>
          <w:bottom w:w="28" w:type="dxa"/>
          <w:right w:w="28" w:type="dxa"/>
        </w:tblCellMar>
      </w:tblPr>
      <w:tblGrid>
        <w:gridCol w:w="1184"/>
        <w:gridCol w:w="1040"/>
        <w:gridCol w:w="1046"/>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Financial and Operations Data</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new stores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stores open at end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Comparable store sales increase </w:t>
            </w:r>
            <w:r>
              <w:rPr>
                <w:rFonts w:ascii="Times New Roman;sans-serif" w:hAnsi="Times New Roman;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EBITDA </w:t>
            </w:r>
            <w:r>
              <w:rPr>
                <w:rFonts w:ascii="Times New Roman;sans-serif" w:hAnsi="Times New Roman;sans-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6"/>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net income </w:t>
            </w:r>
            <w:r>
              <w:rPr>
                <w:rFonts w:ascii="Times New Roman;sans-serif" w:hAnsi="Times New Roman;sans-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(1)Comparable store sales consist of net sales from our stores beginning on the first day of the fourteenth full fiscal month following the store's opening, which is when we believe comparability is achieved.</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(2)See "GAAP to Non-GAAP Reconciliations" section below for the applicable reconciliations.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GAAP to Non-GAAP Reconciliations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tbl>
      <w:tblPr>
        <w:tblW w:w="9774" w:type="dxa"/>
        <w:jc w:val="left"/>
        <w:tblInd w:w="0" w:type="dxa"/>
        <w:tblLayout w:type="fixed"/>
        <w:tblCellMar>
          <w:top w:w="28" w:type="dxa"/>
          <w:left w:w="28" w:type="dxa"/>
          <w:bottom w:w="28" w:type="dxa"/>
          <w:right w:w="28" w:type="dxa"/>
        </w:tblCellMar>
      </w:tblPr>
      <w:tblGrid>
        <w:gridCol w:w="1549"/>
        <w:gridCol w:w="1357"/>
        <w:gridCol w:w="1369"/>
        <w:gridCol w:w="231"/>
        <w:gridCol w:w="790"/>
        <w:gridCol w:w="11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Share-based compensation expenses </w:t>
            </w:r>
            <w:r>
              <w:rPr>
                <w:rFonts w:ascii="Times New Roman;sans-serif" w:hAnsi="Times New Roman;sans-serif"/>
                <w:b w:val="false"/>
                <w:color w:val="000000"/>
                <w:sz w:val="16"/>
              </w:rPr>
              <w:t>(1)</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debt extinguishment and modification </w:t>
            </w:r>
            <w:r>
              <w:rPr>
                <w:rFonts w:ascii="Times New Roman;sans-serif" w:hAnsi="Times New Roman;sans-serif"/>
                <w:b w:val="false"/>
                <w:color w:val="000000"/>
                <w:sz w:val="16"/>
              </w:rPr>
              <w:t>(2)</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impairment and gain or loss on disposition </w:t>
            </w:r>
            <w:r>
              <w:rPr>
                <w:rFonts w:ascii="Times New Roman;sans-serif" w:hAnsi="Times New Roman;sans-serif"/>
                <w:b w:val="false"/>
                <w:color w:val="000000"/>
                <w:sz w:val="16"/>
              </w:rPr>
              <w:t>(3)</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6"/>
              </w:rPr>
              <w:t>(4)</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68,143 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784"/>
        <w:gridCol w:w="1533"/>
        <w:gridCol w:w="1552"/>
        <w:gridCol w:w="225"/>
        <w:gridCol w:w="771"/>
        <w:gridCol w:w="116"/>
        <w:gridCol w:w="109"/>
        <w:gridCol w:w="109"/>
        <w:gridCol w:w="109"/>
        <w:gridCol w:w="211"/>
        <w:gridCol w:w="721"/>
        <w:gridCol w:w="109"/>
        <w:gridCol w:w="109"/>
        <w:gridCol w:w="109"/>
        <w:gridCol w:w="109"/>
        <w:gridCol w:w="225"/>
        <w:gridCol w:w="771"/>
        <w:gridCol w:w="116"/>
        <w:gridCol w:w="109"/>
        <w:gridCol w:w="109"/>
        <w:gridCol w:w="109"/>
        <w:gridCol w:w="211"/>
        <w:gridCol w:w="721"/>
        <w:gridCol w:w="158"/>
      </w:tblGrid>
      <w:tr>
        <w:trPr/>
        <w:tc>
          <w:tcPr>
            <w:tcW w:w="178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Share-based compensation expenses </w:t>
            </w:r>
            <w:r>
              <w:rPr>
                <w:rFonts w:ascii="Times New Roman;sans-serif" w:hAnsi="Times New Roman;sans-serif"/>
                <w:b w:val="false"/>
                <w:color w:val="000000"/>
                <w:sz w:val="16"/>
              </w:rPr>
              <w:t>(1)</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debt extinguishment and modification </w:t>
            </w:r>
            <w:r>
              <w:rPr>
                <w:rFonts w:ascii="Times New Roman;sans-serif" w:hAnsi="Times New Roman;sans-serif"/>
                <w:b w:val="false"/>
                <w:color w:val="000000"/>
                <w:sz w:val="16"/>
              </w:rPr>
              <w:t>(2)</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impairment and gain or loss on disposition </w:t>
            </w:r>
            <w:r>
              <w:rPr>
                <w:rFonts w:ascii="Times New Roman;sans-serif" w:hAnsi="Times New Roman;sans-serif"/>
                <w:b w:val="false"/>
                <w:color w:val="000000"/>
                <w:sz w:val="16"/>
              </w:rPr>
              <w:t>(3)</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6"/>
              </w:rPr>
              <w:t>(4)</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purchase accounting assets and deferred financing costs </w:t>
            </w:r>
            <w:r>
              <w:rPr>
                <w:rFonts w:ascii="Times New Roman;sans-serif" w:hAnsi="Times New Roman;sans-serif"/>
                <w:b w:val="false"/>
                <w:color w:val="000000"/>
                <w:sz w:val="16"/>
              </w:rPr>
              <w:t>(5)</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adjustment to normalize effective tax rate </w:t>
            </w:r>
            <w:r>
              <w:rPr>
                <w:rFonts w:ascii="Times New Roman;sans-serif" w:hAnsi="Times New Roman;sans-serif"/>
                <w:b w:val="false"/>
                <w:color w:val="000000"/>
                <w:sz w:val="16"/>
              </w:rPr>
              <w:t>(6)</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effect of total adjustments </w:t>
            </w:r>
            <w:r>
              <w:rPr>
                <w:rFonts w:ascii="Times New Roman;sans-serif" w:hAnsi="Times New Roman;sans-serif"/>
                <w:b w:val="false"/>
                <w:color w:val="000000"/>
                <w:sz w:val="16"/>
              </w:rPr>
              <w:t>(7)</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earnings per share</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54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w:t>
      </w:r>
    </w:p>
    <w:p>
      <w:pPr>
        <w:pStyle w:val="TextBody"/>
        <w:bidi w:val="0"/>
        <w:spacing w:lineRule="auto" w:line="288" w:before="60" w:after="283"/>
        <w:ind w:left="0" w:right="0" w:hanging="540"/>
        <w:jc w:val="both"/>
        <w:rPr/>
      </w:pPr>
      <w:r>
        <w:rPr>
          <w:rFonts w:ascii="Times New Roman;sans-serif" w:hAnsi="Times New Roman;sans-serif"/>
          <w:b w:val="false"/>
          <w:color w:val="231F20"/>
          <w:sz w:val="18"/>
          <w:shd w:fill="FFFFFF" w:val="clear"/>
        </w:rPr>
        <w:t>(1)</w:t>
      </w:r>
      <w:r>
        <w:rPr>
          <w:rFonts w:ascii="Times New Roman;sans-serif" w:hAnsi="Times New Roman;sans-serif"/>
          <w:b w:val="false"/>
          <w:color w:val="000000"/>
          <w:sz w:val="18"/>
        </w:rPr>
        <w:t>Includes non-cash share-based compensation expense and cash dividends paid on vested share-based awards as a result of dividends declared in connection with a recapitalization that occurred in fiscal 2018. See "Share-based Compensation Expense" in the "Comparison of the 13 and 39 weeks ended September 30, 2023 and October 1, 2022" section below for additional information.</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the write-off of debt issuance costs and debt discounts as well as debt modification costs related to refinancing and/or repayment of our credit facilities. See Note 3 to the condensed consolidated financial statements for additional information.</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asset impairment charges and gains or losses on dispositions of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(4)Represents other non-recurring, non-cash or non-operational items, such as technology upgrade implementation costs, costs related to employer payroll taxes associated with equity awards, legal settlements and other legal expenses, store closing costs, certain personnel-related costs and miscellaneous costs.</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(5)Represents the amortization of debt issuance costs as well as the incremental amortization of an asset step-up resulting from purchase price accounting related to our acquisition in 2014 by an investment fund affiliated with Hellman &amp; Friedman LLC, which included trademarks, customer lists, and below-market leases.</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(6)Represents adjustments to normalize the effective tax rate for the impact of unusual or infrequent tax items that we do not consider in our evaluation of ongoing performance, including excess tax expenses or benefits related to stock option exercises and vesting of restricted stock units ("RSUs") that are recorded in earnings as discrete items in the reporting period in which they occur.</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(7)Represents the tax effect of the total adjustments. We calculate the tax effect of the total adjustments on a discrete basis excluding any non-recurring and unusual tax items.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the 13 and 39 weeks ended September 30, 2023 and October 1, 2022 (amounts in thousands, except percentages)</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Net Sales </w:t>
      </w:r>
    </w:p>
    <w:tbl>
      <w:tblPr>
        <w:tblW w:w="11965" w:type="dxa"/>
        <w:jc w:val="left"/>
        <w:tblInd w:w="0" w:type="dxa"/>
        <w:tblLayout w:type="fixed"/>
        <w:tblCellMar>
          <w:top w:w="28" w:type="dxa"/>
          <w:left w:w="28" w:type="dxa"/>
          <w:bottom w:w="28" w:type="dxa"/>
          <w:right w:w="28" w:type="dxa"/>
        </w:tblCellMar>
      </w:tblPr>
      <w:tblGrid>
        <w:gridCol w:w="185"/>
        <w:gridCol w:w="162"/>
        <w:gridCol w:w="164"/>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03"/>
        <w:gridCol w:w="203"/>
        <w:gridCol w:w="483"/>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54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1,003,913 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918,185 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2,979,635 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2,647,271 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332,364 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sales for the 13 and 39 weeks ended September 30, 2023 compared to the same periods in fiscal 2022 was primarily attributable to an increase in comparable store sales as well as non-comparable store net sales growth primarily from the 24 net new stores opened over the last 12 months, partially offset by disruptions related to our aforementioned system upgrades.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Comparable store sales increased 6.4% for the 13 weeks ended September 30, 2023 and 9.2% for the 39 weeks ended September 30, 2023 compared to the same periods in fiscal 2022. The increase in comparable store sales for the 13 weeks ended September 30, 2023 was driven by a 8.6% increase in the number of transactions, partially offset by a 1.9% decrease in average transaction size. The increase in comparable store sales for the 39 weeks ended September 30, 2023 was driven by an 8.6% increase in the number of transactions and a 0.5% increase in average transaction size. Our comparable store sales increases for these periods reflects the impact of disruptions related to our system upgrades.</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Cost of Sales</w:t>
      </w:r>
    </w:p>
    <w:tbl>
      <w:tblPr>
        <w:tblW w:w="12463" w:type="dxa"/>
        <w:jc w:val="left"/>
        <w:tblInd w:w="0" w:type="dxa"/>
        <w:tblLayout w:type="fixed"/>
        <w:tblCellMar>
          <w:top w:w="28" w:type="dxa"/>
          <w:left w:w="28" w:type="dxa"/>
          <w:bottom w:w="28" w:type="dxa"/>
          <w:right w:w="28" w:type="dxa"/>
        </w:tblCellMar>
      </w:tblPr>
      <w:tblGrid>
        <w:gridCol w:w="185"/>
        <w:gridCol w:w="162"/>
        <w:gridCol w:w="16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03"/>
        <w:gridCol w:w="203"/>
        <w:gridCol w:w="483"/>
        <w:gridCol w:w="109"/>
        <w:gridCol w:w="109"/>
        <w:gridCol w:w="109"/>
        <w:gridCol w:w="211"/>
        <w:gridCol w:w="976"/>
        <w:gridCol w:w="271"/>
        <w:gridCol w:w="109"/>
        <w:gridCol w:w="109"/>
        <w:gridCol w:w="109"/>
        <w:gridCol w:w="211"/>
        <w:gridCol w:w="976"/>
        <w:gridCol w:w="271"/>
        <w:gridCol w:w="109"/>
        <w:gridCol w:w="109"/>
        <w:gridCol w:w="109"/>
        <w:gridCol w:w="211"/>
        <w:gridCol w:w="826"/>
        <w:gridCol w:w="109"/>
        <w:gridCol w:w="109"/>
        <w:gridCol w:w="109"/>
        <w:gridCol w:w="109"/>
        <w:gridCol w:w="255"/>
        <w:gridCol w:w="256"/>
        <w:gridCol w:w="54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688,222 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637,550 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2,036,831 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1,836,336 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sales for the 13 and 39 weeks ended September 30, 2023 compared to the same periods in fiscal 2022 was primarily the result of an increase in comparable store sales combined with non-comparable net sales from 24 net new stores opened over the last 12 months as well as by impacts related to our system upgrades.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as a percentage of net sales decreased for the 13 and 39 weeks ended September 30, 2023 compared to the same periods in fiscal 2022 primarily due to our changing assortment along with strong purchasing and inventory management, partially offset by impacts related to our system upgrades.</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tbl>
      <w:tblPr>
        <w:tblW w:w="12448" w:type="dxa"/>
        <w:jc w:val="left"/>
        <w:tblInd w:w="0" w:type="dxa"/>
        <w:tblLayout w:type="fixed"/>
        <w:tblCellMar>
          <w:top w:w="28" w:type="dxa"/>
          <w:left w:w="28" w:type="dxa"/>
          <w:bottom w:w="28" w:type="dxa"/>
          <w:right w:w="28" w:type="dxa"/>
        </w:tblCellMar>
      </w:tblPr>
      <w:tblGrid>
        <w:gridCol w:w="327"/>
        <w:gridCol w:w="181"/>
        <w:gridCol w:w="18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483"/>
        <w:gridCol w:w="109"/>
        <w:gridCol w:w="109"/>
        <w:gridCol w:w="109"/>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255"/>
        <w:gridCol w:w="256"/>
        <w:gridCol w:w="544"/>
      </w:tblGrid>
      <w:tr>
        <w:trPr/>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315,691 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280,635 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942,804 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810,935 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gross profit for the 13 and 39 weeks ended September 30, 2023 compared to the same periods in fiscal 2022 was primarily the result of an increase in comparable store sales combined with non-comparable sales from 24 net new stores opened over the last 12 months, partially offset by impacts related to our system upgrades.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increased for the 13 and 39 weeks ended September 30, 2023 compared to the same periods in fiscal 2022 primarily due to our changing assortment along with strong purchasing and inventory management, partially offset by impacts related to our system upgrades.</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tbl>
      <w:tblPr>
        <w:tblW w:w="12058" w:type="dxa"/>
        <w:jc w:val="left"/>
        <w:tblInd w:w="0" w:type="dxa"/>
        <w:tblLayout w:type="fixed"/>
        <w:tblCellMar>
          <w:top w:w="28" w:type="dxa"/>
          <w:left w:w="28" w:type="dxa"/>
          <w:bottom w:w="28" w:type="dxa"/>
          <w:right w:w="28" w:type="dxa"/>
        </w:tblCellMar>
      </w:tblPr>
      <w:tblGrid>
        <w:gridCol w:w="185"/>
        <w:gridCol w:w="162"/>
        <w:gridCol w:w="16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03"/>
        <w:gridCol w:w="203"/>
        <w:gridCol w:w="483"/>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54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SG&amp;A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278,134 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255,948 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835,948 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739,909 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for the 13 weeks ended September 30, 2023 compared to the same period in fiscal 2022 was driven by $19.1 million in higher store-related expenses and $3.0 million in higher corporate-related expenses. Store-related expenses primarily increased as a result of higher commission payments to IOs, reflecting gross profit growth together with incremental support we elected to provide to our IOs in connection with our system upgrades, as well as higher store occupancy costs due to 24 net new stores opened over the last 12 months, partially offset by the recognition of an e-commerce vendor obligation. Corporate-related expenses increased largely due to increased personnel costs primarily related to higher incentive compensation expense, reflecting strong performance trends relative to target for the 13 weeks ended September 30,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for the 39 weeks ended September 30, 2023 compared to the same period in fiscal 2022 was driven by $72.9 million in higher store-related expenses and $23.2 million in higher corporate-related expenses. Store-related expenses primarily increased as a result of higher commission payments to IOs, reflecting gross profit growth together with incremental support we elected to provide to our IOs in connection with our system upgrades, as well as higher store occupancy costs due to 24 net new stores opened over the last 12 months, partially offset by the recognition of an e-commerce vendor obligation. Corporate-related expenses increased largely due to increased personnel costs primarily related to higher incentive compensation expense, reflecting strong performance trends relative to target for the 39 weeks ended September 30,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net sales, SG&amp;A decreased for the 13 and 39 weeks ended September 30, 2023 compared to the same periods in fiscal 2022 primarily due to the aforementioned factors.</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tbl>
      <w:tblPr>
        <w:tblW w:w="11518" w:type="dxa"/>
        <w:jc w:val="left"/>
        <w:tblInd w:w="0" w:type="dxa"/>
        <w:tblLayout w:type="fixed"/>
        <w:tblCellMar>
          <w:top w:w="28" w:type="dxa"/>
          <w:left w:w="28" w:type="dxa"/>
          <w:bottom w:w="28" w:type="dxa"/>
          <w:right w:w="28" w:type="dxa"/>
        </w:tblCellMar>
      </w:tblPr>
      <w:tblGrid>
        <w:gridCol w:w="299"/>
        <w:gridCol w:w="263"/>
        <w:gridCol w:w="264"/>
        <w:gridCol w:w="211"/>
        <w:gridCol w:w="616"/>
        <w:gridCol w:w="271"/>
        <w:gridCol w:w="109"/>
        <w:gridCol w:w="109"/>
        <w:gridCol w:w="109"/>
        <w:gridCol w:w="211"/>
        <w:gridCol w:w="616"/>
        <w:gridCol w:w="271"/>
        <w:gridCol w:w="109"/>
        <w:gridCol w:w="109"/>
        <w:gridCol w:w="109"/>
        <w:gridCol w:w="211"/>
        <w:gridCol w:w="481"/>
        <w:gridCol w:w="109"/>
        <w:gridCol w:w="109"/>
        <w:gridCol w:w="109"/>
        <w:gridCol w:w="109"/>
        <w:gridCol w:w="263"/>
        <w:gridCol w:w="263"/>
        <w:gridCol w:w="483"/>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54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interest expense for the 13 weeks ended September 30, 2023 compared to the same period in fiscal 2022 was primarily driven by a decrease in principal debt outstanding over the last 12 months combined with increased interest income from IO notes and cash and cash equivalents, partially offset by increases in the effective borrowing rate. See Note 3 to the condensed consolidated financial statements for additional information.</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interest expense for the 39 weeks ended September 30, 2023 compared to the same period in fiscal 2022 was primarily driven by increases in the effective borrowing rate, partially offset by a decrease in principal debt outstanding over the last 12 months combined with increased interest income from IO notes and cash and cash equivalents. See Note 3 to the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Loss on Debt Extinguishment and Modification</w:t>
      </w:r>
    </w:p>
    <w:tbl>
      <w:tblPr>
        <w:tblW w:w="11438" w:type="dxa"/>
        <w:jc w:val="left"/>
        <w:tblInd w:w="0" w:type="dxa"/>
        <w:tblLayout w:type="fixed"/>
        <w:tblCellMar>
          <w:top w:w="28" w:type="dxa"/>
          <w:left w:w="28" w:type="dxa"/>
          <w:bottom w:w="28" w:type="dxa"/>
          <w:right w:w="28" w:type="dxa"/>
        </w:tblCellMar>
      </w:tblPr>
      <w:tblGrid>
        <w:gridCol w:w="506"/>
        <w:gridCol w:w="444"/>
        <w:gridCol w:w="446"/>
        <w:gridCol w:w="211"/>
        <w:gridCol w:w="406"/>
        <w:gridCol w:w="271"/>
        <w:gridCol w:w="109"/>
        <w:gridCol w:w="109"/>
        <w:gridCol w:w="109"/>
        <w:gridCol w:w="211"/>
        <w:gridCol w:w="406"/>
        <w:gridCol w:w="271"/>
        <w:gridCol w:w="109"/>
        <w:gridCol w:w="109"/>
        <w:gridCol w:w="109"/>
        <w:gridCol w:w="231"/>
        <w:gridCol w:w="445"/>
        <w:gridCol w:w="120"/>
        <w:gridCol w:w="109"/>
        <w:gridCol w:w="109"/>
        <w:gridCol w:w="109"/>
        <w:gridCol w:w="203"/>
        <w:gridCol w:w="203"/>
        <w:gridCol w:w="483"/>
        <w:gridCol w:w="109"/>
        <w:gridCol w:w="109"/>
        <w:gridCol w:w="109"/>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308"/>
        <w:gridCol w:w="308"/>
        <w:gridCol w:w="544"/>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debt extinguishment and modification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39 weeks ended September 30, 2023, we recorded a $5.3 million loss on debt extinguishment related to the payoff of $385.0 million of principal on the senior term loan outstanding under our prior credit facilities. During the 39 weeks ended October 1, 2022, we recorded a $1.3 million loss on debt extinguishment related to the prepayment of $75.0 million of principal on the senior term loan outstanding under our prior credit facilities. See Note 3 to the condensed consolidated financial statements for additional information.</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tbl>
      <w:tblPr>
        <w:tblW w:w="11878" w:type="dxa"/>
        <w:jc w:val="left"/>
        <w:tblInd w:w="0" w:type="dxa"/>
        <w:tblLayout w:type="fixed"/>
        <w:tblCellMar>
          <w:top w:w="28" w:type="dxa"/>
          <w:left w:w="28" w:type="dxa"/>
          <w:bottom w:w="28" w:type="dxa"/>
          <w:right w:w="28" w:type="dxa"/>
        </w:tblCellMar>
      </w:tblPr>
      <w:tblGrid>
        <w:gridCol w:w="358"/>
        <w:gridCol w:w="248"/>
        <w:gridCol w:w="250"/>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308"/>
        <w:gridCol w:w="308"/>
        <w:gridCol w:w="483"/>
        <w:gridCol w:w="109"/>
        <w:gridCol w:w="109"/>
        <w:gridCol w:w="109"/>
        <w:gridCol w:w="211"/>
        <w:gridCol w:w="721"/>
        <w:gridCol w:w="271"/>
        <w:gridCol w:w="109"/>
        <w:gridCol w:w="109"/>
        <w:gridCol w:w="109"/>
        <w:gridCol w:w="211"/>
        <w:gridCol w:w="616"/>
        <w:gridCol w:w="271"/>
        <w:gridCol w:w="109"/>
        <w:gridCol w:w="109"/>
        <w:gridCol w:w="109"/>
        <w:gridCol w:w="211"/>
        <w:gridCol w:w="721"/>
        <w:gridCol w:w="109"/>
        <w:gridCol w:w="109"/>
        <w:gridCol w:w="109"/>
        <w:gridCol w:w="109"/>
        <w:gridCol w:w="308"/>
        <w:gridCol w:w="308"/>
        <w:gridCol w:w="544"/>
      </w:tblGrid>
      <w:tr>
        <w:trPr/>
        <w:tc>
          <w:tcPr>
            <w:tcW w:w="3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Effective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income tax expense for the 13 and 39 weeks ended September 30, 2023 compared to the same periods in fiscal 2022 was primarily due to higher pretax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our effective income tax rate for the 13 weeks ended September 30, 2023 compared to the 13 weeks ended October 1, 2022 was primarily driven by increased pretax income without a proportional increase in tax benefits related to the exercise of stock options as well as non-deductible executive compensation under Internal Revenue Code Section 162(m) during the 13 weeks ended September 30, 2023, which was not applicable during the 13 weeks ended October 1, 2022. The increase in our effective income tax rate for the 39 weeks ended September 30, 2023 compared to the 39 weeks ended October 1, 2022 was primarily driven by lower excess tax benefits related to the exercise of stock options as well as non-deductible executive compensation under Internal Revenue Code Section 162(m) during the 39 weeks ended September 30, 2023, which was not applicable during the 39 weeks ended October 1, 2022.</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Net Income</w:t>
      </w:r>
    </w:p>
    <w:tbl>
      <w:tblPr>
        <w:tblW w:w="11848" w:type="dxa"/>
        <w:jc w:val="left"/>
        <w:tblInd w:w="0" w:type="dxa"/>
        <w:tblLayout w:type="fixed"/>
        <w:tblCellMar>
          <w:top w:w="28" w:type="dxa"/>
          <w:left w:w="28" w:type="dxa"/>
          <w:bottom w:w="28" w:type="dxa"/>
          <w:right w:w="28" w:type="dxa"/>
        </w:tblCellMar>
      </w:tblPr>
      <w:tblGrid>
        <w:gridCol w:w="261"/>
        <w:gridCol w:w="229"/>
        <w:gridCol w:w="231"/>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483"/>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55"/>
        <w:gridCol w:w="256"/>
        <w:gridCol w:w="54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27,140 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55.1 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foregoing factors, net income increased for the 13 and 39 weeks ended September 30, 2023 compared to the same periods in fiscal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tbl>
      <w:tblPr>
        <w:tblW w:w="11650" w:type="dxa"/>
        <w:jc w:val="left"/>
        <w:tblInd w:w="0" w:type="dxa"/>
        <w:tblLayout w:type="fixed"/>
        <w:tblCellMar>
          <w:top w:w="28" w:type="dxa"/>
          <w:left w:w="28" w:type="dxa"/>
          <w:bottom w:w="28" w:type="dxa"/>
          <w:right w:w="28" w:type="dxa"/>
        </w:tblCellMar>
      </w:tblPr>
      <w:tblGrid>
        <w:gridCol w:w="310"/>
        <w:gridCol w:w="272"/>
        <w:gridCol w:w="27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483"/>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4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adjusted EBITDA for the 13 and 39 weeks ended September 30, 2023 compared to the same periods in fiscal 2022 was primarily due to an increase in comparable store sales of 6.4% for the 13 weeks ended September 30, 2023 and 9.2% for the 39 weeks ended September 30, 2023, as well as higher net sales resulting from new store growth, combined with increased gross margin.</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Adjusted Net Income </w:t>
      </w:r>
    </w:p>
    <w:tbl>
      <w:tblPr>
        <w:tblW w:w="11335" w:type="dxa"/>
        <w:jc w:val="left"/>
        <w:tblInd w:w="0" w:type="dxa"/>
        <w:tblLayout w:type="fixed"/>
        <w:tblCellMar>
          <w:top w:w="28" w:type="dxa"/>
          <w:left w:w="28" w:type="dxa"/>
          <w:bottom w:w="28" w:type="dxa"/>
          <w:right w:w="28" w:type="dxa"/>
        </w:tblCellMar>
      </w:tblPr>
      <w:tblGrid>
        <w:gridCol w:w="310"/>
        <w:gridCol w:w="272"/>
        <w:gridCol w:w="27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48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54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adjusted net income for the 13 and 39 weeks ended September 30, 2023 compared to the same periods in fiscal 2022 was primarily due to an increase in comparable store sales of 6.4% for the 13 weeks ended September 30, 2023 and 9.2% for the 39 weeks ended September 30, 2023, as well as higher net sales resulting from new store growth, combined with increased gross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credit agreement, dated as of February 21, 2023 (the "2023 Credit Agreement").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and cash equivalents of $155.7 million, which consisted primarily of cash held in checking and money market accounts with financial institutions. These balances were slightly above normalized levels as we experienced longer payable processing times as a result of our system implementation. In addition, we have a revolving credit facility with $400.0 million in borrowing capacity under our 2023 Credit Agreement. As of September 30, 2023, we had no borrowings outstanding under the revolving credit facility and $4.2 million of outstanding standby letters of credit, resulting in $395.8 million of remaining borrowing capacity available under this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2023, we entered into the 2023 Credit Agreement, which provides for senior secured credit facilities consisting of (i) a senior secured term loan facility (the "senior term loan") in an original aggregate principal amount of $300.0 million and (ii) a senior secured revolving credit facility (the "revolving credit facility" and, together with the senior term loan, the "new credit facilities") in an aggregate principal amount of $400.0 million. The senior term loan was borrowed in full on such date, and $25.0 million of the revolving credit facility was borrowed on such date. See Note 3 to our condensed consolidated financial statements for additional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from time to time, at our sole discretion, prepay or retire all or a portion of our outstanding debt. On April 21, 2023, we repaid the $25.0 million of principal on our revolving credit facility. Since the April 21, 2023 repayment, no amounts were borrowed under this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the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(as defined in the 2023 Credit Agreement) of 3.00 to 1.00.</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information noted below and the refinancing of our credit facilities in February 2023 (See Note 3 to the condensed consolidated financial statements for additional information), there has been no material change in our material cash requirements since the end of fiscal 2022. See our 2022 Form 10-K for additional information.</w:t>
      </w:r>
    </w:p>
    <w:p>
      <w:pPr>
        <w:pStyle w:val="TextBody"/>
        <w:bidi w:val="0"/>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 purchases of capital assets such as property and equipment as well as intangible assets and licenses. Capital expenditures for the 39 weeks ended September 30, 2023, before the impact of tenant improvement allowances, were $130.8 million, and, net of tenant improvement allowances, were $116.6 million. We continue to expect total capital expenditures, net of tenant improvement allowances, to be approximately $155.0 million for fiscal 2023.</w:t>
      </w:r>
    </w:p>
    <w:p>
      <w:pPr>
        <w:pStyle w:val="TextBody"/>
        <w:bidi w:val="0"/>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Obligations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requires us to make scheduled quarterly amortization payments of the senior term loan. Such payments total $52.5 million over the remaining term of the senior term loan, with none payable over the remainder of fiscal 2023. The remaining senior term loan principal balance will become due in February 2028 at maturity. See Note 3 to our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Debt Covenants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contains certain customary representations and warranties, subject to limitations and exceptions, and affirmative and customary covenants. The 2023 Credit Agreement contains certain covenants that, among other things, limit the our ability and the ability of our restricted subsidiary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our subsidiary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3.50 to 1.00 as of the last day of each test period ending prior to the test period ending on or about December 31, 2025, and no greater than 3.25 to 1.00 as of the last day of each test period ending thereafter, subject to certain adjustments set forth in the 2023 Credit Agreement. The minimum interest coverage ratio test requires us to be in compliance with a Consolidated Interest Coverage Ratio (as defined in the 2023 Credit Agreement) no less than 1.75 to 1.00 as of the last day of each test period.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were in compliance with all applicable financial covenant requirements for our 2023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our cash flows for the periods presented (amounts in thousands, except percentages):</w:t>
      </w:r>
    </w:p>
    <w:tbl>
      <w:tblPr>
        <w:tblW w:w="10205" w:type="dxa"/>
        <w:jc w:val="left"/>
        <w:tblInd w:w="0" w:type="dxa"/>
        <w:tblLayout w:type="fixed"/>
        <w:tblCellMar>
          <w:top w:w="28" w:type="dxa"/>
          <w:left w:w="28" w:type="dxa"/>
          <w:bottom w:w="28" w:type="dxa"/>
          <w:right w:w="28" w:type="dxa"/>
        </w:tblCellMar>
      </w:tblPr>
      <w:tblGrid>
        <w:gridCol w:w="1496"/>
        <w:gridCol w:w="1308"/>
        <w:gridCol w:w="1312"/>
        <w:gridCol w:w="279"/>
        <w:gridCol w:w="1096"/>
        <w:gridCol w:w="144"/>
        <w:gridCol w:w="109"/>
        <w:gridCol w:w="109"/>
        <w:gridCol w:w="109"/>
        <w:gridCol w:w="235"/>
        <w:gridCol w:w="923"/>
        <w:gridCol w:w="121"/>
        <w:gridCol w:w="109"/>
        <w:gridCol w:w="109"/>
        <w:gridCol w:w="109"/>
        <w:gridCol w:w="211"/>
        <w:gridCol w:w="826"/>
        <w:gridCol w:w="109"/>
        <w:gridCol w:w="109"/>
        <w:gridCol w:w="109"/>
        <w:gridCol w:w="109"/>
        <w:gridCol w:w="307"/>
        <w:gridCol w:w="309"/>
        <w:gridCol w:w="548"/>
      </w:tblGrid>
      <w:tr>
        <w:trPr/>
        <w:tc>
          <w:tcPr>
            <w:tcW w:w="149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39 Weeks Ended</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276,218 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(131,030)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Provided by Operating Activities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$276.2 million for the 39 weeks ended September 30, 2023 compared to $139.9 million for the same period in fiscal 2022. The increase in net cash provided by operating activities of $136.4 million for the 39 weeks ended September 30, 2023 compared to the same period in fiscal 2022 was primarily driven by changes in merchandise inventory levels, higher trade accounts payable, and higher accrued expenses combined with increased net sales driven by comparable stores sales and new store growth. The increases in trade accounts payable and accrued expenses were partially attributable to disruptions related to our aforementioned system upgrades.</w:t>
      </w:r>
    </w:p>
    <w:p>
      <w:pPr>
        <w:pStyle w:val="TextBody"/>
        <w:bidi w:val="0"/>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Used in Investing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$131.0 million for the 39 weeks ended September 30, 2023 compared to $99.2 million for the same period in fiscal 2022. The increase in net cash used in investing activities of $31.8 million for the 39 weeks ended September 30, 2023 compared to the same period in fiscal 2022 was primarily due to increased spending on property and equipment due to higher store count as well as increased investments in computer software intangible assets related to upgrading our financial ledger, inventory management platform and product data warehouse system.</w:t>
      </w:r>
    </w:p>
    <w:p>
      <w:pPr>
        <w:pStyle w:val="TextBody"/>
        <w:bidi w:val="0"/>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Used in Financing Activities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$92.3 million for the 39 weeks ended September 30, 2023 was primarily due to the payoff of $385.0 million of principal on the prior senior term loan outstanding under our prior credit facilities, repayment of the $25.0 million of principal on our revolving credit facility, $4.5 million in debt issuance costs paid, $3.8 million in scheduled principal payments on the senior term loan under our new current credit facilities and the repurchase of $3.3 million worth of common stock, partially offset by $325.0 million in proceeds from the new credit facilities. Net cash used in financing activities of $73.4 million for the 39 weeks ended October 1, 2022 was primarily due to the prepayment of $75.0 million of principal on the senior term loan outstanding under our prior credit facilities as well as the repurchase of $3.5 million worth of common stock, partially offset by $6.0 million in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and the applicable rules and regulations of the SEC for interim reporting. The preparation of our condensed consolidated financial statements requires us to make judgments and estimates that affect the reported amounts of assets, liabilities, revenues, expenses and related disclosures. We evaluate our estimates and assumptions on an ongoing basis. Our judgments and estimates are based on historical experience and other factors believed to be reasonable under the circumstances. With respect to critical accounting policies, even a relatively minor variance between actual and expected results can potentially have a materially favorable or unfavorable impact on subsequent results of operations.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during the 39 weeks ended September 30, 2023 from those disclosed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 to the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Our operating results are subject to market risk from interest rate fluctuations on our credit facilities, which bear variable interest rates. As of September 30, 2023, our outstanding borr</w:t>
      </w:r>
      <w:r>
        <w:rPr>
          <w:rFonts w:ascii="Times New Roman;sans-serif" w:hAnsi="Times New Roman;sans-serif"/>
          <w:b w:val="false"/>
          <w:color w:val="000000"/>
          <w:sz w:val="20"/>
        </w:rPr>
        <w:t xml:space="preserve">owings included $296.3 million from our senior term loan under the 2023 Credit Agreement. As of September 30, 2023, the interest rate on the senior term loan was 7.42% (See Note 3 to our condensed consolidated financial statements for additional information). Based on the outstanding balance and interest rate of our senior term loan as of September 30, 2023, a hypothetical 10% relative increase or decrease in the interest rate would cause an increase or decrease in interest expense of approximately $2.2 million over the next </w:t>
      </w:r>
      <w:r>
        <w:rPr>
          <w:rFonts w:ascii="Times New Roman;sans-serif" w:hAnsi="Times New Roman;sans-serif"/>
          <w:b w:val="false"/>
          <w:color w:val="000000"/>
          <w:sz w:val="20"/>
          <w:shd w:fill="FFFFFF" w:val="clear"/>
        </w:rPr>
        <w:t>12 months.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use derivative financial instruments for speculative or trading purposes, but this does not preclude our adoption of specific hedging strategies in the future.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Impact of Inflation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financial condition are presented based on historical cost. While it is difficult to accurately measure the impact of inflation due to the imprecise nature of the estimates required, we have experienced over the last several years varying levels of inflation, resulting in part from various supply disruptions, increased shipping and transportation costs, increased commodity costs, increased labor costs in the supply chain, increased SG&amp;A related to personnel, travel, and other operational costs and other disruptions caused by the current macroeconomic environment. Similarly, our IOs have been impacted by staffing challenges and increased labor costs and utility costs within their businesses. Furthermore, our results of operations and financial condition may be materially impacted by inflation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our Chief Executive Officer and Chief Financial Officer have concluded that our disclosure controls and procedures were effective at a reasonable assurance level as of September 30, 2023.</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2023, we replaced components of our enterprise resource planning system, including our financial ledger, inventory management platform and product data warehouse system. These new systems are intended to provide us with enhanced transactional processing, security and management tools, and are an important element of our system of disclosure controls and procedures. We modified certain existing internal controls, as well as implemented new controls and procedures impacted by the implementation of these new systems. We will continue to monitor and evaluate the operating effectiveness of the related controls during subsequent periods. Except for the implementation of these new systems,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party to litigation that arises in the ordinary course of our business. Management believes that we do not have any pending litigation that, separately or in the aggregate, would have a material adverse effect on our results of operations, financial condition or cash flows, and no material legal proceedings were terminated, settled or otherwise resolved during the 13 weeks ended September 30,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SEC regulations require us to disclose information about certain environmental proceedings if we reasonably believe that such proceedings may result in monetary sanctions above a stated threshold. Pursuant to SEC regulations, we use a threshold of $1.0 million for purposes of determining whether disclosure of any such proceedings is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on Form 10-Q, our business, financial condition and operating results can be affected by a number of factors, whether currently known or unknown, including but not limited to those described in Part I, Item 1A of our 2022 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13 weeks ended September 30, 2023, we did not repurchase any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 Upon Senior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Rule 10b5-1 Trading Plans - Directors and Section 16 Officers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contracts, instructions or written plans for the sale or purchase of our securities adopted by our directors and Officers (as such term is defined under Section 16 of the Exchange Act) during the 13 weeks ended September 30, 2023, each of which is intended to satisfy the affirmative defense conditions of Rule 10b5-1(c) of the Exchange Act, each referred to as Rule 10b5-1 trading plan.</w:t>
      </w:r>
    </w:p>
    <w:tbl>
      <w:tblPr>
        <w:tblW w:w="10205" w:type="dxa"/>
        <w:jc w:val="left"/>
        <w:tblInd w:w="0" w:type="dxa"/>
        <w:tblLayout w:type="fixed"/>
        <w:tblCellMar>
          <w:top w:w="28" w:type="dxa"/>
          <w:left w:w="28" w:type="dxa"/>
          <w:bottom w:w="28" w:type="dxa"/>
          <w:right w:w="28" w:type="dxa"/>
        </w:tblCellMar>
      </w:tblPr>
      <w:tblGrid>
        <w:gridCol w:w="762"/>
        <w:gridCol w:w="539"/>
        <w:gridCol w:w="541"/>
        <w:gridCol w:w="109"/>
        <w:gridCol w:w="109"/>
        <w:gridCol w:w="109"/>
        <w:gridCol w:w="603"/>
        <w:gridCol w:w="603"/>
        <w:gridCol w:w="605"/>
        <w:gridCol w:w="109"/>
        <w:gridCol w:w="109"/>
        <w:gridCol w:w="109"/>
        <w:gridCol w:w="699"/>
        <w:gridCol w:w="699"/>
        <w:gridCol w:w="701"/>
        <w:gridCol w:w="109"/>
        <w:gridCol w:w="109"/>
        <w:gridCol w:w="109"/>
        <w:gridCol w:w="1014"/>
        <w:gridCol w:w="1014"/>
        <w:gridCol w:w="1444"/>
      </w:tblGrid>
      <w:tr>
        <w:trPr/>
        <w:tc>
          <w:tcPr>
            <w:tcW w:w="76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Adoption of Rule 10b5-1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Scheduled Expiration of Rule 10b5-1 Trading Plan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Number of Securities to be Purchased or Sold</w:t>
            </w:r>
          </w:p>
        </w:tc>
      </w:tr>
      <w:tr>
        <w:trPr/>
        <w:tc>
          <w:tcPr>
            <w:tcW w:w="1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Eric J. Lindberg, Jr.</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Up to 680,000 shares of our common stock upon the exercise of stock options </w:t>
            </w:r>
            <w:r>
              <w:rPr>
                <w:rFonts w:ascii="Times New Roman;sans-serif" w:hAnsi="Times New Roman;sans-serif"/>
                <w:b w:val="false"/>
                <w:color w:val="000000"/>
                <w:sz w:val="13"/>
              </w:rPr>
              <w:t>(2)</w:t>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K. Wilson</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EVP, Chief Purchasing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8/28/2023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Up to 144,666 shares of our common stock (which includes 32,017 shares upon the exercise of stock options) </w:t>
            </w:r>
            <w:r>
              <w:rPr>
                <w:rFonts w:ascii="Times New Roman;sans-serif" w:hAnsi="Times New Roman;sans-serif"/>
                <w:b w:val="false"/>
                <w:color w:val="000000"/>
                <w:sz w:val="13"/>
              </w:rPr>
              <w:t>(2)</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Thomas F. Herman Separate Property Trust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 to 17,000 shares of our common stock</w:t>
            </w:r>
          </w:p>
        </w:tc>
      </w:tr>
    </w:tbl>
    <w:p>
      <w:pPr>
        <w:pStyle w:val="TextBody"/>
        <w:bidi w:val="0"/>
        <w:spacing w:lineRule="auto" w:line="288" w:before="2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shd w:fill="FFFFFF" w:val="clear"/>
        </w:rPr>
        <w:t>A trading plan may also expire on such earlier date as all transactions under the trading plan are completed.</w:t>
      </w:r>
    </w:p>
    <w:p>
      <w:pPr>
        <w:pStyle w:val="TextBody"/>
        <w:bidi w:val="0"/>
        <w:spacing w:lineRule="auto" w:line="288" w:before="60" w:after="283"/>
        <w:ind w:left="0" w:right="0" w:hanging="54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(2)The stock options included in Messrs. Lindberg and Wilson's 10b5-1 plans have expiration dates of October 21, 2024 and November 25, 2024, respectively.</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(3)Thomas F. Herman, a member of our Board of Directors, is a trustee of the Thomas F. Herman Separate Property Trust.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13 weeks ended September 30, 2023, none of our directors and Officers (i) adopted a contract, instruction or written plan for the purchase or sale of our securities in any "non-Rule 10b5-1 trading arrangement" or (ii) terminated a contract, instruction or written plan for the purchase or sale of our securities that was a Rule 10b5-1 trading plan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6"/>
        <w:gridCol w:w="243"/>
        <w:gridCol w:w="244"/>
        <w:gridCol w:w="109"/>
        <w:gridCol w:w="109"/>
        <w:gridCol w:w="109"/>
        <w:gridCol w:w="1807"/>
        <w:gridCol w:w="1681"/>
        <w:gridCol w:w="1698"/>
        <w:gridCol w:w="109"/>
        <w:gridCol w:w="109"/>
        <w:gridCol w:w="109"/>
        <w:gridCol w:w="175"/>
        <w:gridCol w:w="175"/>
        <w:gridCol w:w="176"/>
        <w:gridCol w:w="109"/>
        <w:gridCol w:w="109"/>
        <w:gridCol w:w="109"/>
        <w:gridCol w:w="238"/>
        <w:gridCol w:w="238"/>
        <w:gridCol w:w="242"/>
        <w:gridCol w:w="109"/>
        <w:gridCol w:w="109"/>
        <w:gridCol w:w="109"/>
        <w:gridCol w:w="212"/>
        <w:gridCol w:w="212"/>
        <w:gridCol w:w="214"/>
        <w:gridCol w:w="109"/>
        <w:gridCol w:w="109"/>
        <w:gridCol w:w="109"/>
        <w:gridCol w:w="214"/>
        <w:gridCol w:w="214"/>
        <w:gridCol w:w="311"/>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File </w:t>
              <w:br/>
              <w:t>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Filing </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Exhibit </w:t>
              <w:br/>
              <w:t>No.</w:t>
            </w:r>
          </w:p>
        </w:tc>
      </w:tr>
      <w:tr>
        <w:trPr/>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Restated Certificate of Incorporation of Grocery Outlet Holding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Amended and Restated Bylaws of Grocery Outlet Holding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3q3exhibit101.htm">
              <w:r>
                <w:rPr>
                  <w:rStyle w:val="InternetLink"/>
                  <w:rFonts w:ascii="Times New Roman;sans-serif" w:hAnsi="Times New Roman;sans-serif"/>
                  <w:b w:val="false"/>
                  <w:color w:val="0000FF"/>
                  <w:sz w:val="20"/>
                  <w:u w:val="single"/>
                </w:rPr>
                <w:t>Grocery Outlet Inc. 2019 Annual Incentive Plan (Amended and Restated Effective August 24,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3q3exhibit311.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3q3exhibit312.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3q3exhibit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3q3exhibit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 and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b21a39c1c8d4564937ff60d5a6e85a8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82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860"/>
        <w:gridCol w:w="860"/>
        <w:gridCol w:w="121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Grocery Outlet Holding Corp.</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br/>
              <w:t>Chief Financial Officer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Lindsay E. Gray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Lindsay E. Gray</w:t>
              <w:br/>
              <w:t>Senior Vice President, Accounting</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Grocery Outlet Inc.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Annual Incentive Plan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Effective August 24, 2023)</w:t>
      </w:r>
    </w:p>
    <w:p>
      <w:pPr>
        <w:pStyle w:val="TextBody"/>
        <w:bidi w:val="0"/>
        <w:spacing w:lineRule="auto" w:line="288" w:before="0" w:after="240"/>
        <w:jc w:val="left"/>
        <w:rPr/>
      </w:pPr>
      <w:r>
        <w:rPr>
          <w:rFonts w:ascii="Times New Roman;sans-serif" w:hAnsi="Times New Roman;sans-serif"/>
          <w:b w:val="false"/>
          <w:color w:val="000000"/>
          <w:sz w:val="24"/>
        </w:rPr>
        <w:t>The Amended and Restated Grocery Outlet Inc. Annual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is established to reward and align the efforts of employees with the strategic priorities and activities of Grocery Outlet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which maximize the Company’s performance and drive shareholder value by providing an annual cash incentive opportunity to participating employees that may be earned for achievement of short-term financial and strategic goals. The Plan was established effective as of January 1, 2019 and shall be administered by the Compensation Committee of Grocery Outlet Holding Corp., the ultimate parent of the Company (the “</w:t>
      </w:r>
      <w:r>
        <w:rPr>
          <w:rFonts w:ascii="Times New Roman;sans-serif" w:hAnsi="Times New Roman;sans-serif"/>
          <w:b/>
          <w:i/>
          <w:color w:val="000000"/>
          <w:sz w:val="24"/>
        </w:rPr>
        <w:t>Administrator</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1.    Definitions. </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u w:val="single"/>
        </w:rPr>
        <w:t>Base Salary</w:t>
      </w:r>
      <w:r>
        <w:rPr>
          <w:color w:val="000000"/>
        </w:rPr>
        <w:t xml:space="preserve">” </w:t>
      </w:r>
      <w:r>
        <w:rPr>
          <w:rFonts w:ascii="Times New Roman;sans-serif" w:hAnsi="Times New Roman;sans-serif"/>
          <w:b w:val="false"/>
          <w:color w:val="000000"/>
          <w:sz w:val="24"/>
        </w:rPr>
        <w:t xml:space="preserve">means the Participant’s annual base salary for the Bonus Period or for the portion of the Bonus Period that a Participant is eligible;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Base Salary shall exclude any portion of such annual base salary that relates to any period of time that a Participant is on a permitted leave of absence. Base Salary is determined without regard to any salary deferrals under any deferred compensation plans or other pay or benefit programs of the Company in which the Participant participates.</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u w:val="single"/>
        </w:rPr>
        <w:t>Bonus Amount</w:t>
      </w:r>
      <w:r>
        <w:rPr>
          <w:color w:val="000000"/>
        </w:rPr>
        <w:t xml:space="preserve">” </w:t>
      </w:r>
      <w:r>
        <w:rPr>
          <w:rFonts w:ascii="Times New Roman;sans-serif" w:hAnsi="Times New Roman;sans-serif"/>
          <w:b w:val="false"/>
          <w:color w:val="000000"/>
          <w:sz w:val="24"/>
        </w:rPr>
        <w:t>means, as to any Participant, the applicable bonus payment calculated using Base Salary and Bonus Percent, subject to the requirements of Section 2.</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u w:val="single"/>
        </w:rPr>
        <w:t>Bonus Percent</w:t>
      </w:r>
      <w:r>
        <w:rPr>
          <w:color w:val="000000"/>
        </w:rPr>
        <w:t xml:space="preserve">” </w:t>
      </w:r>
      <w:r>
        <w:rPr>
          <w:rFonts w:ascii="Times New Roman;sans-serif" w:hAnsi="Times New Roman;sans-serif"/>
          <w:b w:val="false"/>
          <w:color w:val="000000"/>
          <w:sz w:val="24"/>
        </w:rPr>
        <w:t>means a percentage of a Participant’s Base Salary, as determined by the Company.</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d.</w:t>
      </w:r>
      <w:r>
        <w:rPr>
          <w:color w:val="000000"/>
        </w:rPr>
        <w:t>“</w:t>
      </w:r>
      <w:r>
        <w:rPr>
          <w:rFonts w:ascii="Times New Roman;sans-serif" w:hAnsi="Times New Roman;sans-serif"/>
          <w:b/>
          <w:color w:val="000000"/>
          <w:sz w:val="24"/>
          <w:u w:val="single"/>
        </w:rPr>
        <w:t>Bonus Period</w:t>
      </w:r>
      <w:r>
        <w:rPr>
          <w:color w:val="000000"/>
        </w:rPr>
        <w:t xml:space="preserve">” </w:t>
      </w:r>
      <w:r>
        <w:rPr>
          <w:rFonts w:ascii="Times New Roman;sans-serif" w:hAnsi="Times New Roman;sans-serif"/>
          <w:b w:val="false"/>
          <w:color w:val="000000"/>
          <w:sz w:val="24"/>
        </w:rPr>
        <w:t>means from the first day of the fiscal year through the last day of such fiscal year.</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e.</w:t>
      </w:r>
      <w:r>
        <w:rPr>
          <w:color w:val="000000"/>
        </w:rPr>
        <w:t>“</w:t>
      </w:r>
      <w:r>
        <w:rPr>
          <w:rFonts w:ascii="Times New Roman;sans-serif" w:hAnsi="Times New Roman;sans-serif"/>
          <w:b/>
          <w:color w:val="000000"/>
          <w:sz w:val="24"/>
          <w:u w:val="single"/>
        </w:rPr>
        <w:t>Participant</w:t>
      </w:r>
      <w:r>
        <w:rPr>
          <w:color w:val="000000"/>
        </w:rPr>
        <w:t xml:space="preserve">” </w:t>
      </w:r>
      <w:r>
        <w:rPr>
          <w:rFonts w:ascii="Times New Roman;sans-serif" w:hAnsi="Times New Roman;sans-serif"/>
          <w:b w:val="false"/>
          <w:color w:val="000000"/>
          <w:sz w:val="24"/>
        </w:rPr>
        <w:t>means an employee who is designated to participate in the Plan by the Company, subject to the requirements of Section 2. For purposes hereof, the Company shall be permitted to designate groups of employees by job title or level as Participants without the need to identify any individual Participant by name. In no event shall a Participant include (i) independent contractors, (ii) temporary employees, or (iii) employees who are regularly scheduled to work less than 20 hours per week or are non-benefits eligible.</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f.</w:t>
      </w:r>
      <w:r>
        <w:rPr>
          <w:color w:val="000000"/>
        </w:rPr>
        <w:t>“</w:t>
      </w:r>
      <w:r>
        <w:rPr>
          <w:rFonts w:ascii="Times New Roman;sans-serif" w:hAnsi="Times New Roman;sans-serif"/>
          <w:b/>
          <w:color w:val="000000"/>
          <w:sz w:val="24"/>
          <w:u w:val="single"/>
        </w:rPr>
        <w:t>Payment Date</w:t>
      </w:r>
      <w:r>
        <w:rPr>
          <w:color w:val="000000"/>
        </w:rPr>
        <w:t xml:space="preserve">” </w:t>
      </w:r>
      <w:r>
        <w:rPr>
          <w:rFonts w:ascii="Times New Roman;sans-serif" w:hAnsi="Times New Roman;sans-serif"/>
          <w:b w:val="false"/>
          <w:color w:val="000000"/>
          <w:sz w:val="24"/>
        </w:rPr>
        <w:t>means the date on which a Bonus Amount (or a portion thereof), if any, is paid to a Participant.</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g.</w:t>
      </w:r>
      <w:r>
        <w:rPr>
          <w:color w:val="000000"/>
        </w:rPr>
        <w:t>“</w:t>
      </w:r>
      <w:r>
        <w:rPr>
          <w:rFonts w:ascii="Times New Roman;sans-serif" w:hAnsi="Times New Roman;sans-serif"/>
          <w:b/>
          <w:color w:val="000000"/>
          <w:sz w:val="24"/>
          <w:u w:val="single"/>
        </w:rPr>
        <w:t>Performance Goals</w:t>
      </w:r>
      <w:r>
        <w:rPr>
          <w:color w:val="000000"/>
        </w:rPr>
        <w:t xml:space="preserve">” </w:t>
      </w:r>
      <w:r>
        <w:rPr>
          <w:rFonts w:ascii="Times New Roman;sans-serif" w:hAnsi="Times New Roman;sans-serif"/>
          <w:b w:val="false"/>
          <w:color w:val="000000"/>
          <w:sz w:val="24"/>
        </w:rPr>
        <w:t>means the performance criteria and objectives that are established by the Company for the applicable Bonus Period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2.    Eligibility for Bonus Amount.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under the Plan, each Participant is eligible to receive a Bonus Amount under the Plan if:</w:t>
      </w:r>
    </w:p>
    <w:p>
      <w:pPr>
        <w:pStyle w:val="TextBody"/>
        <w:bidi w:val="0"/>
        <w:spacing w:lineRule="auto" w:line="288"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a.Such Participant became a Participant on or before October 1 of the applicable Bonus Period;</w:t>
      </w:r>
    </w:p>
    <w:p>
      <w:pPr>
        <w:pStyle w:val="TextBody"/>
        <w:bidi w:val="0"/>
        <w:spacing w:lineRule="auto" w:line="288"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b.Such Participant remains active in an eligible status in the employ of the Company through the date the Bonus Amount (or a portion thereof) is paid;</w:t>
      </w:r>
    </w:p>
    <w:p>
      <w:pPr>
        <w:pStyle w:val="TextBody"/>
        <w:bidi w:val="0"/>
        <w:spacing w:lineRule="auto" w:line="288"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c.The Performance Goals for the applicable Bonus Period are met;</w:t>
      </w:r>
    </w:p>
    <w:p>
      <w:pPr>
        <w:pStyle w:val="TextBody"/>
        <w:bidi w:val="0"/>
        <w:spacing w:lineRule="auto" w:line="288" w:before="0" w:after="24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d.Such Participant is in good standing. Participants whose performance needs improvement or is below standard (as determined by the Administrator) may in the sole and absolute discretion of the Administrator be deemed ineligible to earn any Bonus Amount, in whole or in part. The following are a non-exhaustive list of factors the Administrator may consider in determining a Participant’s below standard performance: (1) most recent annual performance rating below meets expectations; (2) currently on a performance improvement plan or being counseled for below standards performance; or (3) has a final written warning in effect at the time of payment.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Participants in eligible status who remain active, but change positions during the Bonus Period are eligible to earn a pro-rated bonus based upon their period of employment in eligible status during the Bonus Period.</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3.    Performance Goals.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Administrator shall approve the Performance Goals for the applicable Bonus Period. Achievement of Performance Goals, which will determine the amount, if any, earned under the Plan, shall be determined by the Administrator or its designee. The Bonus Amount actually earned will be in the sole and exclusive discretion of the Administrator or its designee based on the application of the Performance Goals for the applicable Bonus Period.</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4.    Payment of Bonus Amount.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payment with respect to any Bonus Amount (or a portion thereof) under the Plan shall be payable by the Company on a Payment Date, subject to a Participant’s continued employment through such Payment Date. The Bonus Amount (or a portion thereof) will be payable as a lump sum cash amount or, at the discretion of the Administrator and if determined prior to the Payment Date, in shares of the Company’s stock. The Bonus Amount (or a portion thereof) shall be subject to reduction for all required federal, state and local taxes and other legally required withholdings.</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3"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5.    Termination of Employment.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To the extent a Participant’s employment with the Company is terminated for any reason prior to the Payment Date, such Participant shall have no rights with respect to any Bonus Amount or other payment or award under the Plan, unless otherwise prohibited by law.</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6.    Termination or Amendment of the Plan</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The Plan may be amended, terminated or discontinued in whole or in part, at any time and from time to time at the sole and exclusive discretion of the Administrator without further liability of the Company to any Participant.</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7.    Additional Terms.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any provision of this Plan is found to be invalid or unenforceable, such provision shall not affect the other provisions of the Plan, and the Plan shall be construed in all respects as if such invalid provision had been omitted. All questions concerning the construction, validation and interpretation of the Plan shall be governed by the laws of the state of Delaware without regard to its conflict of laws provisions.</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8.    Miscellaneous.</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 Right to Continued Employment</w:t>
      </w:r>
      <w:r>
        <w:rPr>
          <w:rFonts w:ascii="Times New Roman;sans-serif" w:hAnsi="Times New Roman;sans-serif"/>
          <w:b w:val="false"/>
          <w:color w:val="000000"/>
          <w:sz w:val="24"/>
        </w:rPr>
        <w:t>. Nothing contained in the Plan shall confer upon any Participant any right to continue in the employ of the Company or interfere in any way with the right of the Company to terminate any Participant’s employment, with or without cause.</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Clawback Policy</w:t>
      </w:r>
      <w:r>
        <w:rPr>
          <w:rFonts w:ascii="Times New Roman;sans-serif" w:hAnsi="Times New Roman;sans-serif"/>
          <w:b w:val="false"/>
          <w:color w:val="000000"/>
          <w:sz w:val="24"/>
        </w:rPr>
        <w:t>. Any Bonus Amount (or a portion thereof) payable under this Plan is subject to any clawback, forfeiture or other similar policy adopted by the Company, as in effect from time to time.</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Calculations</w:t>
      </w:r>
      <w:r>
        <w:rPr>
          <w:rFonts w:ascii="Times New Roman;sans-serif" w:hAnsi="Times New Roman;sans-serif"/>
          <w:b w:val="false"/>
          <w:color w:val="000000"/>
          <w:sz w:val="24"/>
        </w:rPr>
        <w:t>. The Company’s Finance department shall have the responsibility of calculating each Bonus Amount. The results will be independently reviewed by the Administrator or its designee.</w:t>
      </w:r>
    </w:p>
    <w:p>
      <w:pPr>
        <w:pStyle w:val="TextBody"/>
        <w:bidi w:val="0"/>
        <w:spacing w:lineRule="auto" w:line="288" w:before="0" w:after="240"/>
        <w:ind w:left="0" w:right="0" w:hanging="36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Administration</w:t>
      </w:r>
      <w:r>
        <w:rPr>
          <w:rFonts w:ascii="Times New Roman;sans-serif" w:hAnsi="Times New Roman;sans-serif"/>
          <w:b w:val="false"/>
          <w:color w:val="000000"/>
          <w:sz w:val="24"/>
        </w:rPr>
        <w:t>. The Administrator shall administer the Plan and be the sole and exclusive interpreter and arbiter of the provisions of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160"/>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shd w:fill="FFFFFF" w:val="clear"/>
        </w:rPr>
        <w:t>Robert J. Sheedy, Jr.,</w:t>
      </w:r>
      <w:r>
        <w:rPr>
          <w:color w:val="000000"/>
        </w:rPr>
        <w:t xml:space="preserve"> </w:t>
      </w:r>
      <w:r>
        <w:rPr>
          <w:rFonts w:ascii="Times New Roman;sans-serif" w:hAnsi="Times New Roman;sans-serif"/>
          <w:b w:val="false"/>
          <w:color w:val="000000"/>
          <w:sz w:val="20"/>
        </w:rPr>
        <w:t>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Grocery Outlet Holding Corp.;</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426"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Sheedy,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Sheedy,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shd w:fill="FFFFFF" w:val="clear"/>
        </w:rPr>
        <w:t>Charles C. Bracher</w:t>
      </w:r>
      <w:r>
        <w:rPr>
          <w:rFonts w:ascii="Times New Roman;sans-serif" w:hAnsi="Times New Roman;sans-serif"/>
          <w:b w:val="false"/>
          <w:color w:val="000000"/>
          <w:sz w:val="20"/>
        </w:rPr>
        <w:t>,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Grocery Outlet Holding Corp.;</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3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789"/>
        <w:gridCol w:w="789"/>
        <w:gridCol w:w="7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160"/>
        <w:ind w:left="0" w:right="0" w:firstLine="720"/>
        <w:jc w:val="both"/>
        <w:rPr/>
      </w:pPr>
      <w:r>
        <w:rPr>
          <w:rFonts w:ascii="Times New Roman;sans-serif" w:hAnsi="Times New Roman;sans-serif"/>
          <w:b w:val="false"/>
          <w:color w:val="000000"/>
          <w:sz w:val="20"/>
        </w:rPr>
        <w:t xml:space="preserve">In connection with the Quarterly Report of Grocery Outlet Holding Corp. (the "Company") on Form 10-Q for the period ended September 30, 2023 as filed with the Securities and Exchange Commission on the date hereof (the "Report"), I, </w:t>
      </w:r>
      <w:r>
        <w:rPr>
          <w:rFonts w:ascii="Times New Roman;sans-serif" w:hAnsi="Times New Roman;sans-serif"/>
          <w:b w:val="false"/>
          <w:color w:val="000000"/>
          <w:sz w:val="20"/>
          <w:shd w:fill="FFFFFF" w:val="clear"/>
        </w:rPr>
        <w:t>Robert J. Sheedy, Jr.,</w:t>
      </w:r>
      <w:r>
        <w:rPr>
          <w:color w:val="000000"/>
        </w:rPr>
        <w:t xml:space="preserve"> </w:t>
      </w:r>
      <w:r>
        <w:rPr>
          <w:rFonts w:ascii="Times New Roman;sans-serif" w:hAnsi="Times New Roman;sans-serif"/>
          <w:b w:val="false"/>
          <w:color w:val="000000"/>
          <w:sz w:val="20"/>
        </w:rPr>
        <w:t>certify pursuant to 18 U.S.C. § 1350, as adopted pursuant to § 906 of the Sarbanes-Oxley Act of 2002, that:</w:t>
      </w:r>
    </w:p>
    <w:p>
      <w:pPr>
        <w:pStyle w:val="TextBody"/>
        <w:bidi w:val="0"/>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pPr>
      <w:r>
        <w:rPr/>
      </w:r>
    </w:p>
    <w:tbl>
      <w:tblPr>
        <w:tblW w:w="6426"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Sheedy,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Sheedy,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160"/>
        <w:ind w:left="0" w:right="0" w:firstLine="720"/>
        <w:jc w:val="both"/>
        <w:rPr/>
      </w:pPr>
      <w:r>
        <w:rPr>
          <w:rFonts w:ascii="Times New Roman;sans-serif" w:hAnsi="Times New Roman;sans-serif"/>
          <w:b w:val="false"/>
          <w:color w:val="000000"/>
          <w:sz w:val="20"/>
        </w:rPr>
        <w:t xml:space="preserve">In connection with the Quarterly Report of Grocery Outlet Holding Corp. (the "Company") on Form 10-Q for the period ended September 30, 2023 as filed with the Securities and Exchange Commission on the date hereof (the "Report"), I, </w:t>
      </w:r>
      <w:r>
        <w:rPr>
          <w:rFonts w:ascii="Times New Roman;sans-serif" w:hAnsi="Times New Roman;sans-serif"/>
          <w:b w:val="false"/>
          <w:color w:val="000000"/>
          <w:sz w:val="20"/>
          <w:shd w:fill="FFFFFF" w:val="clear"/>
        </w:rPr>
        <w:t>Charles C. Bracher</w:t>
      </w:r>
      <w:r>
        <w:rPr>
          <w:rFonts w:ascii="Times New Roman;sans-serif" w:hAnsi="Times New Roman;sans-serif"/>
          <w:b w:val="false"/>
          <w:color w:val="000000"/>
          <w:sz w:val="20"/>
        </w:rPr>
        <w:t>, certify pursuant to 18 U.S.C. § 1350, as adopted pursuant to § 906 of the Sarbanes-Oxley Act of 2002, that:</w:t>
      </w:r>
    </w:p>
    <w:p>
      <w:pPr>
        <w:pStyle w:val="TextBody"/>
        <w:bidi w:val="0"/>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pPr>
      <w:r>
        <w:rPr/>
      </w:r>
    </w:p>
    <w:tbl>
      <w:tblPr>
        <w:tblW w:w="5632"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34"/>
        <w:gridCol w:w="134"/>
        <w:gridCol w:w="136"/>
        <w:gridCol w:w="789"/>
        <w:gridCol w:w="789"/>
        <w:gridCol w:w="7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71515/000177151522000082/exhibit31.htm" TargetMode="External"/><Relationship Id="rId4" Type="http://schemas.openxmlformats.org/officeDocument/2006/relationships/hyperlink" Target="http://www.sec.gov/Archives/edgar/data/0001771515/000177151522000045/go4-6x22exhibit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21481</Words>
  <Characters>116440</Characters>
  <CharactersWithSpaces>136439</CharactersWithSpaces>
  <Paragraphs>2587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