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pPr>
      <w:r>
        <w:rPr>
          <w:rFonts w:ascii="Times New Roman;sans-serif" w:hAnsi="Times New Roman;sans-serif"/>
          <w:b/>
          <w:color w:val="000000"/>
          <w:sz w:val="32"/>
        </w:rPr>
        <w:t>SECURITIES AND EXCHANGE COMMISSION</w:t>
      </w:r>
      <w:r>
        <w:rPr>
          <w:color w:val="000000"/>
        </w:rPr>
        <w:t xml:space="preserv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of the Securities Exchange Act of 1934 </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Earliest Event reported): </w:t>
      </w:r>
    </w:p>
    <w:p>
      <w:pPr>
        <w:pStyle w:val="TextBody"/>
        <w:bidi w:val="0"/>
        <w:spacing w:lineRule="auto" w:line="288" w:before="0" w:after="80"/>
        <w:jc w:val="center"/>
        <w:rPr>
          <w:rFonts w:ascii="Times New Roman;sans-serif" w:hAnsi="Times New Roman;sans-serif"/>
          <w:b/>
          <w:color w:val="000000"/>
          <w:sz w:val="24"/>
        </w:rPr>
      </w:pPr>
      <w:r>
        <w:rPr>
          <w:rFonts w:ascii="Times New Roman;sans-serif" w:hAnsi="Times New Roman;sans-serif"/>
          <w:b/>
          <w:color w:val="000000"/>
          <w:sz w:val="24"/>
        </w:rPr>
        <w:t xml:space="preserve">May 5, 2025 </w:t>
      </w:r>
    </w:p>
    <w:p>
      <w:pPr>
        <w:pStyle w:val="TextBody"/>
        <w:bidi w:val="0"/>
        <w:spacing w:before="0" w:after="8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9525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952500"/>
                    </a:xfrm>
                    <a:prstGeom prst="rect">
                      <a:avLst/>
                    </a:prstGeom>
                  </pic:spPr>
                </pic:pic>
              </a:graphicData>
            </a:graphic>
          </wp:inline>
        </w:drawing>
      </w:r>
      <w:bookmarkStart w:id="0" w:name="i-1"/>
      <w:bookmarkEnd w:id="0"/>
    </w:p>
    <w:p>
      <w:pPr>
        <w:pStyle w:val="TextBody"/>
        <w:bidi w:val="0"/>
        <w:spacing w:lineRule="auto" w:line="288" w:before="120" w:after="60"/>
        <w:jc w:val="center"/>
        <w:rPr>
          <w:rFonts w:ascii="Times New Roman;sans-serif" w:hAnsi="Times New Roman;sans-serif"/>
          <w:b/>
          <w:color w:val="000000"/>
          <w:sz w:val="48"/>
        </w:rPr>
      </w:pPr>
      <w:r>
        <w:rPr>
          <w:rFonts w:ascii="Times New Roman;sans-serif" w:hAnsi="Times New Roman;sans-serif"/>
          <w:b/>
          <w:color w:val="000000"/>
          <w:sz w:val="48"/>
        </w:rPr>
        <w:t xml:space="preserve">Grocery Outlet Holding Corp. </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127" w:type="dxa"/>
        <w:jc w:val="left"/>
        <w:tblInd w:w="0" w:type="dxa"/>
        <w:tblLayout w:type="fixed"/>
        <w:tblCellMar>
          <w:top w:w="28" w:type="dxa"/>
          <w:left w:w="28" w:type="dxa"/>
          <w:bottom w:w="28" w:type="dxa"/>
          <w:right w:w="28" w:type="dxa"/>
        </w:tblCellMar>
      </w:tblPr>
      <w:tblGrid>
        <w:gridCol w:w="1058"/>
        <w:gridCol w:w="927"/>
        <w:gridCol w:w="940"/>
        <w:gridCol w:w="109"/>
        <w:gridCol w:w="109"/>
        <w:gridCol w:w="109"/>
        <w:gridCol w:w="353"/>
        <w:gridCol w:w="353"/>
        <w:gridCol w:w="358"/>
        <w:gridCol w:w="109"/>
        <w:gridCol w:w="109"/>
        <w:gridCol w:w="109"/>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001-38950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47-1874201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(I.R.S. Employer </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5650 Hollis Street,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Emeryville,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94608</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r>
        <w:trPr/>
        <w:tc>
          <w:tcPr>
            <w:tcW w:w="612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(510) 845-1999</w:t>
            </w:r>
          </w:p>
        </w:tc>
      </w:tr>
      <w:tr>
        <w:trPr/>
        <w:tc>
          <w:tcPr>
            <w:tcW w:w="61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c>
      </w:tr>
    </w:tbl>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4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p>
      <w:pPr>
        <w:pStyle w:val="TextBody"/>
        <w:bidi w:val="0"/>
        <w:spacing w:before="0" w:after="0"/>
        <w:jc w:val="left"/>
        <w:rPr/>
      </w:pPr>
      <w:r>
        <w:rPr/>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07" w:type="dxa"/>
        <w:jc w:val="center"/>
        <w:tblInd w:w="0" w:type="dxa"/>
        <w:tblLayout w:type="fixed"/>
        <w:tblCellMar>
          <w:top w:w="28" w:type="dxa"/>
          <w:left w:w="28" w:type="dxa"/>
          <w:bottom w:w="28" w:type="dxa"/>
          <w:right w:w="28" w:type="dxa"/>
        </w:tblCellMar>
      </w:tblPr>
      <w:tblGrid>
        <w:gridCol w:w="1144"/>
        <w:gridCol w:w="1007"/>
        <w:gridCol w:w="1013"/>
        <w:gridCol w:w="454"/>
        <w:gridCol w:w="454"/>
        <w:gridCol w:w="456"/>
        <w:gridCol w:w="1019"/>
        <w:gridCol w:w="1019"/>
        <w:gridCol w:w="1441"/>
      </w:tblGrid>
      <w:tr>
        <w:trPr/>
        <w:tc>
          <w:tcPr>
            <w:tcW w:w="11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GO</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6, 2025, Grocery Outlet Holding Corp. (the "Company") announced its financial results for the fiscal quarter ended March 29, 2025. The full text of the press release issued by the Company is furnished as Exhibit 99.1 to this report.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Item 2.02 of this current report on Form 8-K (including Exhibit 99.1 furnished herewith)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2025, the Company and each of the following named executive officers agreed upon a departure from the Company: (i) Ramesh Chikkala, Executive Vice President, Chief Operations Officer, on or around June 6, 2025; and (ii) Pamela B. Burke, Executive Vice President, Chief Stores Officer, on or around October 6, 2025. Mr. Chikkala and Ms. Burke will each receive separation benefits as provided in the Company’s Executive Severance Plan. A description of these benefits is included under the heading “Potential Payments Upon Termination or Change in Control—Executive Severance Plan” in the Company’s 2025 proxy statement filed with the U.S. Securities and Exchange Commission on April 17, 2025 and incorporated herein by reference.</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20" w:after="283"/>
        <w:jc w:val="both"/>
        <w:rPr/>
      </w:pPr>
      <w:r>
        <w:rPr>
          <w:rFonts w:ascii="Times New Roman;sans-serif" w:hAnsi="Times New Roman;sans-serif"/>
          <w:b w:val="false"/>
          <w:color w:val="000000"/>
          <w:sz w:val="20"/>
        </w:rPr>
        <w:t xml:space="preserve">(d) </w:t>
      </w:r>
      <w:r>
        <w:rPr>
          <w:rFonts w:ascii="Times New Roman;sans-serif" w:hAnsi="Times New Roman;sans-serif"/>
          <w:b w:val="false"/>
          <w:i/>
          <w:color w:val="000000"/>
          <w:sz w:val="20"/>
        </w:rPr>
        <w:t>Exhibits.</w:t>
      </w:r>
    </w:p>
    <w:tbl>
      <w:tblPr>
        <w:tblW w:w="10205" w:type="dxa"/>
        <w:jc w:val="center"/>
        <w:tblInd w:w="0" w:type="dxa"/>
        <w:tblLayout w:type="fixed"/>
        <w:tblCellMar>
          <w:top w:w="28" w:type="dxa"/>
          <w:left w:w="28" w:type="dxa"/>
          <w:bottom w:w="28" w:type="dxa"/>
          <w:right w:w="28" w:type="dxa"/>
        </w:tblCellMar>
      </w:tblPr>
      <w:tblGrid>
        <w:gridCol w:w="295"/>
        <w:gridCol w:w="258"/>
        <w:gridCol w:w="261"/>
        <w:gridCol w:w="109"/>
        <w:gridCol w:w="109"/>
        <w:gridCol w:w="109"/>
        <w:gridCol w:w="2643"/>
        <w:gridCol w:w="2643"/>
        <w:gridCol w:w="3778"/>
      </w:tblGrid>
      <w:tr>
        <w:trPr/>
        <w:tc>
          <w:tcPr>
            <w:tcW w:w="29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u w:val="single"/>
              </w:rPr>
            </w:pPr>
            <w:r>
              <w:rPr>
                <w:rFonts w:ascii="Times New Roman;sans-serif" w:hAnsi="Times New Roman;sans-serif"/>
                <w:b/>
                <w:color w:val="000000"/>
                <w:sz w:val="17"/>
                <w:u w:val="single"/>
              </w:rPr>
              <w:t>Description</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2025q1exhibit991.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q1exhibit991.htm">
              <w:r>
                <w:rPr>
                  <w:rStyle w:val="InternetLink"/>
                  <w:rFonts w:ascii="Times New Roman;sans-serif" w:hAnsi="Times New Roman;sans-serif"/>
                  <w:b w:val="false"/>
                  <w:color w:val="0000FF"/>
                  <w:sz w:val="20"/>
                  <w:u w:val="single"/>
                </w:rPr>
                <w:t>Press release, dated May 6, 2025, entitled "Grocery Outlet Holding Corp. Announces First Quarter Fiscal 2025 Financial Results."</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20" w:after="283"/>
        <w:jc w:val="left"/>
        <w:rPr/>
      </w:pPr>
      <w:r>
        <w:rPr/>
      </w:r>
    </w:p>
    <w:tbl>
      <w:tblPr>
        <w:tblW w:w="7861"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272"/>
        <w:gridCol w:w="272"/>
        <w:gridCol w:w="272"/>
        <w:gridCol w:w="1365"/>
        <w:gridCol w:w="1365"/>
        <w:gridCol w:w="1365"/>
        <w:gridCol w:w="272"/>
        <w:gridCol w:w="272"/>
        <w:gridCol w:w="38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Grocery Outlet Holding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M. Miller</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M. Miller</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99.1</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1085850" cy="10858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85850" cy="10858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Grocery Outlet Holding Corp. Announces First Quarter Fiscal 2025 Financial Results</w:t>
      </w:r>
    </w:p>
    <w:p>
      <w:pPr>
        <w:pStyle w:val="TextBody"/>
        <w:bidi w:val="0"/>
        <w:spacing w:lineRule="auto" w:line="288" w:before="240" w:after="283"/>
        <w:jc w:val="both"/>
        <w:rPr/>
      </w:pPr>
      <w:r>
        <w:rPr>
          <w:rFonts w:ascii="Times New Roman;sans-serif" w:hAnsi="Times New Roman;sans-serif"/>
          <w:b/>
          <w:color w:val="000000"/>
          <w:sz w:val="22"/>
        </w:rPr>
        <w:t>Emeryville, CA – May 6, 2025</w:t>
      </w:r>
      <w:r>
        <w:rPr>
          <w:color w:val="000000"/>
        </w:rPr>
        <w:t xml:space="preserve"> – </w:t>
      </w:r>
      <w:r>
        <w:rPr>
          <w:rFonts w:ascii="Times New Roman;sans-serif" w:hAnsi="Times New Roman;sans-serif"/>
          <w:b w:val="false"/>
          <w:color w:val="000000"/>
          <w:sz w:val="22"/>
        </w:rPr>
        <w:t>Grocery Outlet Holding Corp. (NASDAQ: GO) ("Grocery Outlet," the "Company," "we" or "our") today announced financial results for the first quarter of fiscal 2025 ended March 29, 2025.</w:t>
      </w:r>
    </w:p>
    <w:p>
      <w:pPr>
        <w:pStyle w:val="TextBody"/>
        <w:bidi w:val="0"/>
        <w:spacing w:lineRule="auto" w:line="288" w:before="240" w:after="283"/>
        <w:jc w:val="both"/>
        <w:rPr>
          <w:rFonts w:ascii="Times New Roman;sans-serif" w:hAnsi="Times New Roman;sans-serif"/>
          <w:b/>
          <w:color w:val="000000"/>
          <w:sz w:val="22"/>
        </w:rPr>
      </w:pPr>
      <w:r>
        <w:rPr>
          <w:rFonts w:ascii="Times New Roman;sans-serif" w:hAnsi="Times New Roman;sans-serif"/>
          <w:b/>
          <w:color w:val="000000"/>
          <w:sz w:val="22"/>
        </w:rPr>
        <w:t>Highlights for First Quarter Fiscal 2025 as compared to First Quarter Fiscal 2024:</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2"/>
        </w:rPr>
        <w:t>Net sales increased by 8.5% to $1.13 billion.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2"/>
        </w:rPr>
        <w:t>Comparable store sales increased by 0.3%.</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2"/>
        </w:rPr>
        <w:t>Gross margin was 30.4% compared to 29.3% last year.</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2"/>
        </w:rPr>
        <w:t>SG&amp;A increased by 9.1% to $331.1 million.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2"/>
        </w:rPr>
        <w:t>Operating loss was $22.5 million, which included $33.9 million in restructuring charges.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2"/>
        </w:rPr>
        <w:t>Net loss was $23.3 million, or $(0.24) per diluted share, compared to net loss of $1.0 million, or $(0.01) per diluted share last year. Adjusted net income</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was $13.0 million, or $0.13 diluted adjusted earnings per share</w:t>
      </w:r>
      <w:r>
        <w:rPr>
          <w:rFonts w:ascii="Times New Roman;sans-serif" w:hAnsi="Times New Roman;sans-serif"/>
          <w:b w:val="false"/>
          <w:color w:val="000000"/>
          <w:sz w:val="14"/>
        </w:rPr>
        <w:t>(1)</w:t>
      </w:r>
      <w:r>
        <w:rPr>
          <w:rFonts w:ascii="Times New Roman;sans-serif" w:hAnsi="Times New Roman;sans-serif"/>
          <w:b w:val="false"/>
          <w:color w:val="000000"/>
          <w:sz w:val="22"/>
        </w:rPr>
        <w:t>, compared to $8.8 million, or $0.09 diluted adjusted earnings per share</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last year.</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2"/>
        </w:rPr>
        <w:t>Adjusted EBITDA</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increased by 31.7% to $51.9 million, representing 4.6% of net sales.</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2"/>
        </w:rPr>
        <w:t>We delivered solid first quarter results, with comp-store sales and gross margins slightly ahead of our outlook, driven by traffic growth and tighter inventory management,” said Jason Potter, President and CEO of Grocery Outlet. “We are encouraged by the improvement in our margins and the progress we have made on our real-time order guide.”</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Mr. Potter continued, “I’m very confident about the long-term potential of Grocery Outlet. Our model remains highly differentiated and our performance should continue to accelerate as we improve our level of execution. Consumers love saving money and our model creates tremendous value by delivering opportunistic products through our friendly, helpful local independent operators in the communities they serve across this country. The value we offer consumers becomes even more important in uncertain economic times. Our vision is to become one of the country's most-loved brands and the foundational work we are currently undertaking should enable us to achieve that goal while driving significant shareholder value through strong top-line growth and improved profitability.”</w:t>
      </w:r>
    </w:p>
    <w:p>
      <w:pPr>
        <w:pStyle w:val="TextBody"/>
        <w:bidi w:val="0"/>
        <w:spacing w:before="240" w:after="283"/>
        <w:jc w:val="left"/>
        <w:rPr/>
      </w:pPr>
      <w:r>
        <w:rPr/>
      </w:r>
    </w:p>
    <w:p>
      <w:pPr>
        <w:pStyle w:val="TextBody"/>
        <w:bidi w:val="0"/>
        <w:spacing w:lineRule="auto" w:line="288" w:before="120" w:after="283"/>
        <w:jc w:val="both"/>
        <w:rPr>
          <w:rFonts w:ascii="Times New Roman;sans-serif" w:hAnsi="Times New Roman;sans-serif"/>
          <w:b w:val="false"/>
          <w:color w:val="000000"/>
          <w:sz w:val="14"/>
          <w:shd w:fill="FFFFFF" w:val="clear"/>
        </w:rPr>
      </w:pPr>
      <w:r>
        <w:rPr>
          <w:rFonts w:ascii="Times New Roman;sans-serif" w:hAnsi="Times New Roman;sans-serif"/>
          <w:b w:val="false"/>
          <w:color w:val="000000"/>
          <w:sz w:val="14"/>
          <w:shd w:fill="FFFFFF" w:val="clear"/>
        </w:rPr>
        <w:t>__________________________________</w:t>
      </w:r>
    </w:p>
    <w:p>
      <w:pPr>
        <w:pStyle w:val="TextBody"/>
        <w:bidi w:val="0"/>
        <w:spacing w:lineRule="auto" w:line="288" w:before="120" w:after="283"/>
        <w:ind w:left="0" w:right="0" w:hanging="270"/>
        <w:jc w:val="both"/>
        <w:rPr/>
      </w:pPr>
      <w:r>
        <w:rPr>
          <w:rFonts w:ascii="Times New Roman;sans-serif" w:hAnsi="Times New Roman;sans-serif"/>
          <w:b w:val="false"/>
          <w:color w:val="000000"/>
          <w:sz w:val="14"/>
          <w:shd w:fill="FFFFFF" w:val="clear"/>
        </w:rPr>
        <w:t xml:space="preserve">(1) </w:t>
      </w:r>
      <w:r>
        <w:rPr>
          <w:rFonts w:ascii="Times New Roman;sans-serif" w:hAnsi="Times New Roman;sans-serif"/>
          <w:b w:val="false"/>
          <w:color w:val="000000"/>
          <w:sz w:val="20"/>
        </w:rPr>
        <w:t>Adjusted net income, diluted adjusted earnings per share and adjusted EBITDA are non-GAAP financial measures, which exclude the impact of certain special items. Please note that our non-GAAP financial measures should be considered as a supplement to, and not as a substitute for, or superior to, financial measures calculated in accordance with GAAP. See the "Non-GAAP Financial Information" section of this release as well as the respective reconciliations of our non-GAAP financial measures below for additional information about these items.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26415"/>
                <wp:effectExtent l="0" t="0" r="0" b="0"/>
                <wp:wrapNone/>
                <wp:docPr id="7" name="Frame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hanging="270"/>
        <w:jc w:val="both"/>
        <w:rPr/>
      </w:pPr>
      <w:r>
        <w:rPr>
          <w:rFonts w:ascii="Times New Roman;sans-serif" w:hAnsi="Times New Roman;sans-serif"/>
          <w:b/>
          <w:color w:val="000000"/>
          <w:sz w:val="22"/>
          <w:shd w:fill="FFFFFF" w:val="clear"/>
        </w:rPr>
        <w:t>First</w:t>
      </w:r>
      <w:r>
        <w:rPr>
          <w:color w:val="000000"/>
        </w:rPr>
        <w:t xml:space="preserve"> </w:t>
      </w:r>
      <w:r>
        <w:rPr>
          <w:rFonts w:ascii="Times New Roman;sans-serif" w:hAnsi="Times New Roman;sans-serif"/>
          <w:b/>
          <w:color w:val="000000"/>
          <w:sz w:val="22"/>
        </w:rPr>
        <w:t xml:space="preserve">Quarter Fiscal </w:t>
      </w:r>
      <w:r>
        <w:rPr>
          <w:rFonts w:ascii="Times New Roman;sans-serif" w:hAnsi="Times New Roman;sans-serif"/>
          <w:b/>
          <w:color w:val="000000"/>
          <w:sz w:val="22"/>
          <w:shd w:fill="FFFFFF" w:val="clear"/>
        </w:rPr>
        <w:t>2025</w:t>
      </w:r>
      <w:r>
        <w:rPr>
          <w:color w:val="000000"/>
        </w:rPr>
        <w:t xml:space="preserve"> </w:t>
      </w:r>
      <w:r>
        <w:rPr>
          <w:rFonts w:ascii="Times New Roman;sans-serif" w:hAnsi="Times New Roman;sans-serif"/>
          <w:b/>
          <w:color w:val="000000"/>
          <w:sz w:val="22"/>
        </w:rPr>
        <w:t>Financial Summary</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Net sales increased 8.5% to $1.13 billion during the first quarter due to new store sales, including the United Grocery Outlet stores acquired in the prior year, and a 0.3% increase in comparable store sales, which was impacted by the timing shift of the Easter holiday compared to the prior year. Transactions increased by 2.3% during the period while average transaction size decreased by 2.0%. We opened 11 new stores and closed 1 store, ending the quarter with 543 stores in 16 states.</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Gross profit increased 12.7% versus the prior period to $342.4 million. Gross margin increased 110 basis points to 30.4% year-over-year, driven primarily by improvements in inventory management capabilities, which were adversely impacted by issues with our systems conversion in the prior year.</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Selling, general and administrative expenses increased by 9.1% to $331.1 million, and increased 10 basis points to 29.4% of net sales. The increase in SG&amp;A as a percentage of net sales was driven primarily by additional personnel costs from the Company-operated stores acquired in the United Grocery Outlet transaction in the prior year, partially offset by a decrease from elective commission support we provided to operators in the prior year related to the systems conversion.</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Operating loss during the first quarter was $22.5 million, which included $33.9 million in charges during the first quarter related to the Restructuring Plan (described below).</w:t>
      </w:r>
    </w:p>
    <w:p>
      <w:pPr>
        <w:pStyle w:val="TextBody"/>
        <w:bidi w:val="0"/>
        <w:spacing w:lineRule="auto" w:line="288" w:before="240" w:after="283"/>
        <w:jc w:val="both"/>
        <w:rPr/>
      </w:pPr>
      <w:r>
        <w:rPr>
          <w:rFonts w:ascii="Times New Roman;sans-serif" w:hAnsi="Times New Roman;sans-serif"/>
          <w:b w:val="false"/>
          <w:color w:val="000000"/>
          <w:sz w:val="22"/>
        </w:rPr>
        <w:t>Net loss was $23.3 million, or $(0.24) per diluted share compared to net loss of $1.0 million, or $(0.01) per diluted share last year. Adjusted net income</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increased by 47.7% to $13.0 million, or $0.13 diluted adjusted earnings per share</w:t>
      </w:r>
      <w:r>
        <w:rPr>
          <w:rFonts w:ascii="Times New Roman;sans-serif" w:hAnsi="Times New Roman;sans-serif"/>
          <w:b w:val="false"/>
          <w:color w:val="000000"/>
          <w:sz w:val="14"/>
        </w:rPr>
        <w:t>(1)</w:t>
      </w:r>
      <w:r>
        <w:rPr>
          <w:rFonts w:ascii="Times New Roman;sans-serif" w:hAnsi="Times New Roman;sans-serif"/>
          <w:b w:val="false"/>
          <w:color w:val="000000"/>
          <w:sz w:val="22"/>
        </w:rPr>
        <w:t>. Adjusted EBITDA</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was $51.9 million, or 4.6% of net sales, a 31.7% increase over the prior period.</w:t>
      </w:r>
    </w:p>
    <w:p>
      <w:pPr>
        <w:pStyle w:val="TextBody"/>
        <w:bidi w:val="0"/>
        <w:spacing w:lineRule="auto" w:line="288" w:before="240" w:after="283"/>
        <w:ind w:left="0" w:right="0" w:hanging="270"/>
        <w:jc w:val="both"/>
        <w:rPr>
          <w:rFonts w:ascii="Times New Roman;sans-serif" w:hAnsi="Times New Roman;sans-serif"/>
          <w:b/>
          <w:color w:val="000000"/>
          <w:sz w:val="22"/>
        </w:rPr>
      </w:pPr>
      <w:r>
        <w:rPr>
          <w:rFonts w:ascii="Times New Roman;sans-serif" w:hAnsi="Times New Roman;sans-serif"/>
          <w:b/>
          <w:color w:val="000000"/>
          <w:sz w:val="22"/>
        </w:rPr>
        <w:t>Cash Flow &amp; Capital Spending: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2"/>
        </w:rPr>
        <w:t>Net cash provided by operating activities during the first quarter of fiscal 2025 was $58.9 million compared with $7.8 million for the first quarter last year. The increase in cash flow provided by operating activities in the three months of fiscal 2025 was largely driven by improvements in working capital.</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2"/>
        </w:rPr>
        <w:t>Capital expenditures for the first quarter of fiscal 2025, before the impact of tenant improvement allowances, were $65.3 million, an increase of $16.0 million over the first quarter of fiscal 2024. Capital expenditures, net of tenant improvement allowances, for the first quarter this year, were $57.3 million compared with $46.5 million for the same period last year. The increase in capital expenditures this year was due primarily to increased supply chain investments and additional new store openings during the first quarter of fiscal 2025 compared to the prior year.</w:t>
      </w:r>
    </w:p>
    <w:p>
      <w:pPr>
        <w:pStyle w:val="TextBody"/>
        <w:bidi w:val="0"/>
        <w:spacing w:lineRule="auto" w:line="288" w:before="240" w:after="283"/>
        <w:ind w:left="0" w:right="0" w:hanging="270"/>
        <w:jc w:val="both"/>
        <w:rPr>
          <w:rFonts w:ascii="Times New Roman;sans-serif" w:hAnsi="Times New Roman;sans-serif"/>
          <w:b/>
          <w:color w:val="000000"/>
          <w:sz w:val="22"/>
        </w:rPr>
      </w:pPr>
      <w:r>
        <w:rPr>
          <w:rFonts w:ascii="Times New Roman;sans-serif" w:hAnsi="Times New Roman;sans-serif"/>
          <w:b/>
          <w:color w:val="000000"/>
          <w:sz w:val="22"/>
        </w:rPr>
        <w:t>Restructuring Plan:</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initiated a restructuring plan during the fourth quarter of fiscal 2024, with continuing implementation in fiscal 2025, intended to improve long-term profitability, cash flow generation and return on invested capital, optimize the footprint of new store growth and lower the Company’s cost base (the "Restructuring Plan"). The Restructuring Plan includes (i) the termination of a total of 28 leases for unopened stores in suboptimal locations, as expanded in scope by five additional stores from the 23 stores determined as of fiscal 2024, (ii) the cancellation of certain capital-intensive warehouse projects and (iii) a reduction in headcount in building a more scalable cost structure. As of March 29, 2025, the Company estimates that it will incur total costs under the Restructuring Plan of between $59 million and $61 million, of which between $40 million and $42 million are expected to be cash expenditures. All costs incurred during the first quarter are included in Restructuring charges on the condensed consolidated statements of operations and comprehensive income (loss). The actions under the Restructuring Plan are expected to be substantially completed by the first half of fiscal 2025.</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6415"/>
                <wp:effectExtent l="0" t="0" r="0" b="0"/>
                <wp:wrapNone/>
                <wp:docPr id="8" name="Frame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hanging="270"/>
        <w:jc w:val="both"/>
        <w:rPr>
          <w:rFonts w:ascii="Times New Roman;sans-serif" w:hAnsi="Times New Roman;sans-serif"/>
          <w:b/>
          <w:color w:val="000000"/>
          <w:sz w:val="22"/>
        </w:rPr>
      </w:pPr>
      <w:r>
        <w:rPr>
          <w:rFonts w:ascii="Times New Roman;sans-serif" w:hAnsi="Times New Roman;sans-serif"/>
          <w:b/>
          <w:color w:val="000000"/>
          <w:sz w:val="22"/>
        </w:rPr>
        <w:t>Executive Transitions:</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Company announced today that Ramesh Chikkala, EVP, Chief Operations Officer, will retire this June and Pamela Burke, EVP, Chief Stores Officer, will retire later this year. “Pam has led a number of functions and forged strong relationships with our IO's during her decade with the company. Ramesh has helped stabilize and build leadership teams to drive systems improvements, while also strengthening our supply chain,” said Mr. Potter. The Company is commencing a search for a new Store Operations leader, along with other key management roles.</w:t>
      </w:r>
    </w:p>
    <w:p>
      <w:pPr>
        <w:pStyle w:val="TextBody"/>
        <w:bidi w:val="0"/>
        <w:spacing w:lineRule="auto" w:line="288" w:before="240" w:after="283"/>
        <w:ind w:left="0" w:right="0" w:hanging="270"/>
        <w:jc w:val="both"/>
        <w:rPr>
          <w:rFonts w:ascii="Times New Roman;sans-serif" w:hAnsi="Times New Roman;sans-serif"/>
          <w:b/>
          <w:color w:val="000000"/>
          <w:sz w:val="22"/>
        </w:rPr>
      </w:pPr>
      <w:r>
        <w:rPr>
          <w:rFonts w:ascii="Times New Roman;sans-serif" w:hAnsi="Times New Roman;sans-serif"/>
          <w:b/>
          <w:color w:val="000000"/>
          <w:sz w:val="22"/>
        </w:rPr>
        <w:t>Outlook:</w:t>
      </w:r>
    </w:p>
    <w:p>
      <w:pPr>
        <w:pStyle w:val="TextBody"/>
        <w:bidi w:val="0"/>
        <w:spacing w:lineRule="auto" w:line="288" w:before="240" w:after="283"/>
        <w:jc w:val="both"/>
        <w:rPr/>
      </w:pPr>
      <w:r>
        <w:rPr>
          <w:rFonts w:ascii="Times New Roman;sans-serif" w:hAnsi="Times New Roman;sans-serif"/>
          <w:b w:val="false"/>
          <w:color w:val="000000"/>
          <w:sz w:val="22"/>
        </w:rPr>
        <w:t>The Company is maintaining key guidance figures for fiscal 2025, other than comparable store sales which are updated as shown in the current guidance as follows</w:t>
      </w:r>
      <w:r>
        <w:rPr>
          <w:rFonts w:ascii="Times New Roman;sans-serif" w:hAnsi="Times New Roman;sans-serif"/>
          <w:b w:val="false"/>
          <w:color w:val="000000"/>
          <w:sz w:val="14"/>
        </w:rPr>
        <w:t>(2)</w:t>
      </w:r>
      <w:r>
        <w:rPr>
          <w:rFonts w:ascii="Times New Roman;sans-serif" w:hAnsi="Times New Roman;sans-serif"/>
          <w:b w:val="false"/>
          <w:color w:val="000000"/>
          <w:sz w:val="22"/>
        </w:rPr>
        <w:t>:</w:t>
      </w:r>
    </w:p>
    <w:tbl>
      <w:tblPr>
        <w:tblW w:w="10093" w:type="dxa"/>
        <w:jc w:val="left"/>
        <w:tblInd w:w="0" w:type="dxa"/>
        <w:tblLayout w:type="fixed"/>
        <w:tblCellMar>
          <w:top w:w="28" w:type="dxa"/>
          <w:left w:w="28" w:type="dxa"/>
          <w:bottom w:w="28" w:type="dxa"/>
          <w:right w:w="28" w:type="dxa"/>
        </w:tblCellMar>
      </w:tblPr>
      <w:tblGrid>
        <w:gridCol w:w="1838"/>
        <w:gridCol w:w="1609"/>
        <w:gridCol w:w="1622"/>
        <w:gridCol w:w="829"/>
        <w:gridCol w:w="829"/>
        <w:gridCol w:w="832"/>
        <w:gridCol w:w="741"/>
        <w:gridCol w:w="741"/>
        <w:gridCol w:w="1052"/>
      </w:tblGrid>
      <w:tr>
        <w:trPr/>
        <w:tc>
          <w:tcPr>
            <w:tcW w:w="18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Previous</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Current</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 store openings, net </w:t>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 to 35</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 to 35</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 billion to $4.8 billion</w:t>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 billion to $4.8 billion</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Comparable store sales increase</w:t>
            </w:r>
            <w:r>
              <w:rPr>
                <w:rFonts w:ascii="Times New Roman;sans-serif" w:hAnsi="Times New Roman;sans-serif"/>
                <w:b w:val="false"/>
                <w:color w:val="000000"/>
                <w:sz w:val="13"/>
              </w:rPr>
              <w:t>(3)</w:t>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 to 3.0%</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 to 2.0%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30.0%-30.5%</w:t>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30.0%-30.5%</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(1)</w:t>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$260 million to $270 million</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$260 million to $270 million</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Diluted adjusted earnings per share</w:t>
            </w:r>
            <w:r>
              <w:rPr>
                <w:rFonts w:ascii="Times New Roman;sans-serif" w:hAnsi="Times New Roman;sans-serif"/>
                <w:b w:val="false"/>
                <w:color w:val="000000"/>
                <w:sz w:val="13"/>
              </w:rPr>
              <w:t>(1)</w:t>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$0.70 to $0.75</w:t>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$0.70 to $0.75</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(net of tenant improvement allowances)</w:t>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$210 million</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$210 million</w:t>
            </w:r>
          </w:p>
        </w:tc>
      </w:tr>
    </w:tbl>
    <w:p>
      <w:pPr>
        <w:pStyle w:val="TextBody"/>
        <w:bidi w:val="0"/>
        <w:spacing w:lineRule="auto" w:line="288" w:before="120" w:after="283"/>
        <w:jc w:val="both"/>
        <w:rPr>
          <w:rFonts w:ascii="Times New Roman;sans-serif" w:hAnsi="Times New Roman;sans-serif"/>
          <w:b w:val="false"/>
          <w:color w:val="000000"/>
          <w:sz w:val="14"/>
          <w:shd w:fill="FFFFFF" w:val="clear"/>
        </w:rPr>
      </w:pPr>
      <w:r>
        <w:rPr>
          <w:rFonts w:ascii="Times New Roman;sans-serif" w:hAnsi="Times New Roman;sans-serif"/>
          <w:b w:val="false"/>
          <w:color w:val="000000"/>
          <w:sz w:val="14"/>
          <w:shd w:fill="FFFFFF" w:val="clear"/>
        </w:rPr>
        <w:t>__________________________________</w:t>
      </w:r>
    </w:p>
    <w:p>
      <w:pPr>
        <w:pStyle w:val="TextBody"/>
        <w:bidi w:val="0"/>
        <w:spacing w:lineRule="auto" w:line="288" w:before="120" w:after="283"/>
        <w:ind w:left="0" w:right="0" w:hanging="270"/>
        <w:jc w:val="both"/>
        <w:rPr/>
      </w:pPr>
      <w:r>
        <w:rPr>
          <w:rFonts w:ascii="Times New Roman;sans-serif" w:hAnsi="Times New Roman;sans-serif"/>
          <w:b w:val="false"/>
          <w:color w:val="000000"/>
          <w:sz w:val="14"/>
          <w:shd w:fill="FFFFFF" w:val="clear"/>
        </w:rPr>
        <w:t xml:space="preserve">(2) </w:t>
      </w:r>
      <w:r>
        <w:rPr>
          <w:rFonts w:ascii="Times New Roman;sans-serif" w:hAnsi="Times New Roman;sans-serif"/>
          <w:b w:val="false"/>
          <w:color w:val="000000"/>
          <w:sz w:val="20"/>
        </w:rPr>
        <w:t>Includes 53rd week.</w:t>
      </w:r>
    </w:p>
    <w:p>
      <w:pPr>
        <w:pStyle w:val="TextBody"/>
        <w:bidi w:val="0"/>
        <w:spacing w:lineRule="auto" w:line="288" w:before="120" w:after="283"/>
        <w:ind w:left="0" w:right="0" w:hanging="270"/>
        <w:jc w:val="both"/>
        <w:rPr/>
      </w:pPr>
      <w:r>
        <w:rPr>
          <w:rFonts w:ascii="Times New Roman;sans-serif" w:hAnsi="Times New Roman;sans-serif"/>
          <w:b w:val="false"/>
          <w:color w:val="000000"/>
          <w:sz w:val="14"/>
          <w:shd w:fill="FFFFFF" w:val="clear"/>
        </w:rPr>
        <w:t xml:space="preserve">(3) </w:t>
      </w:r>
      <w:r>
        <w:rPr>
          <w:rFonts w:ascii="Times New Roman;sans-serif" w:hAnsi="Times New Roman;sans-serif"/>
          <w:b w:val="false"/>
          <w:color w:val="000000"/>
          <w:sz w:val="20"/>
        </w:rPr>
        <w:t>Excludes net sales in the non-comparable week of a 53-week year from the same store sales calculation and compares the current and prior year weekly periods that are most closely aligned.</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Conference Call Information:</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 conference call to discuss the first quarter fiscal 2025 financial results is scheduled for today, May 6, 2025 at 4:30 p.m. Eastern Time. Investors and analysts interested in participating in the call are invited to dial (877) 407-9208 approximately 15 minutes prior to the start of the call. A live audio webcast of the conference call will be available online at https://investors.groceryoutlet.com.</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 taped replay of the conference call will be available within three hours of the conclusion of the call and can be accessed both online and by dialing (844) 512-2921 and entering access code 13751098. The replay will be available for approximately two weeks after the call.</w:t>
      </w:r>
    </w:p>
    <w:p>
      <w:pPr>
        <w:pStyle w:val="TextBody"/>
        <w:bidi w:val="0"/>
        <w:spacing w:lineRule="auto" w:line="288" w:before="240" w:after="283"/>
        <w:jc w:val="both"/>
        <w:rPr>
          <w:rFonts w:ascii="Times New Roman;sans-serif" w:hAnsi="Times New Roman;sans-serif"/>
          <w:b/>
          <w:color w:val="000000"/>
          <w:sz w:val="22"/>
        </w:rPr>
      </w:pPr>
      <w:r>
        <w:rPr>
          <w:rFonts w:ascii="Times New Roman;sans-serif" w:hAnsi="Times New Roman;sans-serif"/>
          <w:b/>
          <w:color w:val="000000"/>
          <w:sz w:val="22"/>
        </w:rPr>
        <w:t>Non-GAAP Financial Information:</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to reporting financial results in accordance with accounting principles generally accepted in the United States ("GAAP"), management and the Board of Directors use EBITDA, adjusted EBITDA, adjusted net income and adjusted earnings per share as supplemental key metrics to assess our financial performance. These non-GAAP financial measures are also frequently used by analysts, investors and other interested parties to evaluate the Company and other companies in our industry. Management believes it is useful to investors and analysts to evaluate these non-GAAP financial measures on the same basis as management uses to evaluate our operating results. Management uses these non-GAAP financial measures to supplement GAAP financial measures of performance to evaluate the effectiveness of our business strategies, to make budgeting decisions and to compare our performance against that of other peer companies using similar measures. In addition, we use adjusted EBITDA to supplement GAAP financial measures of performance to evaluate performance in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6415"/>
                <wp:effectExtent l="0" t="0" r="0" b="0"/>
                <wp:wrapNone/>
                <wp:docPr id="9" name="Frame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connection with compensation decisions. Management believes that excluding items from operating income, net income (loss) and net income (loss) per diluted share that may not be indicative of, or are unrelated to, our core operating results, and that may vary in frequency or magnitude, enhances the comparability of our results and provides additional information for analyzing trends in our business.</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Management defines EBITDA as net income (loss) before net interest expense, income taxes and depreciation and amortization expenses. Adjusted EBITDA represents EBITDA adjusted to exclude share-based compensation expense, asset impairment and gain or loss on disposition, acquisition and integration costs, restructuring charges, and certain other expenses that may not be indicative of, or are unrelated to, our core operating results, and that may vary in frequency or magnitude. Adjusted net income represents net income (loss) adjusted for the previously mentioned adjusted EBITDA adjustments, further adjusted for the amortization of property and equipment purchase accounting asset step-ups and deferred financing costs, tax adjustment to normalize the effective tax rate, and tax effect of total adjustments. Basic adjusted earnings per share is calculated using adjusted net income, as defined above, and basic weighted average shares outstanding. Diluted adjusted earnings per share is calculated using adjusted net income, as defined above, and diluted weighted average shares outstanding.</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These non-GAAP financial measures may not be comparable to similar measures reported by other companies and have limitations as analytical tools, and you should not consider them in isolation or as a substitute for analysis of our results as reported under GAAP. We address the limitations of the non-GAAP financial measures through the use of various GAAP measures. In the future we will incur expenses or charges such as those added back to calculate adjusted EBITDA or adjusted net income. The presentation of these non-GAAP financial measures should not be construed as an inference that future results will be unaffected by the adjustments used to derive such non-GAAP measures.</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have not reconciled the non-GAAP adjusted EBITDA and diluted adjusted earnings per share forward-looking guidance included in this release to the most directly comparable GAAP measures because this cannot be done without unreasonable effort due to the variability and low visibility with respect to taxes and non-recurring items, which are potential adjustments to future earnings. We expect the variability of these items to have a potentially unpredictable, and a potentially significant, impact on our future GAAP financial results.</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news release includes forward-looking statements within the meaning of the Private Securities Litigation Reform Act of 1995. All statements contained in this release other than statements of historical fact, including statements regarding our future operating results and financial position, our business strategy, plans and potential, the Restructuring Plan and its associated benefits, our ability to drive long-term value, and business and market trends may constitute forward-looking statements.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including the following: failure of suppliers to consistently supply the Company with opportunistic products at attractive pricing; inability to successfully identify trends and maintain a consistent level of opportunistic products or general inventory; failure to maintain or increase comparable store sales; any significant disruption to our distribution network, the operations, technology and capacity of our distribution centers and our timely receipt of inventory; risks associated with newly opened stores; risks associated with our growth strategy, including opening, relocating or remodeling stores on schedule and on budget, as well as the revised near-term new store growth strategy as reflected in the Restructuring Plan; financial and operating impacts associated with our Restructuring Plan; inflation, tariffs and other changes affecting the market prices of the products we sell; failure to maintain our reputation and the value of our brand, including protecting our intellectual property; failure to remediate our material weakness in our internal control over financial reporting; inability to maintain sufficient levels of cash flow from our operations to fund our growth strategy; risks associated with leasing substantial amounts of space; inability to attract, train and retain highly qualified employees or the loss of executive officers or other key personnel; costs and successful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26415"/>
                <wp:effectExtent l="0" t="0" r="0" b="0"/>
                <wp:wrapNone/>
                <wp:docPr id="10" name="Frame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implementation of marketing, advertising and promotions; natural or man-made disasters, climate change, power outages, major health epidemics, pandemic outbreaks, terrorist acts, global political events or other serious catastrophic events and the concentration of our business operations; unexpected costs and negative effects if we incur losses not covered by our insurance program; difficulties associated with labor relations and shortages; failure to participate effectively in the growing online retail marketplace; failure to properly integrate or achieve the expected benefits of any acquired businesses; risks associated with economic conditions; competition in the retail food industry; movement of consumer trends toward private labels and away from name-brand products; risks associated with deploying our own private label brands; inability to attract and retain qualified independent operators of the Company ("IOs"); failure of the IOs to successfully manage their business; failure of the IOs to repay notes outstanding to the Company; inability of the IOs to avoid excess inventory shrink; any loss or changeover of an IO; legal proceedings initiated against the IOs; legal challenges to the IO/independent contractor business model; failure to maintain positive relationships with the IOs; risks associated with actions the IOs could take that could harm our business; material disruption to information technology systems, including risks associated from our technology initiatives or third-party security breaches or other disruptions; risks associated with products we and our IOs sell; risks associated with laws and regulations generally applicable to retailers; legal or regulatory proceedings; our substantial indebtedness could affect its ability to operate its business, react to changes in the economy or industry or pay debts and meet obligations; restrictive covenants in our debt agreements may restrict its ability to pursue its business strategies, and failure to comply with any of these restrictions could result in acceleration of our debt; risks associated with tax matters; changes in accounting standards and subjective assumptions, estimates and judgments by management related to complex accounting matters; and the other factors discussed under "Risk Factors" in our most recent annual report on Form 10-K and in other subsequent reports we file with the United States Securities and Exchange Commission (the "SEC"). Our periodic filings are accessible on the SEC's website at www.sec.gov.</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Moreover, we operate in a very competitive and rapidly changing environment, and new risks emerge from time to time. Although we believe that the expectations reflected in the forward-looking statements are reasonable, and our expectations based on third-party information and projections are from sources that management believes to be reputable, we cannot guarantee that future results, levels of activity, performance or achievements. These forward-looking statements are made as of the date of this release or as of the date specified herein and we have based these forward-looking statements on current expectations and projections about future events and trends. Except as required by law, we do not undertake any duty to update any of these forward-looking statements after the date of this release or to conform these statements to actual results or revised expectations.</w:t>
      </w:r>
    </w:p>
    <w:p>
      <w:pPr>
        <w:pStyle w:val="TextBody"/>
        <w:bidi w:val="0"/>
        <w:spacing w:lineRule="auto" w:line="288" w:before="240" w:after="283"/>
        <w:jc w:val="both"/>
        <w:rPr>
          <w:rFonts w:ascii="Times New Roman;sans-serif" w:hAnsi="Times New Roman;sans-serif"/>
          <w:b/>
          <w:color w:val="000000"/>
          <w:sz w:val="22"/>
        </w:rPr>
      </w:pPr>
      <w:r>
        <w:rPr>
          <w:rFonts w:ascii="Times New Roman;sans-serif" w:hAnsi="Times New Roman;sans-serif"/>
          <w:b/>
          <w:color w:val="000000"/>
          <w:sz w:val="22"/>
        </w:rPr>
        <w:t>About Grocery Outlet:</w:t>
      </w:r>
    </w:p>
    <w:p>
      <w:pPr>
        <w:pStyle w:val="TextBody"/>
        <w:bidi w:val="0"/>
        <w:spacing w:lineRule="auto" w:line="288" w:before="240" w:after="283"/>
        <w:jc w:val="both"/>
        <w:rPr/>
      </w:pPr>
      <w:r>
        <w:rPr>
          <w:rFonts w:ascii="Times New Roman;sans-serif" w:hAnsi="Times New Roman;sans-serif"/>
          <w:b w:val="false"/>
          <w:color w:val="000000"/>
          <w:sz w:val="22"/>
        </w:rPr>
        <w:t>Based in Emeryville, California, Grocery Outlet is a high-growth, extreme value retailer of quality, name-brand consumables and fresh products sold primarily through a network of independently operated stores. Grocery Outlet and its subsidiaries have more than 540 s</w:t>
      </w:r>
      <w:r>
        <w:rPr>
          <w:rFonts w:ascii="Times New Roman;sans-serif" w:hAnsi="Times New Roman;sans-serif"/>
          <w:b w:val="false"/>
          <w:color w:val="000000"/>
          <w:sz w:val="22"/>
          <w:shd w:fill="FFFFFF" w:val="clear"/>
        </w:rPr>
        <w:t xml:space="preserve">tores in </w:t>
      </w:r>
      <w:r>
        <w:rPr>
          <w:rFonts w:ascii="Times New Roman;sans-serif" w:hAnsi="Times New Roman;sans-serif"/>
          <w:b w:val="false"/>
          <w:color w:val="000000"/>
          <w:sz w:val="22"/>
        </w:rPr>
        <w:t>California, Washington, Oregon, Pennsylvania, Tennessee, Idaho, Maryland, Nevada, North Carolina, New Jersey, Ohio, Georgia, Alabama, Delaware, Kentucky and Virginia</w:t>
      </w:r>
      <w:r>
        <w:rPr>
          <w:rFonts w:ascii="Times New Roman;sans-serif" w:hAnsi="Times New Roman;sans-serif"/>
          <w:b w:val="false"/>
          <w:color w:val="000000"/>
          <w:sz w:val="22"/>
          <w:shd w:fill="FFFFFF" w:val="clear"/>
        </w:rPr>
        <w:t>.</w:t>
      </w:r>
    </w:p>
    <w:p>
      <w:pPr>
        <w:pStyle w:val="TextBody"/>
        <w:bidi w:val="0"/>
        <w:spacing w:lineRule="auto" w:line="288" w:before="240" w:after="283"/>
        <w:jc w:val="both"/>
        <w:rPr/>
      </w:pPr>
      <w:r>
        <w:rPr>
          <w:rFonts w:ascii="Times New Roman;sans-serif" w:hAnsi="Times New Roman;sans-serif"/>
          <w:b/>
          <w:color w:val="000000"/>
          <w:sz w:val="22"/>
          <w:shd w:fill="FFFFFF" w:val="clear"/>
        </w:rPr>
        <w:t>INVESTOR RELATIONS</w:t>
      </w:r>
      <w:r>
        <w:rPr>
          <w:color w:val="000000"/>
        </w:rPr>
        <w:t xml:space="preserve"> </w:t>
      </w:r>
      <w:r>
        <w:rPr>
          <w:rFonts w:ascii="Times New Roman;sans-serif" w:hAnsi="Times New Roman;sans-serif"/>
          <w:b/>
          <w:color w:val="000000"/>
          <w:sz w:val="22"/>
        </w:rPr>
        <w:t>CONTACT:</w:t>
      </w:r>
      <w:r>
        <w:rPr>
          <w:color w:val="000000"/>
        </w:rPr>
        <w:t xml:space="preserve"> </w:t>
      </w:r>
    </w:p>
    <w:p>
      <w:pPr>
        <w:pStyle w:val="TextBody"/>
        <w:bidi w:val="0"/>
        <w:spacing w:lineRule="auto" w:line="288" w:before="6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Christine Chen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(510) 877-3192</w:t>
      </w:r>
    </w:p>
    <w:p>
      <w:pPr>
        <w:pStyle w:val="TextBody"/>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cchen@cfgo.com</w:t>
      </w:r>
    </w:p>
    <w:p>
      <w:pPr>
        <w:pStyle w:val="TextBody"/>
        <w:bidi w:val="0"/>
        <w:spacing w:lineRule="auto" w:line="288" w:before="240" w:after="283"/>
        <w:jc w:val="left"/>
        <w:rPr/>
      </w:pPr>
      <w:r>
        <w:rPr>
          <w:rFonts w:ascii="Times New Roman;sans-serif" w:hAnsi="Times New Roman;sans-serif"/>
          <w:b/>
          <w:color w:val="000000"/>
          <w:sz w:val="22"/>
        </w:rPr>
        <w:t>MEDIA CONTACT:</w:t>
      </w:r>
      <w:r>
        <w:rPr>
          <w:color w:val="000000"/>
        </w:rPr>
        <w:t xml:space="preserve"> </w:t>
      </w:r>
    </w:p>
    <w:p>
      <w:pPr>
        <w:pStyle w:val="TextBody"/>
        <w:bidi w:val="0"/>
        <w:spacing w:lineRule="auto" w:line="288" w:before="6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Layla Kasha</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(510) 379-2176</w:t>
      </w:r>
    </w:p>
    <w:p>
      <w:pPr>
        <w:pStyle w:val="TextBody"/>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lkasha@cfgo.com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6415"/>
                <wp:effectExtent l="0" t="0" r="0" b="0"/>
                <wp:wrapNone/>
                <wp:docPr id="11" name="Frame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GROCERY OUTLET HOLDING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135" w:type="dxa"/>
        <w:jc w:val="center"/>
        <w:tblInd w:w="0" w:type="dxa"/>
        <w:tblLayout w:type="fixed"/>
        <w:tblCellMar>
          <w:top w:w="28" w:type="dxa"/>
          <w:left w:w="28" w:type="dxa"/>
          <w:bottom w:w="28" w:type="dxa"/>
          <w:right w:w="28" w:type="dxa"/>
        </w:tblCellMar>
      </w:tblPr>
      <w:tblGrid>
        <w:gridCol w:w="1600"/>
        <w:gridCol w:w="1059"/>
        <w:gridCol w:w="1076"/>
        <w:gridCol w:w="211"/>
        <w:gridCol w:w="976"/>
        <w:gridCol w:w="109"/>
        <w:gridCol w:w="109"/>
        <w:gridCol w:w="109"/>
        <w:gridCol w:w="109"/>
        <w:gridCol w:w="211"/>
        <w:gridCol w:w="976"/>
        <w:gridCol w:w="109"/>
        <w:gridCol w:w="109"/>
        <w:gridCol w:w="109"/>
        <w:gridCol w:w="109"/>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6415"/>
                <wp:effectExtent l="0" t="0" r="0" b="0"/>
                <wp:wrapNone/>
                <wp:docPr id="12" name="Frame1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GROCERY OUTLET HOLDING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42"/>
        <w:gridCol w:w="2294"/>
        <w:gridCol w:w="2303"/>
        <w:gridCol w:w="211"/>
        <w:gridCol w:w="976"/>
        <w:gridCol w:w="109"/>
        <w:gridCol w:w="109"/>
        <w:gridCol w:w="109"/>
        <w:gridCol w:w="109"/>
        <w:gridCol w:w="211"/>
        <w:gridCol w:w="976"/>
        <w:gridCol w:w="156"/>
      </w:tblGrid>
      <w:tr>
        <w:trPr/>
        <w:tc>
          <w:tcPr>
            <w:tcW w:w="2642"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28,</w:t>
              <w:br/>
              <w:t>2024</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receivables and current portion of independent operator notes, net of allowance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accounts receivable, net of allowance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notes and receivables, net of allowance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1,014,678 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3,173,821 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and other 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1,976,437 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1,197,384 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3,173,821 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6415"/>
                <wp:effectExtent l="0" t="0" r="0" b="0"/>
                <wp:wrapNone/>
                <wp:docPr id="13" name="Frame1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GROCERY OUTLET HOLDING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963" w:type="dxa"/>
        <w:jc w:val="center"/>
        <w:tblInd w:w="0" w:type="dxa"/>
        <w:tblLayout w:type="fixed"/>
        <w:tblCellMar>
          <w:top w:w="28" w:type="dxa"/>
          <w:left w:w="28" w:type="dxa"/>
          <w:bottom w:w="28" w:type="dxa"/>
          <w:right w:w="28" w:type="dxa"/>
        </w:tblCellMar>
      </w:tblPr>
      <w:tblGrid>
        <w:gridCol w:w="2326"/>
        <w:gridCol w:w="2047"/>
        <w:gridCol w:w="2061"/>
        <w:gridCol w:w="211"/>
        <w:gridCol w:w="796"/>
        <w:gridCol w:w="109"/>
        <w:gridCol w:w="109"/>
        <w:gridCol w:w="109"/>
        <w:gridCol w:w="109"/>
        <w:gridCol w:w="211"/>
        <w:gridCol w:w="721"/>
        <w:gridCol w:w="154"/>
      </w:tblGrid>
      <w:tr>
        <w:trPr/>
        <w:tc>
          <w:tcPr>
            <w:tcW w:w="232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and 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debt discounts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long-lived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independent operator and other accounts receivable reserves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and other 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inventories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and other taxes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independent operators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advances from independent operators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intangible assets and licenses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revolving credit facility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senior term loan due 2028</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6415"/>
                <wp:effectExtent l="0" t="0" r="0" b="0"/>
                <wp:wrapNone/>
                <wp:docPr id="14" name="Frame1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GROCERY OUTLET HOLDING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NET LOSS TO ADJUSTED EBITDA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240" w:type="dxa"/>
        <w:jc w:val="center"/>
        <w:tblInd w:w="0" w:type="dxa"/>
        <w:tblLayout w:type="fixed"/>
        <w:tblCellMar>
          <w:top w:w="28" w:type="dxa"/>
          <w:left w:w="28" w:type="dxa"/>
          <w:bottom w:w="28" w:type="dxa"/>
          <w:right w:w="28" w:type="dxa"/>
        </w:tblCellMar>
      </w:tblPr>
      <w:tblGrid>
        <w:gridCol w:w="1548"/>
        <w:gridCol w:w="1350"/>
        <w:gridCol w:w="1377"/>
        <w:gridCol w:w="211"/>
        <w:gridCol w:w="796"/>
        <w:gridCol w:w="109"/>
        <w:gridCol w:w="109"/>
        <w:gridCol w:w="109"/>
        <w:gridCol w:w="109"/>
        <w:gridCol w:w="211"/>
        <w:gridCol w:w="721"/>
        <w:gridCol w:w="109"/>
        <w:gridCol w:w="109"/>
        <w:gridCol w:w="109"/>
        <w:gridCol w:w="109"/>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Share-based compensation expenses </w:t>
            </w:r>
            <w:r>
              <w:rPr>
                <w:rFonts w:ascii="Times New Roman;sans-serif" w:hAnsi="Times New Roman;sans-serif"/>
                <w:b w:val="false"/>
                <w:color w:val="000000"/>
                <w:sz w:val="16"/>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 impairment and gain or loss on disposition </w:t>
            </w:r>
            <w:r>
              <w:rPr>
                <w:rFonts w:ascii="Times New Roman;sans-serif" w:hAnsi="Times New Roman;sans-serif"/>
                <w:b w:val="false"/>
                <w:color w:val="000000"/>
                <w:sz w:val="16"/>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and integration costs </w:t>
            </w:r>
            <w:r>
              <w:rPr>
                <w:rFonts w:ascii="Times New Roman;sans-serif" w:hAnsi="Times New Roman;sans-serif"/>
                <w:b w:val="false"/>
                <w:color w:val="000000"/>
                <w:sz w:val="16"/>
              </w:rPr>
              <w:t>(3)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Restructuring charges </w:t>
            </w:r>
            <w:r>
              <w:rPr>
                <w:rFonts w:ascii="Times New Roman;sans-serif" w:hAnsi="Times New Roman;sans-serif"/>
                <w:b w:val="false"/>
                <w:color w:val="000000"/>
                <w:sz w:val="16"/>
              </w:rPr>
              <w:t>(4)</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6"/>
              </w:rPr>
              <w:t>(5)</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26415"/>
                <wp:effectExtent l="0" t="0" r="0" b="0"/>
                <wp:wrapNone/>
                <wp:docPr id="15" name="Frame1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GROCERY OUTLET HOLDING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NET LOSS TO ADJUSTED NET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per share data) </w:t>
      </w:r>
    </w:p>
    <w:p>
      <w:pPr>
        <w:pStyle w:val="TextBody"/>
        <w:bidi w:val="0"/>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114" w:type="dxa"/>
        <w:jc w:val="center"/>
        <w:tblInd w:w="0" w:type="dxa"/>
        <w:tblLayout w:type="fixed"/>
        <w:tblCellMar>
          <w:top w:w="28" w:type="dxa"/>
          <w:left w:w="28" w:type="dxa"/>
          <w:bottom w:w="28" w:type="dxa"/>
          <w:right w:w="28" w:type="dxa"/>
        </w:tblCellMar>
      </w:tblPr>
      <w:tblGrid>
        <w:gridCol w:w="2235"/>
        <w:gridCol w:w="1954"/>
        <w:gridCol w:w="1990"/>
        <w:gridCol w:w="211"/>
        <w:gridCol w:w="796"/>
        <w:gridCol w:w="109"/>
        <w:gridCol w:w="109"/>
        <w:gridCol w:w="109"/>
        <w:gridCol w:w="109"/>
        <w:gridCol w:w="211"/>
        <w:gridCol w:w="691"/>
        <w:gridCol w:w="109"/>
        <w:gridCol w:w="109"/>
        <w:gridCol w:w="109"/>
        <w:gridCol w:w="109"/>
        <w:gridCol w:w="154"/>
      </w:tblGrid>
      <w:tr>
        <w:trPr/>
        <w:tc>
          <w:tcPr>
            <w:tcW w:w="2235"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Share-based compensation expenses </w:t>
            </w:r>
            <w:r>
              <w:rPr>
                <w:rFonts w:ascii="Times New Roman;sans-serif" w:hAnsi="Times New Roman;sans-serif"/>
                <w:b w:val="false"/>
                <w:color w:val="000000"/>
                <w:sz w:val="16"/>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 impairment and gain or loss on disposition </w:t>
            </w:r>
            <w:r>
              <w:rPr>
                <w:rFonts w:ascii="Times New Roman;sans-serif" w:hAnsi="Times New Roman;sans-serif"/>
                <w:b w:val="false"/>
                <w:color w:val="000000"/>
                <w:sz w:val="16"/>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and integration costs </w:t>
            </w:r>
            <w:r>
              <w:rPr>
                <w:rFonts w:ascii="Times New Roman;sans-serif" w:hAnsi="Times New Roman;sans-serif"/>
                <w:b w:val="false"/>
                <w:color w:val="000000"/>
                <w:sz w:val="16"/>
              </w:rPr>
              <w:t>(3)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purchase accounting assets and deferred financing costs </w:t>
            </w:r>
            <w:r>
              <w:rPr>
                <w:rFonts w:ascii="Times New Roman;sans-serif" w:hAnsi="Times New Roman;sans-serif"/>
                <w:b w:val="false"/>
                <w:color w:val="000000"/>
                <w:sz w:val="16"/>
              </w:rPr>
              <w:t>(6)</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Restructuring charges </w:t>
            </w:r>
            <w:r>
              <w:rPr>
                <w:rFonts w:ascii="Times New Roman;sans-serif" w:hAnsi="Times New Roman;sans-serif"/>
                <w:b w:val="false"/>
                <w:color w:val="000000"/>
                <w:sz w:val="16"/>
              </w:rPr>
              <w:t>(4)</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6"/>
              </w:rPr>
              <w:t>(5)</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 adjustment to normalize effective tax rate </w:t>
            </w:r>
            <w:r>
              <w:rPr>
                <w:rFonts w:ascii="Times New Roman;sans-serif" w:hAnsi="Times New Roman;sans-serif"/>
                <w:b w:val="false"/>
                <w:color w:val="000000"/>
                <w:sz w:val="16"/>
              </w:rPr>
              <w:t>(7)</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 effect of total adjustments </w:t>
            </w:r>
            <w:r>
              <w:rPr>
                <w:rFonts w:ascii="Times New Roman;sans-serif" w:hAnsi="Times New Roman;sans-serif"/>
                <w:b w:val="false"/>
                <w:color w:val="000000"/>
                <w:sz w:val="16"/>
              </w:rPr>
              <w:t>(8)</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GAAP net loss per share: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Non-GAAP weighted average shares outstanding:</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Diluted </w:t>
            </w:r>
            <w:r>
              <w:rPr>
                <w:rFonts w:ascii="Times New Roman;sans-serif" w:hAnsi="Times New Roman;sans-serif"/>
                <w:b w:val="false"/>
                <w:color w:val="000000"/>
                <w:sz w:val="16"/>
              </w:rPr>
              <w:t>(9)</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hanging="5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6415"/>
                <wp:effectExtent l="0" t="0" r="0" b="0"/>
                <wp:wrapNone/>
                <wp:docPr id="16" name="Frame1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0" w:after="283"/>
        <w:ind w:left="0" w:right="0" w:hanging="54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bidi w:val="0"/>
        <w:spacing w:lineRule="auto" w:line="288" w:before="120" w:after="283"/>
        <w:ind w:left="0" w:right="0" w:hanging="540"/>
        <w:jc w:val="both"/>
        <w:rPr/>
      </w:pPr>
      <w:r>
        <w:rPr>
          <w:rFonts w:ascii="Times New Roman;sans-serif" w:hAnsi="Times New Roman;sans-serif"/>
          <w:b w:val="false"/>
          <w:color w:val="231F20"/>
          <w:sz w:val="18"/>
          <w:shd w:fill="FFFFFF" w:val="clear"/>
        </w:rPr>
        <w:t>(1)</w:t>
      </w:r>
      <w:r>
        <w:rPr>
          <w:rFonts w:ascii="Times New Roman;sans-serif" w:hAnsi="Times New Roman;sans-serif"/>
          <w:b w:val="false"/>
          <w:color w:val="000000"/>
          <w:sz w:val="20"/>
        </w:rPr>
        <w:t>Includes non-cash share-based compensation expense.</w:t>
      </w:r>
    </w:p>
    <w:p>
      <w:pPr>
        <w:pStyle w:val="TextBody"/>
        <w:bidi w:val="0"/>
        <w:spacing w:lineRule="auto" w:line="288" w:before="120" w:after="283"/>
        <w:ind w:left="0" w:right="0" w:hanging="540"/>
        <w:jc w:val="both"/>
        <w:rPr/>
      </w:pPr>
      <w:r>
        <w:rPr>
          <w:rFonts w:ascii="Times New Roman;sans-serif" w:hAnsi="Times New Roman;sans-serif"/>
          <w:b w:val="false"/>
          <w:color w:val="000000"/>
          <w:sz w:val="18"/>
        </w:rPr>
        <w:t>(2)</w:t>
      </w:r>
      <w:r>
        <w:rPr>
          <w:rFonts w:ascii="Times New Roman;sans-serif" w:hAnsi="Times New Roman;sans-serif"/>
          <w:b w:val="false"/>
          <w:color w:val="000000"/>
          <w:sz w:val="20"/>
        </w:rPr>
        <w:t>Represents non-restructuring asset impairment charges and gains or losses on dispositions of assets.</w:t>
      </w:r>
    </w:p>
    <w:p>
      <w:pPr>
        <w:pStyle w:val="TextBody"/>
        <w:bidi w:val="0"/>
        <w:spacing w:lineRule="auto" w:line="288" w:before="120" w:after="283"/>
        <w:ind w:left="0" w:right="0" w:hanging="540"/>
        <w:jc w:val="both"/>
        <w:rPr/>
      </w:pPr>
      <w:r>
        <w:rPr>
          <w:rFonts w:ascii="Times New Roman;sans-serif" w:hAnsi="Times New Roman;sans-serif"/>
          <w:b w:val="false"/>
          <w:color w:val="000000"/>
          <w:sz w:val="18"/>
        </w:rPr>
        <w:t>(3)</w:t>
      </w:r>
      <w:r>
        <w:rPr>
          <w:rFonts w:ascii="Times New Roman;sans-serif" w:hAnsi="Times New Roman;sans-serif"/>
          <w:b w:val="false"/>
          <w:color w:val="000000"/>
          <w:sz w:val="20"/>
        </w:rPr>
        <w:t>Represents costs related to the acquisition and integration of United Grocery Outlet, including due diligence, legal, other consulting and retention bonus expenses.</w:t>
      </w:r>
    </w:p>
    <w:p>
      <w:pPr>
        <w:pStyle w:val="TextBody"/>
        <w:bidi w:val="0"/>
        <w:spacing w:lineRule="auto" w:line="288" w:before="120" w:after="283"/>
        <w:ind w:left="0" w:right="0" w:hanging="540"/>
        <w:jc w:val="both"/>
        <w:rPr/>
      </w:pPr>
      <w:r>
        <w:rPr>
          <w:rFonts w:ascii="Times New Roman;sans-serif" w:hAnsi="Times New Roman;sans-serif"/>
          <w:b w:val="false"/>
          <w:color w:val="000000"/>
          <w:sz w:val="18"/>
        </w:rPr>
        <w:t>(4)</w:t>
      </w:r>
      <w:r>
        <w:rPr>
          <w:rFonts w:ascii="Times New Roman;sans-serif" w:hAnsi="Times New Roman;sans-serif"/>
          <w:b w:val="false"/>
          <w:color w:val="000000"/>
          <w:sz w:val="20"/>
        </w:rPr>
        <w:t>Represents charges related to the Restructuring Plan.</w:t>
      </w:r>
    </w:p>
    <w:p>
      <w:pPr>
        <w:pStyle w:val="TextBody"/>
        <w:bidi w:val="0"/>
        <w:spacing w:lineRule="auto" w:line="288" w:before="120" w:after="283"/>
        <w:ind w:left="0" w:right="0" w:hanging="540"/>
        <w:jc w:val="both"/>
        <w:rPr/>
      </w:pPr>
      <w:r>
        <w:rPr>
          <w:rFonts w:ascii="Times New Roman;sans-serif" w:hAnsi="Times New Roman;sans-serif"/>
          <w:b w:val="false"/>
          <w:color w:val="000000"/>
          <w:sz w:val="18"/>
        </w:rPr>
        <w:t>(5)</w:t>
      </w:r>
      <w:r>
        <w:rPr>
          <w:rFonts w:ascii="Times New Roman;sans-serif" w:hAnsi="Times New Roman;sans-serif"/>
          <w:b w:val="false"/>
          <w:color w:val="000000"/>
          <w:sz w:val="20"/>
        </w:rPr>
        <w:t>Represents other non-recurring, non-cash or non-operational items, such as certain personnel-related hiring and termination costs, system implementation costs, costs related to employer payroll taxes associated with equity awards, legal settlements and other legal expenses, store closing costs, strategic project costs and miscellaneous costs.</w:t>
      </w:r>
    </w:p>
    <w:p>
      <w:pPr>
        <w:pStyle w:val="TextBody"/>
        <w:bidi w:val="0"/>
        <w:spacing w:lineRule="auto" w:line="288" w:before="120" w:after="283"/>
        <w:ind w:left="0" w:right="0" w:hanging="540"/>
        <w:jc w:val="both"/>
        <w:rPr/>
      </w:pPr>
      <w:r>
        <w:rPr>
          <w:rFonts w:ascii="Times New Roman;sans-serif" w:hAnsi="Times New Roman;sans-serif"/>
          <w:b w:val="false"/>
          <w:color w:val="000000"/>
          <w:sz w:val="18"/>
        </w:rPr>
        <w:t>(6)</w:t>
      </w:r>
      <w:r>
        <w:rPr>
          <w:rFonts w:ascii="Times New Roman;sans-serif" w:hAnsi="Times New Roman;sans-serif"/>
          <w:b w:val="false"/>
          <w:color w:val="000000"/>
          <w:sz w:val="20"/>
        </w:rPr>
        <w:t>Represents the incremental amortization of an asset step-up resulting from purchase price accounting related to our acquisition in 2014 by an investment fund affiliated with Hellman &amp; Friedman LLC, as well as the amortization of debt issuance costs.</w:t>
      </w:r>
    </w:p>
    <w:p>
      <w:pPr>
        <w:pStyle w:val="TextBody"/>
        <w:bidi w:val="0"/>
        <w:spacing w:lineRule="auto" w:line="288" w:before="120" w:after="283"/>
        <w:ind w:left="0" w:right="0" w:hanging="540"/>
        <w:jc w:val="both"/>
        <w:rPr/>
      </w:pPr>
      <w:r>
        <w:rPr>
          <w:rFonts w:ascii="Times New Roman;sans-serif" w:hAnsi="Times New Roman;sans-serif"/>
          <w:b w:val="false"/>
          <w:color w:val="000000"/>
          <w:sz w:val="18"/>
        </w:rPr>
        <w:t>(7)</w:t>
      </w:r>
      <w:r>
        <w:rPr>
          <w:rFonts w:ascii="Times New Roman;sans-serif" w:hAnsi="Times New Roman;sans-serif"/>
          <w:b w:val="false"/>
          <w:color w:val="000000"/>
          <w:sz w:val="20"/>
        </w:rPr>
        <w:t>Represents adjustments to normalize the effective tax rate for the impact of unusual or infrequent tax items that we do not consider in our evaluation of ongoing performance, including excess tax expenses or benefits related to stock option exercises and vesting of time-based restricted stock units and performance-based restricted stock units that are recorded in earnings as discrete items in the reporting period in which they occur.</w:t>
      </w:r>
    </w:p>
    <w:p>
      <w:pPr>
        <w:pStyle w:val="TextBody"/>
        <w:bidi w:val="0"/>
        <w:spacing w:lineRule="auto" w:line="288" w:before="120" w:after="283"/>
        <w:ind w:left="0" w:right="0" w:hanging="540"/>
        <w:jc w:val="both"/>
        <w:rPr/>
      </w:pPr>
      <w:r>
        <w:rPr>
          <w:rFonts w:ascii="Times New Roman;sans-serif" w:hAnsi="Times New Roman;sans-serif"/>
          <w:b w:val="false"/>
          <w:color w:val="000000"/>
          <w:sz w:val="18"/>
        </w:rPr>
        <w:t>(8)</w:t>
      </w:r>
      <w:r>
        <w:rPr>
          <w:rFonts w:ascii="Times New Roman;sans-serif" w:hAnsi="Times New Roman;sans-serif"/>
          <w:b w:val="false"/>
          <w:color w:val="000000"/>
          <w:sz w:val="20"/>
        </w:rPr>
        <w:t>Represents the tax effect of the total adjustments. We calculate the tax effect of the total adjustments on a discrete basis excluding any non-recurring and unusual tax items.</w:t>
      </w:r>
    </w:p>
    <w:p>
      <w:pPr>
        <w:pStyle w:val="TextBody"/>
        <w:bidi w:val="0"/>
        <w:spacing w:lineRule="auto" w:line="288" w:before="120" w:after="283"/>
        <w:ind w:left="0" w:right="0" w:hanging="540"/>
        <w:jc w:val="both"/>
        <w:rPr/>
      </w:pPr>
      <w:r>
        <w:rPr>
          <w:rFonts w:ascii="Times New Roman;sans-serif" w:hAnsi="Times New Roman;sans-serif"/>
          <w:b w:val="false"/>
          <w:color w:val="000000"/>
          <w:sz w:val="18"/>
        </w:rPr>
        <w:t>(9)</w:t>
      </w:r>
      <w:r>
        <w:rPr>
          <w:rFonts w:ascii="Times New Roman;sans-serif" w:hAnsi="Times New Roman;sans-serif"/>
          <w:b w:val="false"/>
          <w:color w:val="000000"/>
          <w:sz w:val="20"/>
        </w:rPr>
        <w:t>To calculate diluted adjusted earnings per share, we adjusted the weighted-average shares outstanding for the dilutive effect of all potential shares of common stock. There is no difference in the weighted-average shares outstanding used to calculate the basic and diluted GAAP net loss per share due to the Company's net loss for the periods presented.</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26415"/>
                <wp:effectExtent l="0" t="0" r="0" b="0"/>
                <wp:wrapNone/>
                <wp:docPr id="17" name="Frame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4648</Words>
  <Characters>26868</Characters>
  <CharactersWithSpaces>31137</CharactersWithSpaces>
  <Paragraphs>579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