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37"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150495</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-119380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38" w:lineRule="exact"/>
        <w:rPr>
          <w:sz w:val="24"/>
          <w:szCs w:val="24"/>
          <w:color w:val="auto"/>
        </w:rPr>
      </w:pPr>
    </w:p>
    <w:p>
      <w:pPr>
        <w:ind w:left="420" w:hanging="385"/>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8" w:lineRule="exact"/>
        <w:rPr>
          <w:sz w:val="24"/>
          <w:szCs w:val="24"/>
          <w:color w:val="auto"/>
        </w:rPr>
      </w:pPr>
    </w:p>
    <w:p>
      <w:pPr>
        <w:ind w:left="420" w:hanging="385"/>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41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center"/>
        <w:spacing w:after="0" w:line="221" w:lineRule="auto"/>
        <w:rPr>
          <w:sz w:val="20"/>
          <w:szCs w:val="20"/>
          <w:color w:val="auto"/>
        </w:rPr>
      </w:pPr>
      <w:r>
        <w:rPr>
          <w:rFonts w:ascii="Arial" w:cs="Arial" w:eastAsia="Arial" w:hAnsi="Arial"/>
          <w:sz w:val="18"/>
          <w:szCs w:val="18"/>
          <w:b w:val="1"/>
          <w:bCs w:val="1"/>
          <w:color w:val="auto"/>
        </w:rPr>
        <w:t>Commission File Number: 001-38950</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ind w:left="554"/>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80" w:type="dxa"/>
            <w:vAlign w:val="bottom"/>
          </w:tcPr>
          <w:p>
            <w:pPr>
              <w:jc w:val="center"/>
              <w:ind w:left="1074"/>
              <w:spacing w:after="0"/>
              <w:rPr>
                <w:sz w:val="20"/>
                <w:szCs w:val="20"/>
                <w:color w:val="auto"/>
              </w:rPr>
            </w:pPr>
            <w:r>
              <w:rPr>
                <w:rFonts w:ascii="Arial" w:cs="Arial" w:eastAsia="Arial" w:hAnsi="Arial"/>
                <w:sz w:val="18"/>
                <w:szCs w:val="18"/>
                <w:b w:val="1"/>
                <w:bCs w:val="1"/>
                <w:color w:val="auto"/>
                <w:w w:val="89"/>
              </w:rPr>
              <w:t>47-1874201</w:t>
            </w:r>
          </w:p>
        </w:tc>
      </w:tr>
      <w:tr>
        <w:trPr>
          <w:trHeight w:val="297"/>
        </w:trPr>
        <w:tc>
          <w:tcPr>
            <w:tcW w:w="3840" w:type="dxa"/>
            <w:vAlign w:val="bottom"/>
          </w:tcPr>
          <w:p>
            <w:pPr>
              <w:jc w:val="center"/>
              <w:ind w:left="554"/>
              <w:spacing w:after="0"/>
              <w:rPr>
                <w:sz w:val="20"/>
                <w:szCs w:val="20"/>
                <w:color w:val="auto"/>
              </w:rPr>
            </w:pPr>
            <w:r>
              <w:rPr>
                <w:rFonts w:ascii="Arial" w:cs="Arial" w:eastAsia="Arial" w:hAnsi="Arial"/>
                <w:sz w:val="18"/>
                <w:szCs w:val="18"/>
                <w:b w:val="1"/>
                <w:bCs w:val="1"/>
                <w:color w:val="auto"/>
                <w:w w:val="90"/>
              </w:rPr>
              <w:t>(State or other jurisdiction of</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80" w:type="dxa"/>
            <w:vAlign w:val="bottom"/>
          </w:tcPr>
          <w:p>
            <w:pPr>
              <w:jc w:val="center"/>
              <w:ind w:left="1114"/>
              <w:spacing w:after="0"/>
              <w:rPr>
                <w:sz w:val="20"/>
                <w:szCs w:val="20"/>
                <w:color w:val="auto"/>
              </w:rPr>
            </w:pPr>
            <w:r>
              <w:rPr>
                <w:rFonts w:ascii="Arial" w:cs="Arial" w:eastAsia="Arial" w:hAnsi="Arial"/>
                <w:sz w:val="18"/>
                <w:szCs w:val="18"/>
                <w:b w:val="1"/>
                <w:bCs w:val="1"/>
                <w:color w:val="auto"/>
                <w:w w:val="94"/>
              </w:rPr>
              <w:t>(I.R.S. Employer</w:t>
            </w:r>
          </w:p>
        </w:tc>
      </w:tr>
      <w:tr>
        <w:trPr>
          <w:trHeight w:val="243"/>
        </w:trPr>
        <w:tc>
          <w:tcPr>
            <w:tcW w:w="3840" w:type="dxa"/>
            <w:vAlign w:val="bottom"/>
          </w:tcPr>
          <w:p>
            <w:pPr>
              <w:jc w:val="center"/>
              <w:ind w:left="554"/>
              <w:spacing w:after="0"/>
              <w:rPr>
                <w:sz w:val="20"/>
                <w:szCs w:val="20"/>
                <w:color w:val="auto"/>
              </w:rPr>
            </w:pPr>
            <w:r>
              <w:rPr>
                <w:rFonts w:ascii="Arial" w:cs="Arial" w:eastAsia="Arial" w:hAnsi="Arial"/>
                <w:sz w:val="18"/>
                <w:szCs w:val="18"/>
                <w:b w:val="1"/>
                <w:bCs w:val="1"/>
                <w:color w:val="auto"/>
                <w:w w:val="91"/>
              </w:rPr>
              <w:t>incorporation or organization)</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80" w:type="dxa"/>
            <w:vAlign w:val="bottom"/>
          </w:tcPr>
          <w:p>
            <w:pPr>
              <w:jc w:val="center"/>
              <w:ind w:left="1094"/>
              <w:spacing w:after="0"/>
              <w:rPr>
                <w:sz w:val="20"/>
                <w:szCs w:val="20"/>
                <w:color w:val="auto"/>
              </w:rPr>
            </w:pPr>
            <w:r>
              <w:rPr>
                <w:rFonts w:ascii="Arial" w:cs="Arial" w:eastAsia="Arial" w:hAnsi="Arial"/>
                <w:sz w:val="18"/>
                <w:szCs w:val="18"/>
                <w:b w:val="1"/>
                <w:bCs w:val="1"/>
                <w:color w:val="auto"/>
                <w:w w:val="92"/>
              </w:rPr>
              <w:t>Identification No.)</w:t>
            </w:r>
          </w:p>
        </w:tc>
      </w:tr>
      <w:tr>
        <w:trPr>
          <w:trHeight w:val="270"/>
        </w:trPr>
        <w:tc>
          <w:tcPr>
            <w:tcW w:w="3840" w:type="dxa"/>
            <w:vAlign w:val="bottom"/>
          </w:tcPr>
          <w:p>
            <w:pPr>
              <w:jc w:val="center"/>
              <w:ind w:left="514"/>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780" w:type="dxa"/>
            <w:vAlign w:val="bottom"/>
          </w:tcPr>
          <w:p>
            <w:pPr>
              <w:jc w:val="center"/>
              <w:ind w:left="1094"/>
              <w:spacing w:after="0"/>
              <w:rPr>
                <w:sz w:val="20"/>
                <w:szCs w:val="20"/>
                <w:color w:val="auto"/>
              </w:rPr>
            </w:pPr>
            <w:r>
              <w:rPr>
                <w:rFonts w:ascii="Arial" w:cs="Arial" w:eastAsia="Arial" w:hAnsi="Arial"/>
                <w:sz w:val="18"/>
                <w:szCs w:val="18"/>
                <w:b w:val="1"/>
                <w:bCs w:val="1"/>
                <w:color w:val="auto"/>
                <w:w w:val="87"/>
              </w:rPr>
              <w:t>94608</w:t>
            </w:r>
          </w:p>
        </w:tc>
      </w:tr>
      <w:tr>
        <w:trPr>
          <w:trHeight w:val="264"/>
        </w:trPr>
        <w:tc>
          <w:tcPr>
            <w:tcW w:w="3840" w:type="dxa"/>
            <w:vAlign w:val="bottom"/>
          </w:tcPr>
          <w:p>
            <w:pPr>
              <w:jc w:val="center"/>
              <w:ind w:left="55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780" w:type="dxa"/>
            <w:vAlign w:val="bottom"/>
          </w:tcPr>
          <w:p>
            <w:pPr>
              <w:jc w:val="center"/>
              <w:ind w:left="1094"/>
              <w:spacing w:after="0"/>
              <w:rPr>
                <w:sz w:val="20"/>
                <w:szCs w:val="20"/>
                <w:color w:val="auto"/>
              </w:rPr>
            </w:pPr>
            <w:r>
              <w:rPr>
                <w:rFonts w:ascii="Arial" w:cs="Arial" w:eastAsia="Arial" w:hAnsi="Arial"/>
                <w:sz w:val="16"/>
                <w:szCs w:val="16"/>
                <w:b w:val="1"/>
                <w:bCs w:val="1"/>
                <w:color w:val="auto"/>
                <w:w w:val="96"/>
              </w:rPr>
              <w:t>(Zip Code)</w:t>
            </w:r>
          </w:p>
        </w:tc>
      </w:tr>
      <w:tr>
        <w:trPr>
          <w:trHeight w:val="276"/>
        </w:trPr>
        <w:tc>
          <w:tcPr>
            <w:tcW w:w="3840" w:type="dxa"/>
            <w:vAlign w:val="bottom"/>
          </w:tcPr>
          <w:p>
            <w:pPr>
              <w:spacing w:after="0"/>
              <w:rPr>
                <w:sz w:val="24"/>
                <w:szCs w:val="24"/>
                <w:color w:val="auto"/>
              </w:rPr>
            </w:pPr>
          </w:p>
        </w:tc>
        <w:tc>
          <w:tcPr>
            <w:tcW w:w="3020" w:type="dxa"/>
            <w:vAlign w:val="bottom"/>
            <w:gridSpan w:val="3"/>
          </w:tcPr>
          <w:p>
            <w:pPr>
              <w:jc w:val="center"/>
              <w:ind w:left="573"/>
              <w:spacing w:after="0"/>
              <w:rPr>
                <w:sz w:val="20"/>
                <w:szCs w:val="20"/>
                <w:color w:val="auto"/>
              </w:rPr>
            </w:pPr>
            <w:r>
              <w:rPr>
                <w:rFonts w:ascii="Arial" w:cs="Arial" w:eastAsia="Arial" w:hAnsi="Arial"/>
                <w:sz w:val="18"/>
                <w:szCs w:val="18"/>
                <w:b w:val="1"/>
                <w:bCs w:val="1"/>
                <w:color w:val="auto"/>
                <w:w w:val="90"/>
              </w:rPr>
              <w:t>(510) 845-1999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51"/>
        </w:trPr>
        <w:tc>
          <w:tcPr>
            <w:tcW w:w="3840" w:type="dxa"/>
            <w:vAlign w:val="bottom"/>
          </w:tcPr>
          <w:p>
            <w:pPr>
              <w:spacing w:after="0"/>
              <w:rPr>
                <w:sz w:val="21"/>
                <w:szCs w:val="21"/>
                <w:color w:val="auto"/>
              </w:rPr>
            </w:pPr>
          </w:p>
        </w:tc>
        <w:tc>
          <w:tcPr>
            <w:tcW w:w="38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780" w:type="dxa"/>
            <w:vAlign w:val="bottom"/>
          </w:tcPr>
          <w:p>
            <w:pPr>
              <w:spacing w:after="0"/>
              <w:rPr>
                <w:sz w:val="21"/>
                <w:szCs w:val="21"/>
                <w:color w:val="auto"/>
              </w:rPr>
            </w:pPr>
          </w:p>
        </w:tc>
      </w:tr>
      <w:tr>
        <w:trPr>
          <w:trHeight w:val="236"/>
        </w:trPr>
        <w:tc>
          <w:tcPr>
            <w:tcW w:w="3840" w:type="dxa"/>
            <w:vAlign w:val="bottom"/>
          </w:tcPr>
          <w:p>
            <w:pPr>
              <w:spacing w:after="0"/>
              <w:rPr>
                <w:sz w:val="20"/>
                <w:szCs w:val="20"/>
                <w:color w:val="auto"/>
              </w:rPr>
            </w:pPr>
          </w:p>
        </w:tc>
        <w:tc>
          <w:tcPr>
            <w:tcW w:w="380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___________________________________</w:t>
            </w:r>
          </w:p>
        </w:tc>
        <w:tc>
          <w:tcPr>
            <w:tcW w:w="3780" w:type="dxa"/>
            <w:vAlign w:val="bottom"/>
          </w:tcPr>
          <w:p>
            <w:pPr>
              <w:spacing w:after="0"/>
              <w:rPr>
                <w:sz w:val="20"/>
                <w:szCs w:val="20"/>
                <w:color w:val="auto"/>
              </w:rPr>
            </w:pPr>
          </w:p>
        </w:tc>
      </w:tr>
      <w:tr>
        <w:trPr>
          <w:trHeight w:val="359"/>
        </w:trPr>
        <w:tc>
          <w:tcPr>
            <w:tcW w:w="3840" w:type="dxa"/>
            <w:vAlign w:val="bottom"/>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32"/>
        </w:trPr>
        <w:tc>
          <w:tcPr>
            <w:tcW w:w="3840" w:type="dxa"/>
            <w:vAlign w:val="bottom"/>
          </w:tcPr>
          <w:p>
            <w:pPr>
              <w:jc w:val="center"/>
              <w:ind w:left="214"/>
              <w:spacing w:after="0"/>
              <w:rPr>
                <w:sz w:val="20"/>
                <w:szCs w:val="20"/>
                <w:color w:val="auto"/>
              </w:rPr>
            </w:pPr>
            <w:r>
              <w:rPr>
                <w:rFonts w:ascii="Arial" w:cs="Arial" w:eastAsia="Arial" w:hAnsi="Arial"/>
                <w:sz w:val="16"/>
                <w:szCs w:val="16"/>
                <w:b w:val="1"/>
                <w:bCs w:val="1"/>
                <w:color w:val="auto"/>
                <w:w w:val="88"/>
              </w:rPr>
              <w:t>Title of each class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2"/>
              </w:rPr>
              <w:t>Trading Symbol</w:t>
            </w:r>
          </w:p>
        </w:tc>
        <w:tc>
          <w:tcPr>
            <w:tcW w:w="3780" w:type="dxa"/>
            <w:vAlign w:val="bottom"/>
          </w:tcPr>
          <w:p>
            <w:pPr>
              <w:jc w:val="center"/>
              <w:ind w:right="474"/>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7"/>
        </w:trPr>
        <w:tc>
          <w:tcPr>
            <w:tcW w:w="3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r>
        <w:trPr>
          <w:trHeight w:val="217"/>
        </w:trPr>
        <w:tc>
          <w:tcPr>
            <w:tcW w:w="3840" w:type="dxa"/>
            <w:vAlign w:val="bottom"/>
          </w:tcPr>
          <w:p>
            <w:pPr>
              <w:jc w:val="center"/>
              <w:ind w:left="214"/>
              <w:spacing w:after="0"/>
              <w:rPr>
                <w:sz w:val="20"/>
                <w:szCs w:val="20"/>
                <w:color w:val="auto"/>
              </w:rPr>
            </w:pPr>
            <w:r>
              <w:rPr>
                <w:rFonts w:ascii="Arial" w:cs="Arial" w:eastAsia="Arial" w:hAnsi="Arial"/>
                <w:sz w:val="16"/>
                <w:szCs w:val="16"/>
                <w:color w:val="auto"/>
                <w:w w:val="91"/>
              </w:rPr>
              <w:t>Common Stock, par value $0.001 per share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3"/>
          </w:tcPr>
          <w:p>
            <w:pPr>
              <w:jc w:val="center"/>
              <w:ind w:right="780"/>
              <w:spacing w:after="0"/>
              <w:rPr>
                <w:sz w:val="20"/>
                <w:szCs w:val="20"/>
                <w:color w:val="auto"/>
              </w:rPr>
            </w:pPr>
            <w:r>
              <w:rPr>
                <w:rFonts w:ascii="Arial" w:cs="Arial" w:eastAsia="Arial" w:hAnsi="Arial"/>
                <w:sz w:val="16"/>
                <w:szCs w:val="16"/>
                <w:color w:val="auto"/>
                <w:w w:val="88"/>
              </w:rPr>
              <w:t>GO</w:t>
            </w:r>
          </w:p>
        </w:tc>
        <w:tc>
          <w:tcPr>
            <w:tcW w:w="3780" w:type="dxa"/>
            <w:vAlign w:val="bottom"/>
          </w:tcPr>
          <w:p>
            <w:pPr>
              <w:jc w:val="center"/>
              <w:ind w:right="474"/>
              <w:spacing w:after="0"/>
              <w:rPr>
                <w:sz w:val="20"/>
                <w:szCs w:val="20"/>
                <w:color w:val="auto"/>
              </w:rPr>
            </w:pPr>
            <w:r>
              <w:rPr>
                <w:rFonts w:ascii="Arial" w:cs="Arial" w:eastAsia="Arial" w:hAnsi="Arial"/>
                <w:sz w:val="16"/>
                <w:szCs w:val="16"/>
                <w:color w:val="auto"/>
                <w:w w:val="91"/>
              </w:rPr>
              <w:t>Nasdaq Global Select Market</w:t>
            </w:r>
          </w:p>
        </w:tc>
      </w:tr>
    </w:tbl>
    <w:p>
      <w:pPr>
        <w:spacing w:after="0" w:line="199" w:lineRule="exact"/>
        <w:rPr>
          <w:sz w:val="24"/>
          <w:szCs w:val="24"/>
          <w:color w:val="auto"/>
        </w:rPr>
      </w:pPr>
    </w:p>
    <w:p>
      <w:pPr>
        <w:jc w:val="both"/>
        <w:ind w:firstLine="500"/>
        <w:spacing w:after="0" w:line="249"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38" w:lineRule="exact"/>
        <w:rPr>
          <w:sz w:val="24"/>
          <w:szCs w:val="24"/>
          <w:color w:val="auto"/>
        </w:rPr>
      </w:pPr>
    </w:p>
    <w:p>
      <w:pPr>
        <w:jc w:val="both"/>
        <w:ind w:firstLine="500"/>
        <w:spacing w:after="0" w:line="281"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Arial" w:cs="Arial" w:eastAsia="Arial" w:hAnsi="Arial"/>
          <w:sz w:val="15"/>
          <w:szCs w:val="15"/>
          <w:color w:val="auto"/>
        </w:rPr>
        <w:t xml:space="preserve"> No </w:t>
      </w:r>
      <w:r>
        <w:rPr>
          <w:rFonts w:ascii="Arial" w:cs="Arial" w:eastAsia="Arial" w:hAnsi="Arial"/>
          <w:sz w:val="17"/>
          <w:szCs w:val="17"/>
          <w:color w:val="auto"/>
        </w:rPr>
        <w:t>o</w:t>
      </w:r>
    </w:p>
    <w:p>
      <w:pPr>
        <w:spacing w:after="0" w:line="1" w:lineRule="exact"/>
        <w:rPr>
          <w:sz w:val="24"/>
          <w:szCs w:val="24"/>
          <w:color w:val="auto"/>
        </w:rPr>
      </w:pPr>
    </w:p>
    <w:p>
      <w:pPr>
        <w:jc w:val="both"/>
        <w:ind w:right="420" w:firstLine="5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80" w:type="dxa"/>
            <w:vAlign w:val="bottom"/>
          </w:tcPr>
          <w:p>
            <w:pPr>
              <w:ind w:left="1960"/>
              <w:spacing w:after="0"/>
              <w:rPr>
                <w:sz w:val="20"/>
                <w:szCs w:val="20"/>
                <w:color w:val="auto"/>
              </w:rPr>
            </w:pPr>
            <w:r>
              <w:rPr>
                <w:rFonts w:ascii="Arial" w:cs="Arial" w:eastAsia="Arial" w:hAnsi="Arial"/>
                <w:sz w:val="18"/>
                <w:szCs w:val="18"/>
                <w:color w:val="auto"/>
              </w:rPr>
              <w:t>o</w:t>
            </w:r>
          </w:p>
        </w:tc>
        <w:tc>
          <w:tcPr>
            <w:tcW w:w="36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o</w:t>
            </w:r>
          </w:p>
        </w:tc>
      </w:tr>
      <w:tr>
        <w:trPr>
          <w:trHeight w:val="27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180" w:type="dxa"/>
            <w:vAlign w:val="bottom"/>
          </w:tcPr>
          <w:p>
            <w:pPr>
              <w:ind w:left="1960"/>
              <w:spacing w:after="0"/>
              <w:rPr>
                <w:sz w:val="20"/>
                <w:szCs w:val="20"/>
                <w:color w:val="auto"/>
              </w:rPr>
            </w:pPr>
            <w:r>
              <w:rPr>
                <w:rFonts w:ascii="Arial" w:cs="Arial" w:eastAsia="Arial" w:hAnsi="Arial"/>
                <w:sz w:val="18"/>
                <w:szCs w:val="18"/>
                <w:color w:val="auto"/>
              </w:rPr>
              <w:t>x</w:t>
            </w:r>
          </w:p>
        </w:tc>
        <w:tc>
          <w:tcPr>
            <w:tcW w:w="36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o</w:t>
            </w:r>
          </w:p>
        </w:tc>
      </w:tr>
      <w:tr>
        <w:trPr>
          <w:trHeight w:val="270"/>
        </w:trPr>
        <w:tc>
          <w:tcPr>
            <w:tcW w:w="34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o</w:t>
            </w:r>
          </w:p>
        </w:tc>
      </w:tr>
    </w:tbl>
    <w:p>
      <w:pPr>
        <w:spacing w:after="0" w:line="17" w:lineRule="exact"/>
        <w:rPr>
          <w:sz w:val="24"/>
          <w:szCs w:val="24"/>
          <w:color w:val="auto"/>
        </w:rPr>
      </w:pPr>
    </w:p>
    <w:p>
      <w:pPr>
        <w:ind w:right="160"/>
        <w:spacing w:after="0" w:line="252"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4"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16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As of August 6, 2019, the registrant had 88,355,118 shares of common stock outstanding.</w:t>
      </w:r>
    </w:p>
    <w:p>
      <w:pPr>
        <w:sectPr>
          <w:pgSz w:w="11900" w:h="16838" w:orient="portrait"/>
          <w:cols w:equalWidth="0" w:num="1">
            <w:col w:w="11420"/>
          </w:cols>
          <w:pgMar w:left="240" w:top="445" w:right="2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820" w:type="dxa"/>
            <w:vAlign w:val="bottom"/>
          </w:tcPr>
          <w:p>
            <w:pPr>
              <w:ind w:left="1500"/>
              <w:spacing w:after="0"/>
              <w:rPr>
                <w:sz w:val="20"/>
                <w:szCs w:val="20"/>
                <w:color w:val="auto"/>
              </w:rPr>
            </w:pPr>
            <w:r>
              <w:rPr>
                <w:rFonts w:ascii="Arial" w:cs="Arial" w:eastAsia="Arial" w:hAnsi="Arial"/>
                <w:sz w:val="16"/>
                <w:szCs w:val="16"/>
                <w:b w:val="1"/>
                <w:bCs w:val="1"/>
                <w:color w:val="auto"/>
                <w:w w:val="78"/>
              </w:rPr>
              <w:t>Page</w:t>
            </w:r>
          </w:p>
        </w:tc>
      </w:tr>
      <w:tr>
        <w:trPr>
          <w:trHeight w:val="600"/>
        </w:trPr>
        <w:tc>
          <w:tcPr>
            <w:tcW w:w="93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Special Note Regarding Forward-Looking Statements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
              <w:r>
                <w:rPr>
                  <w:rFonts w:ascii="Arial" w:cs="Arial" w:eastAsia="Arial" w:hAnsi="Arial"/>
                  <w:sz w:val="16"/>
                  <w:szCs w:val="16"/>
                  <w:color w:val="auto"/>
                  <w:w w:val="89"/>
                </w:rPr>
                <w:t>2</w:t>
              </w:r>
            </w:hyperlink>
          </w:p>
        </w:tc>
      </w:tr>
      <w:tr>
        <w:trPr>
          <w:trHeight w:val="594"/>
        </w:trPr>
        <w:tc>
          <w:tcPr>
            <w:tcW w:w="1100" w:type="dxa"/>
            <w:vAlign w:val="bottom"/>
          </w:tcPr>
          <w:p>
            <w:pP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8220" w:type="dxa"/>
            <w:vAlign w:val="bottom"/>
          </w:tcPr>
          <w:p>
            <w:pPr>
              <w:ind w:left="280"/>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FINANCIAL INFORMATION</w:t>
              </w:r>
            </w:hyperlink>
          </w:p>
        </w:tc>
        <w:tc>
          <w:tcPr>
            <w:tcW w:w="1820" w:type="dxa"/>
            <w:vAlign w:val="bottom"/>
          </w:tcPr>
          <w:p>
            <w:pPr>
              <w:spacing w:after="0"/>
              <w:rPr>
                <w:sz w:val="24"/>
                <w:szCs w:val="24"/>
                <w:color w:val="auto"/>
              </w:rPr>
            </w:pPr>
          </w:p>
        </w:tc>
      </w:tr>
      <w:tr>
        <w:trPr>
          <w:trHeight w:val="270"/>
        </w:trPr>
        <w:tc>
          <w:tcPr>
            <w:tcW w:w="110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220" w:type="dxa"/>
            <w:vAlign w:val="bottom"/>
          </w:tcPr>
          <w:p>
            <w:pPr>
              <w:ind w:left="280"/>
              <w:spacing w:after="0"/>
              <w:rPr>
                <w:rFonts w:ascii="Arial" w:cs="Arial" w:eastAsia="Arial" w:hAnsi="Arial"/>
                <w:sz w:val="18"/>
                <w:szCs w:val="18"/>
                <w:color w:val="auto"/>
              </w:rPr>
            </w:pPr>
            <w:hyperlink w:anchor="page6">
              <w:r>
                <w:rPr>
                  <w:rFonts w:ascii="Arial" w:cs="Arial" w:eastAsia="Arial" w:hAnsi="Arial"/>
                  <w:sz w:val="18"/>
                  <w:szCs w:val="18"/>
                  <w:color w:val="auto"/>
                </w:rPr>
                <w:t>Financial Statements (Unaudited)</w:t>
              </w:r>
            </w:hyperlink>
          </w:p>
        </w:tc>
        <w:tc>
          <w:tcPr>
            <w:tcW w:w="1820" w:type="dxa"/>
            <w:vAlign w:val="bottom"/>
          </w:tcPr>
          <w:p>
            <w:pPr>
              <w:jc w:val="center"/>
              <w:ind w:left="1419"/>
              <w:spacing w:after="0"/>
              <w:rPr>
                <w:rFonts w:ascii="Arial" w:cs="Arial" w:eastAsia="Arial" w:hAnsi="Arial"/>
                <w:sz w:val="16"/>
                <w:szCs w:val="16"/>
                <w:color w:val="auto"/>
                <w:w w:val="89"/>
              </w:rPr>
            </w:pPr>
            <w:hyperlink w:anchor="page6">
              <w:r>
                <w:rPr>
                  <w:rFonts w:ascii="Arial" w:cs="Arial" w:eastAsia="Arial" w:hAnsi="Arial"/>
                  <w:sz w:val="16"/>
                  <w:szCs w:val="16"/>
                  <w:color w:val="auto"/>
                  <w:w w:val="89"/>
                </w:rPr>
                <w:t>5</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Balance Sheets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6">
              <w:r>
                <w:rPr>
                  <w:rFonts w:ascii="Arial" w:cs="Arial" w:eastAsia="Arial" w:hAnsi="Arial"/>
                  <w:sz w:val="16"/>
                  <w:szCs w:val="16"/>
                  <w:color w:val="auto"/>
                  <w:w w:val="89"/>
                </w:rPr>
                <w:t>5</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Operations and Comprehensive Income (Loss)</w:t>
              </w:r>
            </w:hyperlink>
          </w:p>
        </w:tc>
        <w:tc>
          <w:tcPr>
            <w:tcW w:w="1820" w:type="dxa"/>
            <w:vAlign w:val="bottom"/>
          </w:tcPr>
          <w:p>
            <w:pPr>
              <w:jc w:val="center"/>
              <w:ind w:left="1419"/>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6</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Stockholders’ Equity</w:t>
              </w:r>
            </w:hyperlink>
          </w:p>
        </w:tc>
        <w:tc>
          <w:tcPr>
            <w:tcW w:w="1820" w:type="dxa"/>
            <w:vAlign w:val="bottom"/>
          </w:tcPr>
          <w:p>
            <w:pPr>
              <w:jc w:val="center"/>
              <w:ind w:left="1419"/>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7</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Cash Flows</w:t>
              </w:r>
            </w:hyperlink>
          </w:p>
        </w:tc>
        <w:tc>
          <w:tcPr>
            <w:tcW w:w="1820" w:type="dxa"/>
            <w:vAlign w:val="bottom"/>
          </w:tcPr>
          <w:p>
            <w:pPr>
              <w:jc w:val="center"/>
              <w:ind w:left="1419"/>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8</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10">
              <w:r>
                <w:rPr>
                  <w:rFonts w:ascii="Arial" w:cs="Arial" w:eastAsia="Arial" w:hAnsi="Arial"/>
                  <w:sz w:val="16"/>
                  <w:szCs w:val="16"/>
                  <w:color w:val="auto"/>
                  <w:w w:val="89"/>
                </w:rPr>
                <w:t>9</w:t>
              </w:r>
            </w:hyperlink>
          </w:p>
        </w:tc>
      </w:tr>
      <w:tr>
        <w:trPr>
          <w:trHeight w:val="270"/>
        </w:trPr>
        <w:tc>
          <w:tcPr>
            <w:tcW w:w="110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8220" w:type="dxa"/>
            <w:vAlign w:val="bottom"/>
          </w:tcPr>
          <w:p>
            <w:pPr>
              <w:ind w:left="28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820" w:type="dxa"/>
            <w:vAlign w:val="bottom"/>
          </w:tcPr>
          <w:p>
            <w:pPr>
              <w:jc w:val="center"/>
              <w:ind w:left="1419"/>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26</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27">
              <w:r>
                <w:rPr>
                  <w:rFonts w:ascii="Arial" w:cs="Arial" w:eastAsia="Arial" w:hAnsi="Arial"/>
                  <w:sz w:val="18"/>
                  <w:szCs w:val="18"/>
                  <w:color w:val="auto"/>
                </w:rPr>
                <w:t>Overview</w:t>
              </w:r>
            </w:hyperlink>
          </w:p>
        </w:tc>
        <w:tc>
          <w:tcPr>
            <w:tcW w:w="1820" w:type="dxa"/>
            <w:vAlign w:val="bottom"/>
          </w:tcPr>
          <w:p>
            <w:pPr>
              <w:jc w:val="center"/>
              <w:ind w:left="1419"/>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26</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28">
              <w:r>
                <w:rPr>
                  <w:rFonts w:ascii="Arial" w:cs="Arial" w:eastAsia="Arial" w:hAnsi="Arial"/>
                  <w:sz w:val="18"/>
                  <w:szCs w:val="18"/>
                  <w:color w:val="auto"/>
                </w:rPr>
                <w:t>Results of Operations</w:t>
              </w:r>
            </w:hyperlink>
          </w:p>
        </w:tc>
        <w:tc>
          <w:tcPr>
            <w:tcW w:w="1820" w:type="dxa"/>
            <w:vAlign w:val="bottom"/>
          </w:tcPr>
          <w:p>
            <w:pPr>
              <w:jc w:val="center"/>
              <w:ind w:left="1419"/>
              <w:spacing w:after="0"/>
              <w:rPr>
                <w:rFonts w:ascii="Arial" w:cs="Arial" w:eastAsia="Arial" w:hAnsi="Arial"/>
                <w:sz w:val="16"/>
                <w:szCs w:val="16"/>
                <w:color w:val="auto"/>
                <w:w w:val="89"/>
              </w:rPr>
            </w:pPr>
            <w:hyperlink w:anchor="page28">
              <w:r>
                <w:rPr>
                  <w:rFonts w:ascii="Arial" w:cs="Arial" w:eastAsia="Arial" w:hAnsi="Arial"/>
                  <w:sz w:val="16"/>
                  <w:szCs w:val="16"/>
                  <w:color w:val="auto"/>
                  <w:w w:val="89"/>
                </w:rPr>
                <w:t>27</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34">
              <w:r>
                <w:rPr>
                  <w:rFonts w:ascii="Arial" w:cs="Arial" w:eastAsia="Arial" w:hAnsi="Arial"/>
                  <w:sz w:val="18"/>
                  <w:szCs w:val="18"/>
                  <w:color w:val="auto"/>
                </w:rPr>
                <w:t>Liquidity and Capital Resources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4">
              <w:r>
                <w:rPr>
                  <w:rFonts w:ascii="Arial" w:cs="Arial" w:eastAsia="Arial" w:hAnsi="Arial"/>
                  <w:sz w:val="16"/>
                  <w:szCs w:val="16"/>
                  <w:color w:val="auto"/>
                  <w:w w:val="89"/>
                </w:rPr>
                <w:t>33</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36">
              <w:r>
                <w:rPr>
                  <w:rFonts w:ascii="Arial" w:cs="Arial" w:eastAsia="Arial" w:hAnsi="Arial"/>
                  <w:sz w:val="18"/>
                  <w:szCs w:val="18"/>
                  <w:color w:val="auto"/>
                </w:rPr>
                <w:t>Off-Balance Sheet Arrangements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35</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36">
              <w:r>
                <w:rPr>
                  <w:rFonts w:ascii="Arial" w:cs="Arial" w:eastAsia="Arial" w:hAnsi="Arial"/>
                  <w:sz w:val="18"/>
                  <w:szCs w:val="18"/>
                  <w:color w:val="auto"/>
                </w:rPr>
                <w:t>Contractual Obligations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35</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37">
              <w:r>
                <w:rPr>
                  <w:rFonts w:ascii="Arial" w:cs="Arial" w:eastAsia="Arial" w:hAnsi="Arial"/>
                  <w:sz w:val="18"/>
                  <w:szCs w:val="18"/>
                  <w:color w:val="auto"/>
                </w:rPr>
                <w:t>Critical Accounting Policies and Estimates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36</w:t>
              </w:r>
            </w:hyperlink>
          </w:p>
        </w:tc>
      </w:tr>
      <w:tr>
        <w:trPr>
          <w:trHeight w:val="270"/>
        </w:trPr>
        <w:tc>
          <w:tcPr>
            <w:tcW w:w="1100" w:type="dxa"/>
            <w:vAlign w:val="bottom"/>
          </w:tcPr>
          <w:p>
            <w:pPr>
              <w:spacing w:after="0"/>
              <w:rPr>
                <w:sz w:val="23"/>
                <w:szCs w:val="23"/>
                <w:color w:val="auto"/>
              </w:rPr>
            </w:pPr>
          </w:p>
        </w:tc>
        <w:tc>
          <w:tcPr>
            <w:tcW w:w="8220" w:type="dxa"/>
            <w:vAlign w:val="bottom"/>
          </w:tcPr>
          <w:p>
            <w:pPr>
              <w:ind w:left="280"/>
              <w:spacing w:after="0"/>
              <w:rPr>
                <w:rFonts w:ascii="Arial" w:cs="Arial" w:eastAsia="Arial" w:hAnsi="Arial"/>
                <w:sz w:val="18"/>
                <w:szCs w:val="18"/>
                <w:color w:val="auto"/>
              </w:rPr>
            </w:pPr>
            <w:hyperlink w:anchor="page37">
              <w:r>
                <w:rPr>
                  <w:rFonts w:ascii="Arial" w:cs="Arial" w:eastAsia="Arial" w:hAnsi="Arial"/>
                  <w:sz w:val="18"/>
                  <w:szCs w:val="18"/>
                  <w:color w:val="auto"/>
                </w:rPr>
                <w:t>Recent Accounting Pronouncements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36</w:t>
              </w:r>
            </w:hyperlink>
          </w:p>
        </w:tc>
      </w:tr>
      <w:tr>
        <w:trPr>
          <w:trHeight w:val="270"/>
        </w:trPr>
        <w:tc>
          <w:tcPr>
            <w:tcW w:w="11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8220" w:type="dxa"/>
            <w:vAlign w:val="bottom"/>
          </w:tcPr>
          <w:p>
            <w:pPr>
              <w:ind w:left="280"/>
              <w:spacing w:after="0"/>
              <w:rPr>
                <w:rFonts w:ascii="Arial" w:cs="Arial" w:eastAsia="Arial" w:hAnsi="Arial"/>
                <w:sz w:val="18"/>
                <w:szCs w:val="18"/>
                <w:color w:val="auto"/>
              </w:rPr>
            </w:pPr>
            <w:hyperlink w:anchor="page37">
              <w:r>
                <w:rPr>
                  <w:rFonts w:ascii="Arial" w:cs="Arial" w:eastAsia="Arial" w:hAnsi="Arial"/>
                  <w:sz w:val="18"/>
                  <w:szCs w:val="18"/>
                  <w:color w:val="auto"/>
                </w:rPr>
                <w:t>Quantitative and Qualitative Disclosure about Market Risk</w:t>
              </w:r>
            </w:hyperlink>
          </w:p>
        </w:tc>
        <w:tc>
          <w:tcPr>
            <w:tcW w:w="1820" w:type="dxa"/>
            <w:vAlign w:val="bottom"/>
          </w:tcPr>
          <w:p>
            <w:pPr>
              <w:jc w:val="center"/>
              <w:ind w:left="141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36</w:t>
              </w:r>
            </w:hyperlink>
          </w:p>
        </w:tc>
      </w:tr>
      <w:tr>
        <w:trPr>
          <w:trHeight w:val="270"/>
        </w:trPr>
        <w:tc>
          <w:tcPr>
            <w:tcW w:w="11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8220" w:type="dxa"/>
            <w:vAlign w:val="bottom"/>
          </w:tcPr>
          <w:p>
            <w:pPr>
              <w:ind w:left="280"/>
              <w:spacing w:after="0"/>
              <w:rPr>
                <w:rFonts w:ascii="Arial" w:cs="Arial" w:eastAsia="Arial" w:hAnsi="Arial"/>
                <w:sz w:val="18"/>
                <w:szCs w:val="18"/>
                <w:color w:val="auto"/>
              </w:rPr>
            </w:pPr>
            <w:hyperlink w:anchor="page38">
              <w:r>
                <w:rPr>
                  <w:rFonts w:ascii="Arial" w:cs="Arial" w:eastAsia="Arial" w:hAnsi="Arial"/>
                  <w:sz w:val="18"/>
                  <w:szCs w:val="18"/>
                  <w:color w:val="auto"/>
                </w:rPr>
                <w:t>Controls and Procedures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8">
              <w:r>
                <w:rPr>
                  <w:rFonts w:ascii="Arial" w:cs="Arial" w:eastAsia="Arial" w:hAnsi="Arial"/>
                  <w:sz w:val="16"/>
                  <w:szCs w:val="16"/>
                  <w:color w:val="auto"/>
                  <w:w w:val="89"/>
                </w:rPr>
                <w:t>37</w:t>
              </w:r>
            </w:hyperlink>
          </w:p>
        </w:tc>
      </w:tr>
      <w:tr>
        <w:trPr>
          <w:trHeight w:val="608"/>
        </w:trPr>
        <w:tc>
          <w:tcPr>
            <w:tcW w:w="1100" w:type="dxa"/>
            <w:vAlign w:val="bottom"/>
          </w:tcPr>
          <w:p>
            <w:pPr>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PART II</w:t>
              </w:r>
            </w:hyperlink>
          </w:p>
        </w:tc>
        <w:tc>
          <w:tcPr>
            <w:tcW w:w="8220" w:type="dxa"/>
            <w:vAlign w:val="bottom"/>
          </w:tcPr>
          <w:p>
            <w:pPr>
              <w:ind w:left="28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OTHER INFORMATION</w:t>
              </w:r>
            </w:hyperlink>
          </w:p>
        </w:tc>
        <w:tc>
          <w:tcPr>
            <w:tcW w:w="1820" w:type="dxa"/>
            <w:vAlign w:val="bottom"/>
          </w:tcPr>
          <w:p>
            <w:pPr>
              <w:spacing w:after="0"/>
              <w:rPr>
                <w:sz w:val="24"/>
                <w:szCs w:val="24"/>
                <w:color w:val="auto"/>
              </w:rPr>
            </w:pPr>
          </w:p>
        </w:tc>
      </w:tr>
      <w:tr>
        <w:trPr>
          <w:trHeight w:val="270"/>
        </w:trPr>
        <w:tc>
          <w:tcPr>
            <w:tcW w:w="11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8220" w:type="dxa"/>
            <w:vAlign w:val="bottom"/>
          </w:tcPr>
          <w:p>
            <w:pPr>
              <w:ind w:left="280"/>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38</w:t>
              </w:r>
            </w:hyperlink>
          </w:p>
        </w:tc>
      </w:tr>
      <w:tr>
        <w:trPr>
          <w:trHeight w:val="270"/>
        </w:trPr>
        <w:tc>
          <w:tcPr>
            <w:tcW w:w="11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8220" w:type="dxa"/>
            <w:vAlign w:val="bottom"/>
          </w:tcPr>
          <w:p>
            <w:pPr>
              <w:ind w:left="280"/>
              <w:spacing w:after="0"/>
              <w:rPr>
                <w:rFonts w:ascii="Arial" w:cs="Arial" w:eastAsia="Arial" w:hAnsi="Arial"/>
                <w:sz w:val="18"/>
                <w:szCs w:val="18"/>
                <w:color w:val="auto"/>
              </w:rPr>
            </w:pPr>
            <w:hyperlink w:anchor="page39">
              <w:r>
                <w:rPr>
                  <w:rFonts w:ascii="Arial" w:cs="Arial" w:eastAsia="Arial" w:hAnsi="Arial"/>
                  <w:sz w:val="18"/>
                  <w:szCs w:val="18"/>
                  <w:color w:val="auto"/>
                </w:rPr>
                <w:t>Risk Factors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38</w:t>
              </w:r>
            </w:hyperlink>
          </w:p>
        </w:tc>
      </w:tr>
      <w:tr>
        <w:trPr>
          <w:trHeight w:val="270"/>
        </w:trPr>
        <w:tc>
          <w:tcPr>
            <w:tcW w:w="11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2</w:t>
              </w:r>
            </w:hyperlink>
          </w:p>
        </w:tc>
        <w:tc>
          <w:tcPr>
            <w:tcW w:w="8220" w:type="dxa"/>
            <w:vAlign w:val="bottom"/>
          </w:tcPr>
          <w:p>
            <w:pPr>
              <w:ind w:left="280"/>
              <w:spacing w:after="0"/>
              <w:rPr>
                <w:rFonts w:ascii="Arial" w:cs="Arial" w:eastAsia="Arial" w:hAnsi="Arial"/>
                <w:sz w:val="18"/>
                <w:szCs w:val="18"/>
                <w:color w:val="auto"/>
              </w:rPr>
            </w:pPr>
            <w:hyperlink w:anchor="page39">
              <w:r>
                <w:rPr>
                  <w:rFonts w:ascii="Arial" w:cs="Arial" w:eastAsia="Arial" w:hAnsi="Arial"/>
                  <w:sz w:val="18"/>
                  <w:szCs w:val="18"/>
                  <w:color w:val="auto"/>
                </w:rPr>
                <w:t>Unregistered Sales of Equity Securities and Use of Proceeds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38</w:t>
              </w:r>
            </w:hyperlink>
          </w:p>
        </w:tc>
      </w:tr>
      <w:tr>
        <w:trPr>
          <w:trHeight w:val="270"/>
        </w:trPr>
        <w:tc>
          <w:tcPr>
            <w:tcW w:w="11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8220" w:type="dxa"/>
            <w:vAlign w:val="bottom"/>
          </w:tcPr>
          <w:p>
            <w:pPr>
              <w:ind w:left="280"/>
              <w:spacing w:after="0"/>
              <w:rPr>
                <w:rFonts w:ascii="Arial" w:cs="Arial" w:eastAsia="Arial" w:hAnsi="Arial"/>
                <w:sz w:val="18"/>
                <w:szCs w:val="18"/>
                <w:color w:val="auto"/>
              </w:rPr>
            </w:pPr>
            <w:hyperlink w:anchor="page39">
              <w:r>
                <w:rPr>
                  <w:rFonts w:ascii="Arial" w:cs="Arial" w:eastAsia="Arial" w:hAnsi="Arial"/>
                  <w:sz w:val="18"/>
                  <w:szCs w:val="18"/>
                  <w:color w:val="auto"/>
                </w:rPr>
                <w:t>Defaults Upon Senior Securities</w:t>
              </w:r>
            </w:hyperlink>
          </w:p>
        </w:tc>
        <w:tc>
          <w:tcPr>
            <w:tcW w:w="1820" w:type="dxa"/>
            <w:vAlign w:val="bottom"/>
          </w:tcPr>
          <w:p>
            <w:pPr>
              <w:jc w:val="center"/>
              <w:ind w:left="1419"/>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38</w:t>
              </w:r>
            </w:hyperlink>
          </w:p>
        </w:tc>
      </w:tr>
      <w:tr>
        <w:trPr>
          <w:trHeight w:val="270"/>
        </w:trPr>
        <w:tc>
          <w:tcPr>
            <w:tcW w:w="11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8220" w:type="dxa"/>
            <w:vAlign w:val="bottom"/>
          </w:tcPr>
          <w:p>
            <w:pPr>
              <w:ind w:left="280"/>
              <w:spacing w:after="0"/>
              <w:rPr>
                <w:rFonts w:ascii="Arial" w:cs="Arial" w:eastAsia="Arial" w:hAnsi="Arial"/>
                <w:sz w:val="18"/>
                <w:szCs w:val="18"/>
                <w:color w:val="auto"/>
              </w:rPr>
            </w:pPr>
            <w:hyperlink w:anchor="page40">
              <w:r>
                <w:rPr>
                  <w:rFonts w:ascii="Arial" w:cs="Arial" w:eastAsia="Arial" w:hAnsi="Arial"/>
                  <w:sz w:val="18"/>
                  <w:szCs w:val="18"/>
                  <w:color w:val="auto"/>
                </w:rPr>
                <w:t>Mine Safety Disclosures</w:t>
              </w:r>
            </w:hyperlink>
          </w:p>
        </w:tc>
        <w:tc>
          <w:tcPr>
            <w:tcW w:w="1820" w:type="dxa"/>
            <w:vAlign w:val="bottom"/>
          </w:tcPr>
          <w:p>
            <w:pPr>
              <w:jc w:val="center"/>
              <w:ind w:left="1419"/>
              <w:spacing w:after="0"/>
              <w:rPr>
                <w:rFonts w:ascii="Arial" w:cs="Arial" w:eastAsia="Arial" w:hAnsi="Arial"/>
                <w:sz w:val="16"/>
                <w:szCs w:val="16"/>
                <w:color w:val="auto"/>
                <w:w w:val="89"/>
              </w:rPr>
            </w:pPr>
            <w:hyperlink w:anchor="page40">
              <w:r>
                <w:rPr>
                  <w:rFonts w:ascii="Arial" w:cs="Arial" w:eastAsia="Arial" w:hAnsi="Arial"/>
                  <w:sz w:val="16"/>
                  <w:szCs w:val="16"/>
                  <w:color w:val="auto"/>
                  <w:w w:val="89"/>
                </w:rPr>
                <w:t>39</w:t>
              </w:r>
            </w:hyperlink>
          </w:p>
        </w:tc>
      </w:tr>
      <w:tr>
        <w:trPr>
          <w:trHeight w:val="270"/>
        </w:trPr>
        <w:tc>
          <w:tcPr>
            <w:tcW w:w="11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8220" w:type="dxa"/>
            <w:vAlign w:val="bottom"/>
          </w:tcPr>
          <w:p>
            <w:pPr>
              <w:ind w:left="280"/>
              <w:spacing w:after="0"/>
              <w:rPr>
                <w:rFonts w:ascii="Arial" w:cs="Arial" w:eastAsia="Arial" w:hAnsi="Arial"/>
                <w:sz w:val="18"/>
                <w:szCs w:val="18"/>
                <w:color w:val="auto"/>
              </w:rPr>
            </w:pPr>
            <w:hyperlink w:anchor="page40">
              <w:r>
                <w:rPr>
                  <w:rFonts w:ascii="Arial" w:cs="Arial" w:eastAsia="Arial" w:hAnsi="Arial"/>
                  <w:sz w:val="18"/>
                  <w:szCs w:val="18"/>
                  <w:color w:val="auto"/>
                </w:rPr>
                <w:t>Other Information</w:t>
              </w:r>
            </w:hyperlink>
          </w:p>
        </w:tc>
        <w:tc>
          <w:tcPr>
            <w:tcW w:w="1820" w:type="dxa"/>
            <w:vAlign w:val="bottom"/>
          </w:tcPr>
          <w:p>
            <w:pPr>
              <w:jc w:val="center"/>
              <w:ind w:left="1419"/>
              <w:spacing w:after="0"/>
              <w:rPr>
                <w:rFonts w:ascii="Arial" w:cs="Arial" w:eastAsia="Arial" w:hAnsi="Arial"/>
                <w:sz w:val="16"/>
                <w:szCs w:val="16"/>
                <w:color w:val="auto"/>
                <w:w w:val="89"/>
              </w:rPr>
            </w:pPr>
            <w:hyperlink w:anchor="page40">
              <w:r>
                <w:rPr>
                  <w:rFonts w:ascii="Arial" w:cs="Arial" w:eastAsia="Arial" w:hAnsi="Arial"/>
                  <w:sz w:val="16"/>
                  <w:szCs w:val="16"/>
                  <w:color w:val="auto"/>
                  <w:w w:val="89"/>
                </w:rPr>
                <w:t>39</w:t>
              </w:r>
            </w:hyperlink>
          </w:p>
        </w:tc>
      </w:tr>
      <w:tr>
        <w:trPr>
          <w:trHeight w:val="270"/>
        </w:trPr>
        <w:tc>
          <w:tcPr>
            <w:tcW w:w="11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8220" w:type="dxa"/>
            <w:vAlign w:val="bottom"/>
          </w:tcPr>
          <w:p>
            <w:pPr>
              <w:ind w:left="280"/>
              <w:spacing w:after="0"/>
              <w:rPr>
                <w:rFonts w:ascii="Arial" w:cs="Arial" w:eastAsia="Arial" w:hAnsi="Arial"/>
                <w:sz w:val="18"/>
                <w:szCs w:val="18"/>
                <w:color w:val="auto"/>
              </w:rPr>
            </w:pPr>
            <w:hyperlink w:anchor="page40">
              <w:r>
                <w:rPr>
                  <w:rFonts w:ascii="Arial" w:cs="Arial" w:eastAsia="Arial" w:hAnsi="Arial"/>
                  <w:sz w:val="18"/>
                  <w:szCs w:val="18"/>
                  <w:color w:val="auto"/>
                </w:rPr>
                <w:t>Exhibits</w:t>
              </w:r>
            </w:hyperlink>
          </w:p>
        </w:tc>
        <w:tc>
          <w:tcPr>
            <w:tcW w:w="1820" w:type="dxa"/>
            <w:vAlign w:val="bottom"/>
          </w:tcPr>
          <w:p>
            <w:pPr>
              <w:jc w:val="center"/>
              <w:ind w:left="1419"/>
              <w:spacing w:after="0"/>
              <w:rPr>
                <w:rFonts w:ascii="Arial" w:cs="Arial" w:eastAsia="Arial" w:hAnsi="Arial"/>
                <w:sz w:val="16"/>
                <w:szCs w:val="16"/>
                <w:color w:val="auto"/>
                <w:w w:val="89"/>
              </w:rPr>
            </w:pPr>
            <w:hyperlink w:anchor="page40">
              <w:r>
                <w:rPr>
                  <w:rFonts w:ascii="Arial" w:cs="Arial" w:eastAsia="Arial" w:hAnsi="Arial"/>
                  <w:sz w:val="16"/>
                  <w:szCs w:val="16"/>
                  <w:color w:val="auto"/>
                  <w:w w:val="89"/>
                </w:rPr>
                <w:t>39</w:t>
              </w:r>
            </w:hyperlink>
          </w:p>
        </w:tc>
      </w:tr>
      <w:tr>
        <w:trPr>
          <w:trHeight w:val="608"/>
        </w:trPr>
        <w:tc>
          <w:tcPr>
            <w:tcW w:w="1100" w:type="dxa"/>
            <w:vAlign w:val="bottom"/>
          </w:tcPr>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Signatures</w:t>
              </w:r>
            </w:hyperlink>
          </w:p>
        </w:tc>
        <w:tc>
          <w:tcPr>
            <w:tcW w:w="8220" w:type="dxa"/>
            <w:vAlign w:val="bottom"/>
          </w:tcPr>
          <w:p>
            <w:pPr>
              <w:spacing w:after="0"/>
              <w:rPr>
                <w:sz w:val="24"/>
                <w:szCs w:val="24"/>
                <w:color w:val="auto"/>
              </w:rPr>
            </w:pPr>
          </w:p>
        </w:tc>
        <w:tc>
          <w:tcPr>
            <w:tcW w:w="1820" w:type="dxa"/>
            <w:vAlign w:val="bottom"/>
          </w:tcPr>
          <w:p>
            <w:pPr>
              <w:jc w:val="center"/>
              <w:ind w:left="1419"/>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40</w:t>
              </w:r>
            </w:hyperlink>
          </w:p>
        </w:tc>
      </w:tr>
      <w:tr>
        <w:trPr>
          <w:trHeight w:val="486"/>
        </w:trPr>
        <w:tc>
          <w:tcPr>
            <w:tcW w:w="1100" w:type="dxa"/>
            <w:vAlign w:val="bottom"/>
          </w:tcPr>
          <w:p>
            <w:pPr>
              <w:spacing w:after="0"/>
              <w:rPr>
                <w:sz w:val="24"/>
                <w:szCs w:val="24"/>
                <w:color w:val="auto"/>
              </w:rPr>
            </w:pPr>
          </w:p>
        </w:tc>
        <w:tc>
          <w:tcPr>
            <w:tcW w:w="8220" w:type="dxa"/>
            <w:vAlign w:val="bottom"/>
          </w:tcPr>
          <w:p>
            <w:pPr>
              <w:ind w:left="4520"/>
              <w:spacing w:after="0"/>
              <w:rPr>
                <w:sz w:val="20"/>
                <w:szCs w:val="20"/>
                <w:color w:val="auto"/>
              </w:rPr>
            </w:pPr>
            <w:r>
              <w:rPr>
                <w:rFonts w:ascii="Arial" w:cs="Arial" w:eastAsia="Arial" w:hAnsi="Arial"/>
                <w:sz w:val="18"/>
                <w:szCs w:val="18"/>
                <w:color w:val="auto"/>
              </w:rPr>
              <w:t>1</w:t>
            </w:r>
          </w:p>
        </w:tc>
        <w:tc>
          <w:tcPr>
            <w:tcW w:w="1820" w:type="dxa"/>
            <w:vAlign w:val="bottom"/>
          </w:tcPr>
          <w:p>
            <w:pPr>
              <w:spacing w:after="0"/>
              <w:rPr>
                <w:sz w:val="24"/>
                <w:szCs w:val="24"/>
                <w:color w:val="auto"/>
              </w:rPr>
            </w:pPr>
          </w:p>
        </w:tc>
      </w:tr>
    </w:tbl>
    <w:p>
      <w:pPr>
        <w:sectPr>
          <w:pgSz w:w="11900" w:h="16838" w:orient="portrait"/>
          <w:cols w:equalWidth="0" w:num="1">
            <w:col w:w="11140"/>
          </w:cols>
          <w:pgMar w:left="280" w:top="360" w:right="4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References to “the Company,” “we,” “us” and “our” in this Quarterly Report on Form 10-Q (this “Form 10-Q”) refer to Grocery Outlet Holding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include all of its consolidated subsidiaries, unless otherwise indicated or the context requires otherwise.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 Forward-looking statements generally can be identified by the use of forward-looking terminology such as “may,” “should,” “expect,” “intend,” “will,” “estimate,” “anticipate,” “believe,” “predict,” “potential” or “continue” or the negatives of these terms or variations of them or similar terminology. Although we believe that the expectations reflected in these forward-looking statements are reasonable, we cannot provide any assurance that these expectations will prove to be correct and actual results may vary materially from what is expressed in or indicated by the forward-looking statement. Such statements reflect the current views of our management with respect to our business, results of operations and future financial performance.</w:t>
      </w:r>
    </w:p>
    <w:p>
      <w:pPr>
        <w:spacing w:after="0" w:line="195"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The following factors are among those that may cause actual results to differ materially from the forward-looking statements:</w:t>
      </w:r>
    </w:p>
    <w:p>
      <w:pPr>
        <w:spacing w:after="0" w:line="87" w:lineRule="exact"/>
        <w:rPr>
          <w:sz w:val="20"/>
          <w:szCs w:val="20"/>
          <w:color w:val="auto"/>
        </w:rPr>
      </w:pPr>
    </w:p>
    <w:p>
      <w:pPr>
        <w:ind w:left="900" w:hanging="40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suppliers to consistently supply us with opportunistic products at attractive pricing;</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inability to successfully identify trends and maintain a consistent level of opportunistic products;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maintain or increase comparable store sales;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affecting the market prices of the products we sell;</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open, relocate or remodel stores on schedule;</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newly opened stores;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economic conditions;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retail food industry;</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inability to retain the loyalty of our customers;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costs and implementation difficulties associated with marketing, advertising and promotions;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maintain our reputation and the value of our brand, including protecting our intellectual property;</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significant disruption to our distribution network, the operations of our distributions centers and our timely receipt of inventory;</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movement of consumer trends toward private labels and away from name-brand products;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inability to maintain sufficient levels of cash flow from our operations;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03" w:lineRule="exact"/>
        <w:rPr>
          <w:rFonts w:ascii="Arial" w:cs="Arial" w:eastAsia="Arial" w:hAnsi="Arial"/>
          <w:sz w:val="18"/>
          <w:szCs w:val="18"/>
          <w:color w:val="auto"/>
        </w:rPr>
      </w:pPr>
    </w:p>
    <w:p>
      <w:pPr>
        <w:ind w:left="900" w:right="180" w:hanging="392"/>
        <w:spacing w:after="0" w:line="293"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maintain the security of information we hold relating to personal information or payment card data of our customers, employees and suppliers;</w:t>
      </w:r>
    </w:p>
    <w:p>
      <w:pPr>
        <w:spacing w:after="0" w:line="34"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participate effectively or at all in the growing online retail marketplace;</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material disruption to our information technology systems;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products we and our independent operators (“IOs”) sell;</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laws and regulations generally applicable to retailers;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from customers, suppliers, employees, governments or competitors;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costs and negative effects associated with our insurance program;</w:t>
      </w:r>
    </w:p>
    <w:p>
      <w:pPr>
        <w:spacing w:after="0" w:line="90"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attract, train and retain highly qualified employees;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labor relations;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our key personnel or inability to hire additional qualified personnel;</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accounting standards and subjective assumptions, estimates and judgments by management related to complex accounting matters;</w:t>
      </w:r>
    </w:p>
    <w:p>
      <w:pPr>
        <w:spacing w:after="0" w:line="126" w:lineRule="exact"/>
        <w:rPr>
          <w:rFonts w:ascii="Arial" w:cs="Arial" w:eastAsia="Arial" w:hAnsi="Arial"/>
          <w:sz w:val="16"/>
          <w:szCs w:val="16"/>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goodwill and other intangible assets;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decline in our operating profit and taxable income;</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matters;</w:t>
      </w:r>
    </w:p>
    <w:p>
      <w:pPr>
        <w:spacing w:after="0" w:line="103" w:lineRule="exact"/>
        <w:rPr>
          <w:rFonts w:ascii="Arial" w:cs="Arial" w:eastAsia="Arial" w:hAnsi="Arial"/>
          <w:sz w:val="18"/>
          <w:szCs w:val="18"/>
          <w:color w:val="auto"/>
        </w:rPr>
      </w:pPr>
    </w:p>
    <w:p>
      <w:pPr>
        <w:ind w:left="900" w:right="80" w:hanging="392"/>
        <w:spacing w:after="0" w:line="29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unusual weather conditions (whether or not caused by climate change), pandemic outbreaks, terrorist acts, global political events and other serious catastrophic events;</w:t>
      </w:r>
    </w:p>
    <w:p>
      <w:pPr>
        <w:spacing w:after="0" w:line="34"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or natural or man-made disasters in geographies where our stores are located;</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management’s limited experience managing a public company;</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IOs being consolidated into our financial statements;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IOs to successfully manage their business;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IOs to repay notes outstanding to us;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attract and retain qualified IOs;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our IOs to avoid excess inventory shrink;</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loss or changeover of an IO;</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against our IOs;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challenges to the independent contractor business model;</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positive relationships with our IOs;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actions our IOs could take that could harm our business;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influence of certain significant investors over us;</w:t>
      </w:r>
    </w:p>
    <w:p>
      <w:pPr>
        <w:spacing w:after="0" w:line="103" w:lineRule="exact"/>
        <w:rPr>
          <w:rFonts w:ascii="Arial" w:cs="Arial" w:eastAsia="Arial" w:hAnsi="Arial"/>
          <w:sz w:val="18"/>
          <w:szCs w:val="18"/>
          <w:color w:val="auto"/>
        </w:rPr>
      </w:pPr>
    </w:p>
    <w:p>
      <w:pPr>
        <w:ind w:left="900" w:hanging="39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cash flow to service our substantial debt obligations; and</w:t>
      </w:r>
    </w:p>
    <w:p>
      <w:pPr>
        <w:spacing w:after="0" w:line="103" w:lineRule="exact"/>
        <w:rPr>
          <w:rFonts w:ascii="Arial" w:cs="Arial" w:eastAsia="Arial" w:hAnsi="Arial"/>
          <w:sz w:val="18"/>
          <w:szCs w:val="18"/>
          <w:color w:val="auto"/>
        </w:rPr>
      </w:pPr>
    </w:p>
    <w:p>
      <w:pPr>
        <w:ind w:left="900" w:hanging="392"/>
        <w:spacing w:after="0" w:line="29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discussed under “Risk Factors.” in our prospectus filed with the Securities and Exchange Commission (the “SEC”) on June 20, 2019.</w:t>
      </w:r>
    </w:p>
    <w:p>
      <w:pPr>
        <w:spacing w:after="0" w:line="156"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Other sections of this Form 10-Q may include additional factors that could adversely impact our business and financial performance.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For a more detailed discussion of the risks, uncertainties and other factors that could cause actual results to differ, please refer to the</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125" w:right="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“Risk Factors” we previously disclosed in our prospectus filed with the SEC on June 20, 2019, and in this Form 10-Q, as such risk factors may be updated from time to time in our periodic filings with the SEC. This prospectus and our periodic filings are accessible on the SEC’s website at www.sec.gov.</w:t>
      </w:r>
    </w:p>
    <w:p>
      <w:pPr>
        <w:spacing w:after="0" w:line="83" w:lineRule="exact"/>
        <w:rPr>
          <w:sz w:val="20"/>
          <w:szCs w:val="20"/>
          <w:color w:val="auto"/>
        </w:rPr>
      </w:pPr>
    </w:p>
    <w:p>
      <w:pPr>
        <w:ind w:right="60" w:firstLine="513"/>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occur. Except as required by law, we undertake no obligation to update publicly any forward-looking statements for any reason after the date of this Form 10-Q to conform these statements to actual results or to changes in our expectations.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89"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use our, website www.groceryoutlet.com,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The contents of our website are not, however, a part of this Form 10-Q.</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29,</w:t>
            </w:r>
          </w:p>
        </w:tc>
      </w:tr>
      <w:tr>
        <w:trPr>
          <w:trHeight w:val="192"/>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21,063</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w w:val="92"/>
              </w:rPr>
              <w:t>Independent operator receivables and current portion of independent operator notes, net of allowance $1,300</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and $1,141</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5,056</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accounts receivable, net of allowance $16 and $24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Merchandise inventories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202,715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198,304</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rent —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17,212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13,368</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240,372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Independent operator notes, net of allowance $9,356 and $7,926</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15,671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13,646</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322,472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304,032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676,191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68,824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747,943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747,943</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r>
      <w:tr>
        <w:trPr>
          <w:trHeight w:val="297"/>
        </w:trPr>
        <w:tc>
          <w:tcPr>
            <w:tcW w:w="82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2,081,598</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1,376,862</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102,482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98,123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25,973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31,194</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10,795</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7,349</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lease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Income and other taxes payable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3,463</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176,270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150,924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462,119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850,019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12,348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15,135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714,173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60,833</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1,364,910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1,076,911</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Commitments and contingencies (see Note 9)</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Capital stock:</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 par value $0.001, voting common stock, 500,000,000 and 107,536,215 shares authorized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as of June 29, 2019 and December 29, 2018, respectively; 88,311,764 and 67,435,288 shares issued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as of June 29, 2019 and December 29, 2018,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29"/>
        </w:trPr>
        <w:tc>
          <w:tcPr>
            <w:tcW w:w="8240" w:type="dxa"/>
            <w:vAlign w:val="bottom"/>
          </w:tcPr>
          <w:p>
            <w:pPr>
              <w:ind w:left="280"/>
              <w:spacing w:after="0"/>
              <w:rPr>
                <w:sz w:val="20"/>
                <w:szCs w:val="20"/>
                <w:color w:val="auto"/>
              </w:rPr>
            </w:pPr>
            <w:r>
              <w:rPr>
                <w:rFonts w:ascii="Arial" w:cs="Arial" w:eastAsia="Arial" w:hAnsi="Arial"/>
                <w:sz w:val="18"/>
                <w:szCs w:val="18"/>
                <w:color w:val="auto"/>
                <w:w w:val="95"/>
              </w:rPr>
              <w:t>Common stock — par value $0.001, nonvoting common stock, 0 and 17,463,785 shares authorized as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240" w:type="dxa"/>
            <w:vAlign w:val="bottom"/>
          </w:tcPr>
          <w:p>
            <w:pPr>
              <w:ind w:left="280"/>
              <w:spacing w:after="0"/>
              <w:rPr>
                <w:sz w:val="20"/>
                <w:szCs w:val="20"/>
                <w:color w:val="auto"/>
              </w:rPr>
            </w:pPr>
            <w:r>
              <w:rPr>
                <w:rFonts w:ascii="Arial" w:cs="Arial" w:eastAsia="Arial" w:hAnsi="Arial"/>
                <w:sz w:val="18"/>
                <w:szCs w:val="18"/>
                <w:color w:val="auto"/>
                <w:w w:val="93"/>
              </w:rPr>
              <w:t>June 29, 2019 and December 29, 2018, respectively; 0 and 1,038,413 shares issued and outstanding as of</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June 29, 2019 and December 29, 2018, respectively</w:t>
            </w: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Series A Preferred stock — par value $0.001, preferred stock, 50,000,000 and 1 share authorized as of June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29, 2019 and December 29, 2018, respectively; 0 and 1 share issued and outstanding as of June 29, 2019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December 29, 2018,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Additional capital</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711,200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287,457</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12,426</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716,688</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299,951</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2,081,598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1,376,862</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7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GROCERY OUTLET HOLDING CORP.</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46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645,289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575,058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1,251,560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1,125,616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446,569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399,943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865,823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781,932</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198,720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175,115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343,684</w:t>
            </w:r>
          </w:p>
        </w:tc>
      </w:tr>
      <w:tr>
        <w:trPr>
          <w:trHeight w:val="32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157,641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139,743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310,495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276,479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22,750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192,985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151,107</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358,346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299,155</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24,008</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44,529</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26,886</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Debt extinguishment and modification costs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10,034</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17,643</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4,832</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7,286</w:t>
            </w:r>
          </w:p>
        </w:tc>
        <w:tc>
          <w:tcPr>
            <w:tcW w:w="2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12,811</w:t>
            </w:r>
          </w:p>
        </w:tc>
      </w:tr>
      <w:tr>
        <w:trPr>
          <w:trHeight w:val="311"/>
        </w:trPr>
        <w:tc>
          <w:tcPr>
            <w:tcW w:w="5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Basic earnings (net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(net loss) per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32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70,475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68,475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69,494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68,471</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70,475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68,512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69,494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68,499</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 December 29, 2018</w:t>
      </w:r>
    </w:p>
    <w:p>
      <w:pPr>
        <w:spacing w:after="0" w:line="42" w:lineRule="exact"/>
        <w:rPr>
          <w:sz w:val="20"/>
          <w:szCs w:val="20"/>
          <w:color w:val="auto"/>
        </w:rPr>
      </w:pPr>
    </w:p>
    <w:p>
      <w:pPr>
        <w:ind w:left="180"/>
        <w:spacing w:after="0" w:line="238" w:lineRule="auto"/>
        <w:rPr>
          <w:sz w:val="20"/>
          <w:szCs w:val="20"/>
          <w:color w:val="auto"/>
        </w:rPr>
      </w:pPr>
      <w:r>
        <w:rPr>
          <w:rFonts w:ascii="Arial" w:cs="Arial" w:eastAsia="Arial" w:hAnsi="Arial"/>
          <w:sz w:val="14"/>
          <w:szCs w:val="14"/>
          <w:color w:val="auto"/>
        </w:rPr>
        <w:t>Cumulative effect of accounting change related to adoption of ASU 2016-02</w:t>
      </w:r>
    </w:p>
    <w:p>
      <w:pPr>
        <w:spacing w:after="0" w:line="21" w:lineRule="exact"/>
        <w:rPr>
          <w:sz w:val="20"/>
          <w:szCs w:val="20"/>
          <w:color w:val="auto"/>
        </w:rPr>
      </w:pPr>
    </w:p>
    <w:p>
      <w:pPr>
        <w:ind w:left="180" w:right="100"/>
        <w:spacing w:after="0" w:line="253" w:lineRule="auto"/>
        <w:rPr>
          <w:sz w:val="20"/>
          <w:szCs w:val="20"/>
          <w:color w:val="auto"/>
        </w:rPr>
      </w:pPr>
      <w:r>
        <w:rPr>
          <w:rFonts w:ascii="Arial" w:cs="Arial" w:eastAsia="Arial" w:hAnsi="Arial"/>
          <w:sz w:val="14"/>
          <w:szCs w:val="14"/>
          <w:color w:val="auto"/>
        </w:rPr>
        <w:t>Issuance of shares under stock incentive plans</w:t>
      </w:r>
    </w:p>
    <w:p>
      <w:pPr>
        <w:spacing w:after="0" w:line="79" w:lineRule="exact"/>
        <w:rPr>
          <w:sz w:val="20"/>
          <w:szCs w:val="20"/>
          <w:color w:val="auto"/>
        </w:rPr>
      </w:pPr>
    </w:p>
    <w:p>
      <w:pPr>
        <w:ind w:left="180" w:right="320"/>
        <w:spacing w:after="0" w:line="411" w:lineRule="auto"/>
        <w:rPr>
          <w:sz w:val="20"/>
          <w:szCs w:val="20"/>
          <w:color w:val="auto"/>
        </w:rPr>
      </w:pPr>
      <w:r>
        <w:rPr>
          <w:rFonts w:ascii="Arial" w:cs="Arial" w:eastAsia="Arial" w:hAnsi="Arial"/>
          <w:sz w:val="12"/>
          <w:szCs w:val="12"/>
          <w:color w:val="auto"/>
        </w:rPr>
        <w:t>Stock based compensation Dividend paid</w:t>
      </w:r>
    </w:p>
    <w:p>
      <w:pPr>
        <w:ind w:left="180" w:right="40"/>
        <w:spacing w:after="0" w:line="253" w:lineRule="auto"/>
        <w:rPr>
          <w:sz w:val="20"/>
          <w:szCs w:val="20"/>
          <w:color w:val="auto"/>
        </w:rPr>
      </w:pPr>
      <w:r>
        <w:rPr>
          <w:rFonts w:ascii="Arial" w:cs="Arial" w:eastAsia="Arial" w:hAnsi="Arial"/>
          <w:sz w:val="14"/>
          <w:szCs w:val="14"/>
          <w:color w:val="auto"/>
        </w:rPr>
        <w:t>Net income and comprehensive income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 March 30, 2019</w:t>
      </w:r>
    </w:p>
    <w:p>
      <w:pPr>
        <w:spacing w:after="0" w:line="42" w:lineRule="exact"/>
        <w:rPr>
          <w:sz w:val="20"/>
          <w:szCs w:val="20"/>
          <w:color w:val="auto"/>
        </w:rPr>
      </w:pPr>
    </w:p>
    <w:p>
      <w:pPr>
        <w:ind w:left="180" w:right="100"/>
        <w:spacing w:after="0" w:line="253" w:lineRule="auto"/>
        <w:rPr>
          <w:sz w:val="20"/>
          <w:szCs w:val="20"/>
          <w:color w:val="auto"/>
        </w:rPr>
      </w:pPr>
      <w:r>
        <w:rPr>
          <w:rFonts w:ascii="Arial" w:cs="Arial" w:eastAsia="Arial" w:hAnsi="Arial"/>
          <w:sz w:val="14"/>
          <w:szCs w:val="14"/>
          <w:color w:val="auto"/>
        </w:rPr>
        <w:t>Issuance of shares under stock incentive plans</w:t>
      </w:r>
    </w:p>
    <w:p>
      <w:pPr>
        <w:spacing w:after="0" w:line="12" w:lineRule="exact"/>
        <w:rPr>
          <w:sz w:val="20"/>
          <w:szCs w:val="20"/>
          <w:color w:val="auto"/>
        </w:rPr>
      </w:pPr>
    </w:p>
    <w:p>
      <w:pPr>
        <w:ind w:left="180"/>
        <w:spacing w:after="0" w:line="238" w:lineRule="auto"/>
        <w:rPr>
          <w:sz w:val="20"/>
          <w:szCs w:val="20"/>
          <w:color w:val="auto"/>
        </w:rPr>
      </w:pPr>
      <w:r>
        <w:rPr>
          <w:rFonts w:ascii="Arial" w:cs="Arial" w:eastAsia="Arial" w:hAnsi="Arial"/>
          <w:sz w:val="14"/>
          <w:szCs w:val="14"/>
          <w:color w:val="auto"/>
        </w:rPr>
        <w:t>Issuance of common stock upon initial public offering, net of issuance costs</w:t>
      </w:r>
    </w:p>
    <w:p>
      <w:pPr>
        <w:spacing w:after="0" w:line="21" w:lineRule="exact"/>
        <w:rPr>
          <w:sz w:val="20"/>
          <w:szCs w:val="20"/>
          <w:color w:val="auto"/>
        </w:rPr>
      </w:pPr>
    </w:p>
    <w:p>
      <w:pPr>
        <w:ind w:left="180" w:right="220"/>
        <w:spacing w:after="0" w:line="253" w:lineRule="auto"/>
        <w:rPr>
          <w:sz w:val="20"/>
          <w:szCs w:val="20"/>
          <w:color w:val="auto"/>
        </w:rPr>
      </w:pPr>
      <w:r>
        <w:rPr>
          <w:rFonts w:ascii="Arial" w:cs="Arial" w:eastAsia="Arial" w:hAnsi="Arial"/>
          <w:sz w:val="14"/>
          <w:szCs w:val="14"/>
          <w:color w:val="auto"/>
        </w:rPr>
        <w:t>Conversion of non-voting to voting common stock</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Redemption of preferred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 paid</w:t>
      </w:r>
    </w:p>
    <w:p>
      <w:pPr>
        <w:spacing w:after="0" w:line="42" w:lineRule="exact"/>
        <w:rPr>
          <w:sz w:val="20"/>
          <w:szCs w:val="20"/>
          <w:color w:val="auto"/>
        </w:rPr>
      </w:pPr>
    </w:p>
    <w:p>
      <w:pPr>
        <w:ind w:left="180" w:right="40"/>
        <w:spacing w:after="0" w:line="253" w:lineRule="auto"/>
        <w:rPr>
          <w:sz w:val="20"/>
          <w:szCs w:val="20"/>
          <w:color w:val="auto"/>
        </w:rPr>
      </w:pPr>
      <w:r>
        <w:rPr>
          <w:rFonts w:ascii="Arial" w:cs="Arial" w:eastAsia="Arial" w:hAnsi="Arial"/>
          <w:sz w:val="14"/>
          <w:szCs w:val="14"/>
          <w:color w:val="auto"/>
        </w:rPr>
        <w:t>Net income and comprehensive income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 June 29,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GROCERY OUTLET HOLDING CORP.</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Voting Common</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Nonvoting Common</w:t>
            </w:r>
          </w:p>
        </w:tc>
        <w:tc>
          <w:tcPr>
            <w:tcW w:w="120" w:type="dxa"/>
            <w:vAlign w:val="bottom"/>
          </w:tcPr>
          <w:p>
            <w:pPr>
              <w:spacing w:after="0"/>
              <w:rPr>
                <w:sz w:val="16"/>
                <w:szCs w:val="16"/>
                <w:color w:val="auto"/>
              </w:rPr>
            </w:pPr>
          </w:p>
        </w:tc>
        <w:tc>
          <w:tcPr>
            <w:tcW w:w="166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6"/>
                <w:szCs w:val="16"/>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71"/>
        </w:trPr>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6"/>
                <w:szCs w:val="6"/>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78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67,435,288</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1,038,413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287,457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12,426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299,951</w:t>
            </w: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42,438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3,774</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67,477,726</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1,038,413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287,668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16,115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303,851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19,765,625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400,468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400,488</w:t>
            </w:r>
          </w:p>
        </w:tc>
        <w:tc>
          <w:tcPr>
            <w:tcW w:w="0" w:type="dxa"/>
            <w:vAlign w:val="bottom"/>
          </w:tcPr>
          <w:p>
            <w:pPr>
              <w:spacing w:after="0"/>
              <w:rPr>
                <w:sz w:val="1"/>
                <w:szCs w:val="1"/>
                <w:color w:val="auto"/>
              </w:rPr>
            </w:pPr>
          </w:p>
        </w:tc>
      </w:tr>
      <w:tr>
        <w:trPr>
          <w:trHeight w:val="419"/>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1,068,413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(1,068,413)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22,750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0" w:type="dxa"/>
            <w:vAlign w:val="bottom"/>
          </w:tcPr>
          <w:p>
            <w:pPr>
              <w:spacing w:after="0"/>
              <w:rPr>
                <w:sz w:val="1"/>
                <w:szCs w:val="1"/>
                <w:color w:val="auto"/>
              </w:rPr>
            </w:pPr>
          </w:p>
        </w:tc>
      </w:tr>
      <w:tr>
        <w:trPr>
          <w:trHeight w:val="23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88,311,764</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711,200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716,688</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-3138170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-2649220</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-2254885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-1860550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-1465580</wp:posOffset>
            </wp:positionV>
            <wp:extent cx="724662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-925830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-582295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60"/>
            <w:col w:w="9340"/>
          </w:cols>
          <w:pgMar w:left="240" w:top="125" w:right="239" w:bottom="1440" w:gutter="0" w:footer="0" w:header="0"/>
        </w:sect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Voting Common</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Nonvoting Common</w:t>
            </w:r>
          </w:p>
        </w:tc>
        <w:tc>
          <w:tcPr>
            <w:tcW w:w="120" w:type="dxa"/>
            <w:vAlign w:val="bottom"/>
          </w:tcPr>
          <w:p>
            <w:pPr>
              <w:spacing w:after="0"/>
              <w:rPr>
                <w:sz w:val="16"/>
                <w:szCs w:val="16"/>
                <w:color w:val="auto"/>
              </w:rPr>
            </w:pPr>
          </w:p>
        </w:tc>
        <w:tc>
          <w:tcPr>
            <w:tcW w:w="16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6"/>
                <w:szCs w:val="16"/>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Balance — December 30, 2017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67,381,104</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1,038,413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403,289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23,776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427,133</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of accounting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 related to adoption of</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ASU 2014-09</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Issuance of shares under stock</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incentive plans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54,184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 paid</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comprehensive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w:t>
            </w: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5,525</w:t>
            </w:r>
          </w:p>
        </w:tc>
        <w:tc>
          <w:tcPr>
            <w:tcW w:w="0" w:type="dxa"/>
            <w:vAlign w:val="bottom"/>
          </w:tcPr>
          <w:p>
            <w:pPr>
              <w:spacing w:after="0"/>
              <w:rPr>
                <w:sz w:val="1"/>
                <w:szCs w:val="1"/>
                <w:color w:val="auto"/>
              </w:rPr>
            </w:pPr>
          </w:p>
        </w:tc>
      </w:tr>
      <w:tr>
        <w:trPr>
          <w:trHeight w:val="283"/>
        </w:trPr>
        <w:tc>
          <w:tcPr>
            <w:tcW w:w="2180" w:type="dxa"/>
            <w:vAlign w:val="bottom"/>
          </w:tcPr>
          <w:p>
            <w:pPr>
              <w:ind w:left="40"/>
              <w:spacing w:after="0"/>
              <w:rPr>
                <w:sz w:val="20"/>
                <w:szCs w:val="20"/>
                <w:color w:val="auto"/>
              </w:rPr>
            </w:pPr>
            <w:r>
              <w:rPr>
                <w:rFonts w:ascii="Arial" w:cs="Arial" w:eastAsia="Arial" w:hAnsi="Arial"/>
                <w:sz w:val="14"/>
                <w:szCs w:val="14"/>
                <w:color w:val="auto"/>
              </w:rPr>
              <w:t>Balance — March 31, 2018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67,435,288</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1,038,413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403,423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29,355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432,846</w:t>
            </w:r>
          </w:p>
        </w:tc>
        <w:tc>
          <w:tcPr>
            <w:tcW w:w="0" w:type="dxa"/>
            <w:vAlign w:val="bottom"/>
          </w:tcPr>
          <w:p>
            <w:pPr>
              <w:spacing w:after="0"/>
              <w:rPr>
                <w:sz w:val="1"/>
                <w:szCs w:val="1"/>
                <w:color w:val="auto"/>
              </w:rPr>
            </w:pPr>
          </w:p>
        </w:tc>
      </w:tr>
      <w:tr>
        <w:trPr>
          <w:trHeight w:val="110"/>
        </w:trPr>
        <w:tc>
          <w:tcPr>
            <w:tcW w:w="218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Issuance of shares under stock</w:t>
            </w:r>
          </w:p>
        </w:tc>
        <w:tc>
          <w:tcPr>
            <w:tcW w:w="10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incentive plans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paid</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Net income and comprehensive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7,286</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June 30, 2018</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67,437,388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1,038,413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403,581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440,276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GROCERY OUTLET HOLDING CORP.</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40" w:type="dxa"/>
            <w:vAlign w:val="bottom"/>
            <w:tcBorders>
              <w:bottom w:val="single" w:sz="8" w:color="auto"/>
            </w:tcBorders>
          </w:tcPr>
          <w:p>
            <w:pPr>
              <w:spacing w:after="0"/>
              <w:rPr>
                <w:sz w:val="16"/>
                <w:szCs w:val="16"/>
                <w:color w:val="auto"/>
              </w:rPr>
            </w:pPr>
          </w:p>
        </w:tc>
      </w:tr>
      <w:tr>
        <w:trPr>
          <w:trHeight w:val="152"/>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3"/>
                <w:szCs w:val="13"/>
                <w:color w:val="auto"/>
              </w:rPr>
            </w:pPr>
          </w:p>
        </w:tc>
        <w:tc>
          <w:tcPr>
            <w:tcW w:w="1040" w:type="dxa"/>
            <w:vAlign w:val="bottom"/>
          </w:tcPr>
          <w:p>
            <w:pPr>
              <w:jc w:val="right"/>
              <w:ind w:right="411"/>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(6,858)</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12,811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20,936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18,322</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bond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Debt extinguishment and modification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5,162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22,961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reserve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Deferred lease liabilities</w:t>
            </w:r>
          </w:p>
        </w:tc>
        <w:tc>
          <w:tcPr>
            <w:tcW w:w="2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9,935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4,777</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Independent operator and other accounts receivable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3,210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1,380</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and other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3,620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1,895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39,718</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55,217</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advances to independent operators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Repayments of cash advances from independent operators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deposits and licenses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37"/>
        </w:trPr>
        <w:tc>
          <w:tcPr>
            <w:tcW w:w="82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(44,523)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(25,501)</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initial public offering, net of underwriting discounts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407,666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issuance of shares under stock incentive plans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Principal payments on 2014 loans</w:t>
            </w:r>
          </w:p>
        </w:tc>
        <w:tc>
          <w:tcPr>
            <w:tcW w:w="2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2018 loans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(399,813)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 on other financing</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Debt issuance costs paid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26,960</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21,063</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5,801</w:t>
            </w: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equivalents—End of the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18,677</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32,761</w:t>
            </w:r>
          </w:p>
        </w:tc>
      </w:tr>
      <w:tr>
        <w:trPr>
          <w:trHeight w:val="230"/>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accrued at end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offering costs accrued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2,044</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8240" w:type="dxa"/>
            <w:vAlign w:val="bottom"/>
          </w:tcPr>
          <w:p>
            <w:pPr>
              <w:ind w:left="36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GROCERY OUTLET HOLDING CORP.</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85" w:lineRule="exact"/>
        <w:rPr>
          <w:sz w:val="20"/>
          <w:szCs w:val="20"/>
          <w:color w:val="auto"/>
        </w:rPr>
      </w:pPr>
    </w:p>
    <w:p>
      <w:pPr>
        <w:ind w:right="140" w:firstLine="500"/>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June 29, 2019, Grocery Outlet had 330 stores in California, Washington, Oregon, Pennsylvania, Idaho and Nevada.</w:t>
      </w:r>
    </w:p>
    <w:p>
      <w:pPr>
        <w:spacing w:after="0" w:line="180" w:lineRule="exact"/>
        <w:rPr>
          <w:sz w:val="20"/>
          <w:szCs w:val="20"/>
          <w:color w:val="auto"/>
        </w:rPr>
      </w:pPr>
    </w:p>
    <w:p>
      <w:pPr>
        <w:ind w:right="260" w:firstLine="500"/>
        <w:spacing w:after="0" w:line="277"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 In June 2019, we completed an initial public offering (“IPO”) of 19,765,625 shares of our common stock at a public</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price of $22.00 per share for net proceeds of $407.7 million, after deducting underwriting discounts and commissions of $27.1 million. We also incurred estimated offering costs payable by us of $7.2 million of which a total of $5.1 million had been paid as of June 29, 2019. We expect to pay out the remainder of these estimated offering costs in the third fiscal quarter ending September 28, 2019. The shares of common stock sold in the IPO and the net proceeds from the IPO included the full exercise of the underwriters’ option to purchase additional shares.</w:t>
      </w:r>
    </w:p>
    <w:p>
      <w:pPr>
        <w:spacing w:after="0" w:line="132"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Our Amended and Restated Certificate of Incorporation (the “Charter”) became effective in connection with the completion of the IPO on June 24, 2019. The Charter, among other things, provided that all of our outstanding shares of nonvoting common stock were automatically converted into shares of voting common stock on a one-for-one basis and that our authorized capital stock consisted of 500,000,000 shares of common stock, and 50,000,000 shares of preferred stock, par value $0.001 per share. Our bylaws were also amended and restated as of June 24, 2019. Additionally, upon the closing of the IPO, we redeemed all of our outstanding preferred stock for an aggregate of $1.00.</w:t>
      </w:r>
    </w:p>
    <w:p>
      <w:pPr>
        <w:spacing w:after="0" w:line="148"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On June 24, 2019, we used the net proceeds from the IPO to repay $150.0 million in principal on the outstanding term loans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first lien term loan totaling $248.0 million plus accrued interest of $3.8 million.</w:t>
      </w:r>
    </w:p>
    <w:p>
      <w:pPr>
        <w:spacing w:after="0" w:line="167" w:lineRule="exact"/>
        <w:rPr>
          <w:sz w:val="20"/>
          <w:szCs w:val="20"/>
          <w:color w:val="auto"/>
        </w:rPr>
      </w:pPr>
    </w:p>
    <w:p>
      <w:pPr>
        <w:ind w:right="200" w:firstLine="513"/>
        <w:spacing w:after="0" w:line="292"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unaudited condensed consolidated financial statements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generally accepted in the United States of America (“GAAP”) and the requirements of the U.S. Securities and Exchange Commission (the “SEC”) for interim reporting. Accordingly, certain information and note disclosures included in our annual financial statements prepared in accordance with GAAP have been condensed or omitted. The condensed consolidated balance sheet as of December 29, 2018 has been derived from our audited consolidated financial statements, which are included in the prospectus dated June 19, 2019, as filed with the SEC pursuant to Rule 424(b) under the Securities Act of 1933, as amended, on June 20, 2019 (File No. 333-231428) (the “Prospectus”). The accompanying condensed consolidated financial statements should be read in conjunction with our consolidated financial statements and notes included in the Prospectus.</w:t>
      </w:r>
    </w:p>
    <w:p>
      <w:pPr>
        <w:spacing w:after="0" w:line="125" w:lineRule="exact"/>
        <w:rPr>
          <w:sz w:val="20"/>
          <w:szCs w:val="20"/>
          <w:color w:val="auto"/>
        </w:rPr>
      </w:pPr>
    </w:p>
    <w:p>
      <w:pPr>
        <w:ind w:right="100" w:firstLine="513"/>
        <w:spacing w:after="0" w:line="302" w:lineRule="auto"/>
        <w:rPr>
          <w:sz w:val="20"/>
          <w:szCs w:val="20"/>
          <w:color w:val="auto"/>
        </w:rPr>
      </w:pPr>
      <w:r>
        <w:rPr>
          <w:rFonts w:ascii="Arial" w:cs="Arial" w:eastAsia="Arial" w:hAnsi="Arial"/>
          <w:sz w:val="16"/>
          <w:szCs w:val="16"/>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interim periods. The interim results of operations and cash flows are not necessarily indicative of those results and cash flows expected for any future annual or interim period.</w:t>
      </w:r>
    </w:p>
    <w:p>
      <w:pPr>
        <w:spacing w:after="0" w:line="150" w:lineRule="exact"/>
        <w:rPr>
          <w:sz w:val="20"/>
          <w:szCs w:val="20"/>
          <w:color w:val="auto"/>
        </w:rPr>
      </w:pPr>
    </w:p>
    <w:p>
      <w:pPr>
        <w:ind w:right="320" w:firstLine="513"/>
        <w:spacing w:after="0" w:line="282" w:lineRule="auto"/>
        <w:rPr>
          <w:sz w:val="20"/>
          <w:szCs w:val="20"/>
          <w:color w:val="auto"/>
        </w:rPr>
      </w:pPr>
      <w:r>
        <w:rPr>
          <w:rFonts w:ascii="Arial" w:cs="Arial" w:eastAsia="Arial" w:hAnsi="Arial"/>
          <w:sz w:val="18"/>
          <w:szCs w:val="18"/>
          <w:b w:val="1"/>
          <w:bCs w:val="1"/>
          <w:color w:val="auto"/>
        </w:rPr>
        <w:t xml:space="preserve">Forward Stock Split </w:t>
      </w:r>
      <w:r>
        <w:rPr>
          <w:rFonts w:ascii="Arial" w:cs="Arial" w:eastAsia="Arial" w:hAnsi="Arial"/>
          <w:sz w:val="18"/>
          <w:szCs w:val="18"/>
          <w:color w:val="auto"/>
        </w:rPr>
        <w:t>— On June 6, 2019, we effected a 1.403 for 1 forward stock split. All share amounts have been adjusted retroactively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this forward stock split.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513"/>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and changes in these estimates are recorded when known.</w:t>
      </w:r>
    </w:p>
    <w:p>
      <w:pPr>
        <w:spacing w:after="0" w:line="180" w:lineRule="exact"/>
        <w:rPr>
          <w:sz w:val="20"/>
          <w:szCs w:val="20"/>
          <w:color w:val="auto"/>
        </w:rPr>
      </w:pPr>
    </w:p>
    <w:p>
      <w:pPr>
        <w:ind w:right="60" w:firstLine="513"/>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first-in, first-out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180" w:lineRule="exact"/>
        <w:rPr>
          <w:sz w:val="20"/>
          <w:szCs w:val="20"/>
          <w:color w:val="auto"/>
        </w:rPr>
      </w:pPr>
    </w:p>
    <w:p>
      <w:pPr>
        <w:ind w:firstLine="513"/>
        <w:spacing w:after="0" w:line="277"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We adopted Accounting Standards Update No. 2016-02 (“ASU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and all subsequent amendments,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30, 2018 using the modified retrospective approach under which we recorded the cumulative effect of transition as of the effective date and did not restate comparative periods. Under this transition method we determine if an arrangement is a lease at inception. Operating leases are included in right-of-use (“ROU”) assets, current lease liability, and lease liability on the condensed consolidated balance sheets. Finance leases are included in other assets, current lease liability, and lease liability on our condensed consolidated balance sheets.</w:t>
      </w:r>
    </w:p>
    <w:p>
      <w:pPr>
        <w:spacing w:after="0" w:line="132" w:lineRule="exact"/>
        <w:rPr>
          <w:sz w:val="20"/>
          <w:szCs w:val="20"/>
          <w:color w:val="auto"/>
        </w:rPr>
      </w:pPr>
    </w:p>
    <w:p>
      <w:pPr>
        <w:ind w:right="60" w:firstLine="513"/>
        <w:spacing w:after="0" w:line="254"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over the same term. ROU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The ROU asset also excludes lease incentives. Our lease terms may include options to extend or terminate the lease when it is reasonably certain that we will exercise that option. Lease expense for operating lease payments is recognized on a straight-line basis over the lease term. Amortization of the ROU asset, interest expense on the lease liability and operating and financing cash flows for finance leases is immaterial.</w:t>
      </w:r>
    </w:p>
    <w:p>
      <w:pPr>
        <w:spacing w:after="0" w:line="152" w:lineRule="exact"/>
        <w:rPr>
          <w:sz w:val="20"/>
          <w:szCs w:val="20"/>
          <w:color w:val="auto"/>
        </w:rPr>
      </w:pPr>
    </w:p>
    <w:p>
      <w:pPr>
        <w:ind w:right="80" w:firstLine="513"/>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 forward basis. We sublease certain real estate to unrelated third parties under non-cancelable leases and the sublease portfolio consists of operating leases for retail stores.</w:t>
      </w:r>
    </w:p>
    <w:p>
      <w:pPr>
        <w:spacing w:after="0" w:line="184" w:lineRule="exact"/>
        <w:rPr>
          <w:sz w:val="20"/>
          <w:szCs w:val="20"/>
          <w:color w:val="auto"/>
        </w:rPr>
      </w:pPr>
    </w:p>
    <w:p>
      <w:pPr>
        <w:ind w:right="500" w:firstLine="513"/>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on the basis of one reportable and operating segment. All of our sales were made to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United States and all property and equipment is located in the United States.</w:t>
      </w:r>
    </w:p>
    <w:p>
      <w:pPr>
        <w:spacing w:after="0" w:line="162" w:lineRule="exact"/>
        <w:rPr>
          <w:sz w:val="20"/>
          <w:szCs w:val="20"/>
          <w:color w:val="auto"/>
        </w:rPr>
      </w:pPr>
    </w:p>
    <w:p>
      <w:pPr>
        <w:ind w:right="100" w:firstLine="513"/>
        <w:spacing w:after="0" w:line="347"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 The fair value of financial instruments is categorized based upon the level of judgment associated with the inputs used</w:t>
      </w:r>
      <w:r>
        <w:rPr>
          <w:rFonts w:ascii="Arial" w:cs="Arial" w:eastAsia="Arial" w:hAnsi="Arial"/>
          <w:sz w:val="16"/>
          <w:szCs w:val="16"/>
          <w:b w:val="1"/>
          <w:bCs w:val="1"/>
          <w:color w:val="auto"/>
        </w:rPr>
        <w:t xml:space="preserve"> </w:t>
      </w:r>
      <w:r>
        <w:rPr>
          <w:rFonts w:ascii="Arial" w:cs="Arial" w:eastAsia="Arial" w:hAnsi="Arial"/>
          <w:sz w:val="16"/>
          <w:szCs w:val="16"/>
          <w:color w:val="auto"/>
        </w:rPr>
        <w:t>to measure their fair values. Fair value is measured using inputs from the three levels of the fair value hierarchy, which are described as follows: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171" w:lineRule="exact"/>
        <w:rPr>
          <w:sz w:val="20"/>
          <w:szCs w:val="20"/>
          <w:color w:val="auto"/>
        </w:rPr>
      </w:pPr>
    </w:p>
    <w:p>
      <w:pPr>
        <w:ind w:left="1380" w:right="580" w:hanging="809"/>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example, cash flow modeling inputs based on management’s assumptions.</w:t>
      </w:r>
    </w:p>
    <w:p>
      <w:pPr>
        <w:spacing w:after="0" w:line="125" w:lineRule="exact"/>
        <w:rPr>
          <w:sz w:val="20"/>
          <w:szCs w:val="20"/>
          <w:color w:val="auto"/>
        </w:rPr>
      </w:pPr>
    </w:p>
    <w:p>
      <w:pPr>
        <w:ind w:right="60" w:firstLine="513"/>
        <w:spacing w:after="0" w:line="277"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fair value of our financial liabilities by level within the fair value hierarchy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29,</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long-term portion (Level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471,777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845,327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current portion (Level 2)</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7,250</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financial liabilities (1)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471,777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852,577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17" w:lineRule="exact"/>
        <w:rPr>
          <w:sz w:val="20"/>
          <w:szCs w:val="20"/>
          <w:color w:val="auto"/>
        </w:rPr>
      </w:pPr>
    </w:p>
    <w:p>
      <w:pPr>
        <w:ind w:left="460" w:right="180" w:hanging="438"/>
        <w:spacing w:after="0" w:line="27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carrying amounts of our bank debt, before reduction of the debt issuance costs, approximate their fair values as the stated rates approximate market rates for loans with similar terms.</w:t>
      </w:r>
    </w:p>
    <w:p>
      <w:pPr>
        <w:spacing w:after="0" w:line="168" w:lineRule="exact"/>
        <w:rPr>
          <w:sz w:val="20"/>
          <w:szCs w:val="20"/>
          <w:color w:val="auto"/>
        </w:rPr>
      </w:pPr>
    </w:p>
    <w:p>
      <w:pPr>
        <w:ind w:right="520" w:firstLine="513"/>
        <w:spacing w:after="0" w:line="277" w:lineRule="auto"/>
        <w:rPr>
          <w:sz w:val="20"/>
          <w:szCs w:val="20"/>
          <w:color w:val="auto"/>
        </w:rPr>
      </w:pPr>
      <w:r>
        <w:rPr>
          <w:rFonts w:ascii="Arial" w:cs="Arial" w:eastAsia="Arial" w:hAnsi="Arial"/>
          <w:sz w:val="18"/>
          <w:szCs w:val="18"/>
          <w:i w:val="1"/>
          <w:iCs w:val="1"/>
          <w:color w:val="auto"/>
        </w:rPr>
        <w:t xml:space="preserve">Cash and cash equivalents, IO receivables, other accounts receivable and accounts payable </w:t>
      </w:r>
      <w:r>
        <w:rPr>
          <w:rFonts w:ascii="Arial" w:cs="Arial" w:eastAsia="Arial" w:hAnsi="Arial"/>
          <w:sz w:val="18"/>
          <w:szCs w:val="18"/>
          <w:color w:val="auto"/>
        </w:rPr>
        <w:t>— The carrying value of such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their fair value due to factors such as the short-term nature or their variable interest rates.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Independent operator notes (net) </w:t>
      </w:r>
      <w:r>
        <w:rPr>
          <w:rFonts w:ascii="Arial" w:cs="Arial" w:eastAsia="Arial" w:hAnsi="Arial"/>
          <w:sz w:val="18"/>
          <w:szCs w:val="18"/>
          <w:color w:val="auto"/>
        </w:rPr>
        <w:t>— The carrying value of such financial instruments approximates their fair value.</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 We recognize revenue from the sale of products at the point of sale, net of any taxes or deposits collected and remitted to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independent operators are not recognized as a reduction in sales as these are provided solely by the independent operator who bears the incidental costs arising from the discount. We do not accept manufacturer coupons.</w:t>
      </w:r>
    </w:p>
    <w:p>
      <w:pPr>
        <w:spacing w:after="0" w:line="132" w:lineRule="exact"/>
        <w:rPr>
          <w:sz w:val="20"/>
          <w:szCs w:val="20"/>
          <w:color w:val="auto"/>
        </w:rPr>
      </w:pPr>
    </w:p>
    <w:p>
      <w:pPr>
        <w:ind w:right="40" w:firstLine="513"/>
        <w:spacing w:after="0" w:line="264"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June 29, 2019 and December 29, 2018.</w:t>
      </w:r>
    </w:p>
    <w:p>
      <w:pPr>
        <w:spacing w:after="0" w:line="1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$1.3 million as of June 29, 2019 and $1.7 million as of December 29, 2018. Breakage amounts were immaterial for the 13 and 26 weeks ended June 29, 2019 and June 30, 2018.</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Disaggregated Revenues </w:t>
      </w:r>
      <w:r>
        <w:rPr>
          <w:rFonts w:ascii="Arial" w:cs="Arial" w:eastAsia="Arial" w:hAnsi="Arial"/>
          <w:sz w:val="18"/>
          <w:szCs w:val="18"/>
          <w:color w:val="auto"/>
        </w:rPr>
        <w:t>— The following table presents sales revenue by type of product for the periods indicated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46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Perishable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196,658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428,429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383,346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Non-perishable (2)</w:t>
            </w:r>
          </w:p>
        </w:tc>
        <w:tc>
          <w:tcPr>
            <w:tcW w:w="30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423,816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378,400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823,131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742,270</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645,289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575,058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1,251,560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1,125,616</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16" w:lineRule="exact"/>
        <w:rPr>
          <w:sz w:val="20"/>
          <w:szCs w:val="20"/>
          <w:color w:val="auto"/>
        </w:rPr>
      </w:pPr>
    </w:p>
    <w:p>
      <w:pPr>
        <w:ind w:left="460" w:hanging="43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32" w:lineRule="exact"/>
        <w:rPr>
          <w:rFonts w:ascii="Arial" w:cs="Arial" w:eastAsia="Arial" w:hAnsi="Arial"/>
          <w:sz w:val="16"/>
          <w:szCs w:val="16"/>
          <w:color w:val="auto"/>
        </w:rPr>
      </w:pPr>
    </w:p>
    <w:p>
      <w:pPr>
        <w:ind w:left="460" w:hanging="43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Non-perishable departments include grocery; general merchandise; health and beauty care; frozen foods; and beer and wine.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513"/>
        <w:spacing w:after="0" w:line="298" w:lineRule="auto"/>
        <w:rPr>
          <w:sz w:val="20"/>
          <w:szCs w:val="20"/>
          <w:color w:val="auto"/>
        </w:rPr>
      </w:pPr>
      <w:r>
        <w:rPr>
          <w:rFonts w:ascii="Arial" w:cs="Arial" w:eastAsia="Arial" w:hAnsi="Arial"/>
          <w:sz w:val="16"/>
          <w:szCs w:val="16"/>
          <w:b w:val="1"/>
          <w:bCs w:val="1"/>
          <w:color w:val="auto"/>
        </w:rPr>
        <w:t xml:space="preserve">Variable Interest Entities </w:t>
      </w:r>
      <w:r>
        <w:rPr>
          <w:rFonts w:ascii="Arial" w:cs="Arial" w:eastAsia="Arial" w:hAnsi="Arial"/>
          <w:sz w:val="16"/>
          <w:szCs w:val="16"/>
          <w:color w:val="auto"/>
        </w:rPr>
        <w:t>— In accordance with the variable interest entities sub-section of ASC Topic 810, Consolidation, we assess at each</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period whether we, or any consolidated entity, are considered the primary beneficiary of a variable interest entity (“VIE”) and therefore required to consolidate it.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118" w:lineRule="exact"/>
        <w:rPr>
          <w:sz w:val="20"/>
          <w:szCs w:val="20"/>
          <w:color w:val="auto"/>
        </w:rPr>
      </w:pPr>
    </w:p>
    <w:p>
      <w:pPr>
        <w:ind w:right="20" w:firstLine="513"/>
        <w:spacing w:after="0" w:line="287" w:lineRule="auto"/>
        <w:rPr>
          <w:sz w:val="20"/>
          <w:szCs w:val="20"/>
          <w:color w:val="auto"/>
        </w:rPr>
      </w:pPr>
      <w:r>
        <w:rPr>
          <w:rFonts w:ascii="Arial" w:cs="Arial" w:eastAsia="Arial" w:hAnsi="Arial"/>
          <w:sz w:val="16"/>
          <w:szCs w:val="16"/>
          <w:color w:val="auto"/>
        </w:rPr>
        <w:t>We had 324, 308 and 292 stores operated by independent operators as of June 29, 2019, December 29, 2018 and June 30, 2018, respectively. We had agreements in place with each independent operator. The independent operator orders its merchandise exclusively from us which is provided to the independent operator on consignment. Under the independent operator agreement, the independent operator may select a majority of merchandise that we consign to the independent operator, which the independent operator chooses from our merchandise order guide according to the independent operator’s knowledge and experience with local customer purchasing trends, preferences, historical sales and similar factors. The independent operator agreement gives the independent operator discretion to adjust our initial prices if the overall effect of all price changes at any time comports with the reputation of our Grocery Outlet retail stores for selling quality, name-brand consumables and fresh products and other merchandise at extreme discounts. Independent operators are required to furnish initial working capital and to acquire certain store and safety assets. The independent operator is required to hire, train and employ a properly trained workforce sufficient in number to enable the independent operator to fulfill its obligations under the independent operator agreement. The independent operator is responsible for expenses required for business operations, including all labor costs, utilities, credit card processing fees, supplies, taxes, fines, levies and other expenses. Either party may terminate the independent operator agreement without cause upon 75 days’ notice.</w:t>
      </w:r>
    </w:p>
    <w:p>
      <w:pPr>
        <w:spacing w:after="0" w:line="132" w:lineRule="exact"/>
        <w:rPr>
          <w:sz w:val="20"/>
          <w:szCs w:val="20"/>
          <w:color w:val="auto"/>
        </w:rPr>
      </w:pPr>
    </w:p>
    <w:p>
      <w:pPr>
        <w:ind w:right="100" w:firstLine="513"/>
        <w:spacing w:after="0" w:line="271" w:lineRule="auto"/>
        <w:rPr>
          <w:sz w:val="20"/>
          <w:szCs w:val="20"/>
          <w:color w:val="auto"/>
        </w:rPr>
      </w:pPr>
      <w:r>
        <w:rPr>
          <w:rFonts w:ascii="Arial" w:cs="Arial" w:eastAsia="Arial" w:hAnsi="Arial"/>
          <w:sz w:val="17"/>
          <w:szCs w:val="17"/>
          <w:color w:val="auto"/>
        </w:rPr>
        <w:t>As consignor of all merchandise to each independent operator, the aggregate net sales proceeds from merchandise sales belongs to us. Sales related to independent operator stores were $629.7 million and $557.1 million for the 13 weeks ended June 29, 2019 and June 30, 2018, respectively, and $1,219.0 million and $1,089.8 million for the 26 weeks ended June 29, 2019 and June 30, 2018, respectively. We, in turn, pay independent operators a commission based on a share of the gross profit of the store. Inventories and related sales proceeds are our property, and we are responsible for store rent and related occupancy costs. Independent operator commissions were expensed and included in selling, general and administrative expenses. Independent operator commissions were $95.8 million and $85.4 million for the 13 weeks ended June 29, 2019 and June 30, 2018, respectively, and $187.0 million and $168.1 million for the 26 weeks ended June 29, 2019 and June 30, 2018, respectively. Independent operator commissions of $1.8 million and $3.9 million were included in accrued expenses as of June 29, 2019 and December 29, 2018, respectively.</w:t>
      </w:r>
    </w:p>
    <w:p>
      <w:pPr>
        <w:spacing w:after="0" w:line="138" w:lineRule="exact"/>
        <w:rPr>
          <w:sz w:val="20"/>
          <w:szCs w:val="20"/>
          <w:color w:val="auto"/>
        </w:rPr>
      </w:pPr>
    </w:p>
    <w:p>
      <w:pPr>
        <w:ind w:firstLine="513"/>
        <w:spacing w:after="0" w:line="254" w:lineRule="auto"/>
        <w:rPr>
          <w:sz w:val="20"/>
          <w:szCs w:val="20"/>
          <w:color w:val="auto"/>
        </w:rPr>
      </w:pPr>
      <w:r>
        <w:rPr>
          <w:rFonts w:ascii="Arial" w:cs="Arial" w:eastAsia="Arial" w:hAnsi="Arial"/>
          <w:sz w:val="18"/>
          <w:szCs w:val="18"/>
          <w:color w:val="auto"/>
        </w:rPr>
        <w:t>Independent operators may fund their initial store investment from existing capital, a third-party loan or most commonly through a loan from us, as further discussed in Note 2. To ensure independent operator performance, the operator agreements grant us the security interests in the assets owned by the independent operator. The total investment at risk associated with each independent operator is not sufficient to permit each independent operator to finance its activities without additional subordinated financial support and, as a result, the independent operators are VIEs which we have variable interests in. To determine if we are the primary beneficiary of these VIEs, we evaluate whether we have (i) the power to direct the activities that most significantly impact the independent operator’s economic performance and (ii) the obligation to absorb losses or the right to receive benefits of the independent operator that could potentially be significant to the independent operator. Our evaluation includes identification of significant activities and an assessment of its ability to direct those activities.</w:t>
      </w:r>
    </w:p>
    <w:p>
      <w:pPr>
        <w:spacing w:after="0" w:line="152" w:lineRule="exact"/>
        <w:rPr>
          <w:sz w:val="20"/>
          <w:szCs w:val="20"/>
          <w:color w:val="auto"/>
        </w:rPr>
      </w:pPr>
    </w:p>
    <w:p>
      <w:pPr>
        <w:ind w:right="40" w:firstLine="513"/>
        <w:spacing w:after="0" w:line="291" w:lineRule="auto"/>
        <w:rPr>
          <w:sz w:val="20"/>
          <w:szCs w:val="20"/>
          <w:color w:val="auto"/>
        </w:rPr>
      </w:pPr>
      <w:r>
        <w:rPr>
          <w:rFonts w:ascii="Arial" w:cs="Arial" w:eastAsia="Arial" w:hAnsi="Arial"/>
          <w:sz w:val="16"/>
          <w:szCs w:val="16"/>
          <w:color w:val="auto"/>
        </w:rPr>
        <w:t>Activities that most significantly impact the independent operator economic performance relate to sales and labor. Sales activities that significantly impact the independent operators’ economic performance include determining what merchandise the independent operator will order and sell and the price of such merchandise, both of which the independent operator controls. The independent operator is also responsible for all of their own labor. Labor activities that significantly impact the independent operator’s economic performance include hiring, training, supervising, directing, compensating (including wages, salaries and employee benefits) and terminating all of the employees of the independent operator, activities which the independent operator controls. Accordingly, the independent operator has the power to direct the activities that most significantly impact the independent operator’s economic performance. Furthermore, the mutual termination rights associated with the operator agreements do not give the Company power over the independent operator.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firstLine="513"/>
        <w:spacing w:after="0" w:line="277" w:lineRule="auto"/>
        <w:rPr>
          <w:sz w:val="20"/>
          <w:szCs w:val="20"/>
          <w:color w:val="auto"/>
        </w:rPr>
      </w:pPr>
      <w:r>
        <w:rPr>
          <w:rFonts w:ascii="Arial" w:cs="Arial" w:eastAsia="Arial" w:hAnsi="Arial"/>
          <w:sz w:val="18"/>
          <w:szCs w:val="18"/>
          <w:color w:val="auto"/>
        </w:rPr>
        <w:t>Our maximum exposure to the independent operators is generally limited to the gross receivable due from these entities, which was $33.1 million and $27.8 million as of June 29, 2019 and December 29, 2018, respectively. See Note 2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85"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ASU 2016-13, which was further updated and clarified by the FASB through issuance of additional related ASUs, amends the guidance surrounding measurement and recognition of credit losses on financial assets measured at amortized cost, including trade receivables and debt securities, by requiring recognition of an allowance for credit losses expected to be incurred over an asset’s lifetime based on relevant information about past events, current conditions, and supportable forecasts impacting its ultimate collectability. This “expected loss” model will result in earlier recognition of credit losses than the current “as incurred” model, under which losses are recognized only upon an occurrence of an event that gives rise to the incurrence of a probable loss. ASU 2016-13 is effective for fiscal years beginning after December 15, 2019, including interim periods within those fiscal years, and is to be adopted on a modified retrospective basis. We will adopt ASU 2016-13 beginning in the first quarter of fiscal 2020 and are currently evaluating the impact on our consolidated financial statements.</w:t>
      </w:r>
    </w:p>
    <w:p>
      <w:pPr>
        <w:spacing w:after="0" w:line="182" w:lineRule="exact"/>
        <w:rPr>
          <w:sz w:val="20"/>
          <w:szCs w:val="20"/>
          <w:color w:val="auto"/>
        </w:rPr>
      </w:pPr>
    </w:p>
    <w:p>
      <w:pPr>
        <w:ind w:right="60" w:firstLine="513"/>
        <w:spacing w:after="0" w:line="297"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(“ASU 2018-15”). ASU 2018-15 aligns the requirements for capitalizing implementation costs incurred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with the requirements for capitalizing implementation costs incurred to develop or obtain internal-use software. ASU 2018-15 is effective retrospectively for fiscal years and interim periods within those years beginning after December 15, 2019. We will adopt ASU 2018-15 beginning in the first quarter of fiscal 2020. We do not expect the adoption of ASU 2018-15 to have a material effect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5" w:lineRule="exact"/>
        <w:rPr>
          <w:sz w:val="20"/>
          <w:szCs w:val="20"/>
          <w:color w:val="auto"/>
        </w:rPr>
      </w:pPr>
    </w:p>
    <w:p>
      <w:pPr>
        <w:ind w:right="100" w:firstLine="513"/>
        <w:spacing w:after="0" w:line="302" w:lineRule="auto"/>
        <w:rPr>
          <w:sz w:val="20"/>
          <w:szCs w:val="20"/>
          <w:color w:val="auto"/>
        </w:rPr>
      </w:pPr>
      <w:r>
        <w:rPr>
          <w:rFonts w:ascii="Arial" w:cs="Arial" w:eastAsia="Arial" w:hAnsi="Arial"/>
          <w:sz w:val="16"/>
          <w:szCs w:val="16"/>
          <w:color w:val="auto"/>
        </w:rPr>
        <w:t xml:space="preserve">We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December 30, 2018, using the modified retrospective approach with the cumulative effect of transition. The modified retrospective approach provides a method for recording existing leases at adoption with the comparative reporting periods being presented in accordance with ASU No. 2018-11, </w:t>
      </w:r>
      <w:r>
        <w:rPr>
          <w:rFonts w:ascii="Arial" w:cs="Arial" w:eastAsia="Arial" w:hAnsi="Arial"/>
          <w:sz w:val="16"/>
          <w:szCs w:val="16"/>
          <w:i w:val="1"/>
          <w:iCs w:val="1"/>
          <w:color w:val="auto"/>
        </w:rPr>
        <w:t>Leases (Topic 840)</w:t>
      </w:r>
      <w:r>
        <w:rPr>
          <w:rFonts w:ascii="Arial" w:cs="Arial" w:eastAsia="Arial" w:hAnsi="Arial"/>
          <w:sz w:val="16"/>
          <w:szCs w:val="16"/>
          <w:color w:val="auto"/>
        </w:rPr>
        <w:t>. We elected a number of the practical expedients permitted under the transition guidance within the new standard. This included the election to apply the practical expedient package upon transition, which comprised the following:</w:t>
      </w:r>
    </w:p>
    <w:p>
      <w:pPr>
        <w:spacing w:after="0" w:line="46" w:lineRule="exact"/>
        <w:rPr>
          <w:sz w:val="20"/>
          <w:szCs w:val="20"/>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reassess whether expired or existing contracts are or contain a lease;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reassess the classification of existing leases;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reassess the accounting treatment for initial direct costs.</w:t>
      </w:r>
    </w:p>
    <w:p>
      <w:pPr>
        <w:spacing w:after="0" w:line="185" w:lineRule="exact"/>
        <w:rPr>
          <w:sz w:val="20"/>
          <w:szCs w:val="20"/>
          <w:color w:val="auto"/>
        </w:rPr>
      </w:pPr>
    </w:p>
    <w:p>
      <w:pPr>
        <w:ind w:right="160" w:firstLine="513"/>
        <w:spacing w:after="0" w:line="277" w:lineRule="auto"/>
        <w:rPr>
          <w:sz w:val="20"/>
          <w:szCs w:val="20"/>
          <w:color w:val="auto"/>
        </w:rPr>
      </w:pPr>
      <w:r>
        <w:rPr>
          <w:rFonts w:ascii="Arial" w:cs="Arial" w:eastAsia="Arial" w:hAnsi="Arial"/>
          <w:sz w:val="18"/>
          <w:szCs w:val="18"/>
          <w:color w:val="auto"/>
        </w:rPr>
        <w:t>In addition, we elected the practical expedient related to short-term leases, which allows us not to recognize a ROU asset and lease liability for leases with an initial expected term of 12 months or less.</w:t>
      </w:r>
    </w:p>
    <w:p>
      <w:pPr>
        <w:spacing w:after="0" w:line="130" w:lineRule="exact"/>
        <w:rPr>
          <w:sz w:val="20"/>
          <w:szCs w:val="20"/>
          <w:color w:val="auto"/>
        </w:rPr>
      </w:pPr>
    </w:p>
    <w:p>
      <w:pPr>
        <w:ind w:right="240" w:firstLine="513"/>
        <w:spacing w:after="0" w:line="276" w:lineRule="auto"/>
        <w:rPr>
          <w:sz w:val="20"/>
          <w:szCs w:val="20"/>
          <w:color w:val="auto"/>
        </w:rPr>
      </w:pPr>
      <w:r>
        <w:rPr>
          <w:rFonts w:ascii="Arial" w:cs="Arial" w:eastAsia="Arial" w:hAnsi="Arial"/>
          <w:sz w:val="17"/>
          <w:szCs w:val="17"/>
          <w:color w:val="auto"/>
        </w:rPr>
        <w:t>Adoption of the new standard resulted in the recordation of additional lease assets of $646.0 million and lease liabilities of $709.0 million on the consolidated balance sheets as of December 30, 2018, which includes the reclassification of amounts presented in comparative periods as deferred rent as a reduction to the ROU assets. The adoption of the new standard did not result in a material cumulative-effect adjustment to the opening balance of retained earnings. The standard did not materially impact the consolidated statement of operations and other comprehensive income (loss) or the consolidated statement of cash flows. See Note 3 for further discussion on the adoption of ASU 2016-02.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OPERATOR NOTES AND RECEIVABLES</w:t>
      </w:r>
    </w:p>
    <w:p>
      <w:pPr>
        <w:spacing w:after="0" w:line="189" w:lineRule="exact"/>
        <w:rPr>
          <w:sz w:val="20"/>
          <w:szCs w:val="20"/>
          <w:color w:val="auto"/>
        </w:rPr>
      </w:pPr>
    </w:p>
    <w:p>
      <w:pPr>
        <w:ind w:right="340" w:firstLine="513"/>
        <w:spacing w:after="0" w:line="277" w:lineRule="auto"/>
        <w:rPr>
          <w:sz w:val="20"/>
          <w:szCs w:val="20"/>
          <w:color w:val="auto"/>
        </w:rPr>
      </w:pPr>
      <w:r>
        <w:rPr>
          <w:rFonts w:ascii="Arial" w:cs="Arial" w:eastAsia="Arial" w:hAnsi="Arial"/>
          <w:sz w:val="18"/>
          <w:szCs w:val="18"/>
          <w:color w:val="auto"/>
        </w:rPr>
        <w:t>The amounts included in independent operator notes and accounts receivable consist primarily of funds we loaned to independent operators, net of estimated uncollectible amounts.</w:t>
      </w:r>
    </w:p>
    <w:p>
      <w:pPr>
        <w:spacing w:after="0" w:line="130" w:lineRule="exact"/>
        <w:rPr>
          <w:sz w:val="20"/>
          <w:szCs w:val="20"/>
          <w:color w:val="auto"/>
        </w:rPr>
      </w:pPr>
    </w:p>
    <w:p>
      <w:pPr>
        <w:ind w:right="40" w:firstLine="513"/>
        <w:spacing w:after="0" w:line="257" w:lineRule="auto"/>
        <w:rPr>
          <w:sz w:val="20"/>
          <w:szCs w:val="20"/>
          <w:color w:val="auto"/>
        </w:rPr>
      </w:pPr>
      <w:r>
        <w:rPr>
          <w:rFonts w:ascii="Arial" w:cs="Arial" w:eastAsia="Arial" w:hAnsi="Arial"/>
          <w:sz w:val="18"/>
          <w:szCs w:val="18"/>
          <w:color w:val="auto"/>
        </w:rPr>
        <w:t>Independent operator notes are payable on demand and, where applicable, typically bear interest at a rate of 9.95%. Independent operator notes and receivables are also subjected to estimations of collectability based on an evaluation of overall credit quality, the estimated value of the underlying collateral and historical collections experience, including the fact that, typically, independent operators pay third-party operations-related payables prior to paying down their note with us. While estimates are required in making this determination, we believe the independent operator notes and receivables balances, net of allowances, represent what we expect to collect from independent operators.</w:t>
      </w:r>
    </w:p>
    <w:p>
      <w:pPr>
        <w:spacing w:after="0" w:line="161" w:lineRule="exact"/>
        <w:rPr>
          <w:sz w:val="20"/>
          <w:szCs w:val="20"/>
          <w:color w:val="auto"/>
        </w:rPr>
      </w:pPr>
    </w:p>
    <w:p>
      <w:pPr>
        <w:ind w:right="340" w:firstLine="513"/>
        <w:spacing w:after="0" w:line="282" w:lineRule="auto"/>
        <w:rPr>
          <w:sz w:val="20"/>
          <w:szCs w:val="20"/>
          <w:color w:val="auto"/>
        </w:rPr>
      </w:pPr>
      <w:r>
        <w:rPr>
          <w:rFonts w:ascii="Arial" w:cs="Arial" w:eastAsia="Arial" w:hAnsi="Arial"/>
          <w:sz w:val="18"/>
          <w:szCs w:val="18"/>
          <w:color w:val="auto"/>
        </w:rPr>
        <w:t>Amounts due from independent operators and the related allowances and accruals for estimated losses as of June 29, 2019 and December 29, 2018 consisted of the following (in thousands)</w:t>
      </w:r>
      <w:r>
        <w:rPr>
          <w:rFonts w:ascii="Arial" w:cs="Arial" w:eastAsia="Arial" w:hAnsi="Arial"/>
          <w:sz w:val="19"/>
          <w:szCs w:val="19"/>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Allowance</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3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Long-term</w:t>
            </w:r>
          </w:p>
        </w:tc>
        <w:tc>
          <w:tcPr>
            <w:tcW w:w="34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3"/>
                <w:szCs w:val="13"/>
                <w:color w:val="auto"/>
              </w:rPr>
            </w:pPr>
          </w:p>
        </w:tc>
        <w:tc>
          <w:tcPr>
            <w:tcW w:w="11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portion</w:t>
            </w:r>
          </w:p>
        </w:tc>
        <w:tc>
          <w:tcPr>
            <w:tcW w:w="3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portion</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portion</w:t>
            </w: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portion</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29, 2019</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Independent operator notes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27,246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(9,356)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Independent operator receivables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33,123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22,467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6,796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Allowance</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3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Long-term</w:t>
            </w:r>
          </w:p>
        </w:tc>
        <w:tc>
          <w:tcPr>
            <w:tcW w:w="34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3"/>
                <w:szCs w:val="13"/>
                <w:color w:val="auto"/>
              </w:rPr>
            </w:pPr>
          </w:p>
        </w:tc>
        <w:tc>
          <w:tcPr>
            <w:tcW w:w="11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portion</w:t>
            </w:r>
          </w:p>
        </w:tc>
        <w:tc>
          <w:tcPr>
            <w:tcW w:w="3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portion</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portion</w:t>
            </w: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portion</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29, 2018</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Independent operator notes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23,450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(7,926)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Independent operator receivables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80" w:firstLine="513"/>
        <w:spacing w:after="0" w:line="302" w:lineRule="auto"/>
        <w:rPr>
          <w:sz w:val="20"/>
          <w:szCs w:val="20"/>
          <w:color w:val="auto"/>
        </w:rPr>
      </w:pPr>
      <w:r>
        <w:rPr>
          <w:rFonts w:ascii="Arial" w:cs="Arial" w:eastAsia="Arial" w:hAnsi="Arial"/>
          <w:sz w:val="16"/>
          <w:szCs w:val="16"/>
          <w:color w:val="auto"/>
        </w:rPr>
        <w:t>We generally lease retail facilities for store locations, distribution centers, office space and equipment and account for these leases as operating leases. We account for one retail store lease and certain equipment leases as finance leases. Leases with an initial term of 12 months or less are not recorded on the balance sheet; lease expense for these leases is recognized on a straight-line basis over the lease term. We account for lease components (e.g., fixed payments including rent, real estate taxes and insurance costs) separately from the non-lease components (e.g., common-area maintenance costs).</w:t>
      </w:r>
    </w:p>
    <w:p>
      <w:pPr>
        <w:spacing w:after="0" w:line="114" w:lineRule="exact"/>
        <w:rPr>
          <w:sz w:val="20"/>
          <w:szCs w:val="20"/>
          <w:color w:val="auto"/>
        </w:rPr>
      </w:pPr>
    </w:p>
    <w:p>
      <w:pPr>
        <w:ind w:firstLine="513"/>
        <w:spacing w:after="0" w:line="286" w:lineRule="auto"/>
        <w:rPr>
          <w:sz w:val="20"/>
          <w:szCs w:val="20"/>
          <w:color w:val="auto"/>
        </w:rPr>
      </w:pPr>
      <w:r>
        <w:rPr>
          <w:rFonts w:ascii="Arial" w:cs="Arial" w:eastAsia="Arial" w:hAnsi="Arial"/>
          <w:sz w:val="17"/>
          <w:szCs w:val="17"/>
          <w:color w:val="auto"/>
        </w:rPr>
        <w:t>Leases for 16 of our store locations and one warehouse location are controlled by related parties. As of June 29, 2019, the ROU asset and lease liability related to these properties was $45.6 million and $49.9 million, respectively. As of June 29, 2019, we had executed leases for 33 store locations that we had not yet taken possession of with total undiscounted future lease payments of $196.5 million over approximately 15 years.</w:t>
      </w:r>
    </w:p>
    <w:p>
      <w:pPr>
        <w:spacing w:after="0" w:line="125" w:lineRule="exact"/>
        <w:rPr>
          <w:sz w:val="20"/>
          <w:szCs w:val="20"/>
          <w:color w:val="auto"/>
        </w:rPr>
      </w:pPr>
    </w:p>
    <w:p>
      <w:pPr>
        <w:ind w:right="180" w:firstLine="513"/>
        <w:spacing w:after="0" w:line="302" w:lineRule="auto"/>
        <w:rPr>
          <w:sz w:val="20"/>
          <w:szCs w:val="20"/>
          <w:color w:val="auto"/>
        </w:rPr>
      </w:pPr>
      <w:r>
        <w:rPr>
          <w:rFonts w:ascii="Arial" w:cs="Arial" w:eastAsia="Arial" w:hAnsi="Arial"/>
          <w:sz w:val="16"/>
          <w:szCs w:val="16"/>
          <w:color w:val="auto"/>
        </w:rPr>
        <w:t>Our lease terms may include options to extend the lease when we are reasonably certain that we will exercise such options. Based upon our initial investment in store leasehold improvements, we utilize an initial reasonably certain lease life of 15 years. Most leases include one or more options to renew, with renewal terms that can extend the lease term from one to 5 years or more. Our leases do not include any material residual value guarantees or material restrictive covenants. We also have non-cancelable subleases with unrelated third parties with future minimum rental receipts as of June 29,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totaling $2.6 million ending in various years through 2024, and as of December 29, 2018 totaling $3.6 million ending in various years through 2023, which have not been deducted from the future minimum payments.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 sheet classification of our right-of-use assets and lease liabilities as of June 29, 2019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Leases</w:t>
            </w:r>
          </w:p>
        </w:tc>
        <w:tc>
          <w:tcPr>
            <w:tcW w:w="16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Classification</w:t>
            </w:r>
          </w:p>
        </w:tc>
        <w:tc>
          <w:tcPr>
            <w:tcW w:w="15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Operating lease assets</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Operating Right-of-use Asset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676,191</w:t>
            </w:r>
          </w:p>
        </w:tc>
      </w:tr>
      <w:tr>
        <w:trPr>
          <w:trHeight w:val="27"/>
        </w:trPr>
        <w:tc>
          <w:tcPr>
            <w:tcW w:w="3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Finance lease assets</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r>
      <w:tr>
        <w:trPr>
          <w:trHeight w:val="297"/>
        </w:trPr>
        <w:tc>
          <w:tcPr>
            <w:tcW w:w="50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leased assets</w:t>
            </w:r>
          </w:p>
        </w:tc>
        <w:tc>
          <w:tcPr>
            <w:tcW w:w="33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680,551</w:t>
            </w:r>
          </w:p>
        </w:tc>
      </w:tr>
      <w:tr>
        <w:trPr>
          <w:trHeight w:val="311"/>
        </w:trPr>
        <w:tc>
          <w:tcPr>
            <w:tcW w:w="34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Operating</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Current lease liability</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35,615</w:t>
            </w:r>
          </w:p>
        </w:tc>
      </w:tr>
      <w:tr>
        <w:trPr>
          <w:trHeight w:val="27"/>
        </w:trPr>
        <w:tc>
          <w:tcPr>
            <w:tcW w:w="3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Finance</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lease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Noncurrent</w:t>
            </w:r>
          </w:p>
        </w:tc>
        <w:tc>
          <w:tcPr>
            <w:tcW w:w="3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710,260</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Finance</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Lease liability</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3,913</w:t>
            </w:r>
          </w:p>
        </w:tc>
      </w:tr>
      <w:tr>
        <w:trPr>
          <w:trHeight w:val="27"/>
        </w:trPr>
        <w:tc>
          <w:tcPr>
            <w:tcW w:w="3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3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750,322</w:t>
            </w: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for the 13 and 26 weeks ended June 29, 2019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13 Weeks Ended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26 Weeks Ended</w:t>
            </w:r>
          </w:p>
        </w:tc>
        <w:tc>
          <w:tcPr>
            <w:tcW w:w="0" w:type="dxa"/>
            <w:vAlign w:val="bottom"/>
          </w:tcPr>
          <w:p>
            <w:pPr>
              <w:spacing w:after="0"/>
              <w:rPr>
                <w:sz w:val="1"/>
                <w:szCs w:val="1"/>
                <w:color w:val="auto"/>
              </w:rPr>
            </w:pPr>
          </w:p>
        </w:tc>
      </w:tr>
      <w:tr>
        <w:trPr>
          <w:trHeight w:val="152"/>
        </w:trPr>
        <w:tc>
          <w:tcPr>
            <w:tcW w:w="354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Lease Cost</w:t>
            </w:r>
          </w:p>
        </w:tc>
        <w:tc>
          <w:tcPr>
            <w:tcW w:w="240" w:type="dxa"/>
            <w:vAlign w:val="bottom"/>
            <w:vMerge w:val="restart"/>
          </w:tcPr>
          <w:p>
            <w:pPr>
              <w:spacing w:after="0"/>
              <w:rPr>
                <w:sz w:val="13"/>
                <w:szCs w:val="13"/>
                <w:color w:val="auto"/>
              </w:rPr>
            </w:pPr>
          </w:p>
        </w:tc>
        <w:tc>
          <w:tcPr>
            <w:tcW w:w="42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Classification</w:t>
            </w:r>
          </w:p>
        </w:tc>
        <w:tc>
          <w:tcPr>
            <w:tcW w:w="2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29,</w:t>
            </w:r>
          </w:p>
        </w:tc>
        <w:tc>
          <w:tcPr>
            <w:tcW w:w="180" w:type="dxa"/>
            <w:vAlign w:val="bottom"/>
          </w:tcPr>
          <w:p>
            <w:pPr>
              <w:spacing w:after="0"/>
              <w:rPr>
                <w:sz w:val="13"/>
                <w:szCs w:val="13"/>
                <w:color w:val="auto"/>
              </w:rPr>
            </w:pPr>
          </w:p>
        </w:tc>
        <w:tc>
          <w:tcPr>
            <w:tcW w:w="130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23,663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46,874</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right-of-use assets</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Interest on leased liabilities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8"/>
                <w:szCs w:val="18"/>
                <w:color w:val="auto"/>
              </w:rPr>
              <w:t>Net Lease Cost</w:t>
            </w: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23,593</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46,695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Short-term lease expense and variable lease payments recorded in operating expenses were immaterial for the 13 and 26 weeks ended June 29, 2019.</w:t>
      </w:r>
    </w:p>
    <w:p>
      <w:pPr>
        <w:spacing w:after="0" w:line="208"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8"/>
          <w:szCs w:val="18"/>
          <w:color w:val="auto"/>
        </w:rPr>
        <w:t>Rental expense for all operating leases for fiscal years ended December 29, 2018, December 30, 2017 and December 31, 2016 (under ASC 840)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20" w:type="dxa"/>
            <w:vAlign w:val="bottom"/>
          </w:tcPr>
          <w:p>
            <w:pPr>
              <w:spacing w:after="0"/>
              <w:rPr>
                <w:sz w:val="13"/>
                <w:szCs w:val="13"/>
                <w:color w:val="auto"/>
              </w:rPr>
            </w:pPr>
          </w:p>
        </w:tc>
        <w:tc>
          <w:tcPr>
            <w:tcW w:w="12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expense—third-party lessors</w:t>
            </w:r>
          </w:p>
        </w:tc>
        <w:tc>
          <w:tcPr>
            <w:tcW w:w="2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79,347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72,622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56,825</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Rent expense—related parties</w:t>
            </w: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7,141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rentals</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Less rentals from subleases</w:t>
            </w: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rent expense</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85,961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79,383</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62,805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undiscounted future lease payments under the lease liability as of June 29,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 of Lease Liabilities</w:t>
            </w:r>
          </w:p>
        </w:tc>
        <w:tc>
          <w:tcPr>
            <w:tcW w:w="3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Finance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45,686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Fiscal 2020</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92,197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92,953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93,584</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92,156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92,880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91,909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770,151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2,429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772,580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1,184,906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5,724</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1,190,630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(439,031)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745,875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4,447</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undiscounted future lease payments under the lease liability as of December 29, 2018 (under ASC 840) were as follow</w:t>
      </w:r>
      <w:r>
        <w:rPr>
          <w:rFonts w:ascii="Arial" w:cs="Arial" w:eastAsia="Arial" w:hAnsi="Arial"/>
          <w:sz w:val="18"/>
          <w:szCs w:val="18"/>
          <w:color w:val="auto"/>
        </w:rPr>
        <w: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Parties</w:t>
            </w:r>
          </w:p>
        </w:tc>
        <w:tc>
          <w:tcPr>
            <w:tcW w:w="20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 Parties</w:t>
            </w: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82,971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89,123</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Fiscal 2020</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91,538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6,201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97,739</w:t>
            </w:r>
          </w:p>
        </w:tc>
      </w:tr>
      <w:tr>
        <w:trPr>
          <w:trHeight w:val="27"/>
        </w:trPr>
        <w:tc>
          <w:tcPr>
            <w:tcW w:w="4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93,090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99,387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92,359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6,532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98,891</w:t>
            </w:r>
          </w:p>
        </w:tc>
      </w:tr>
      <w:tr>
        <w:trPr>
          <w:trHeight w:val="27"/>
        </w:trPr>
        <w:tc>
          <w:tcPr>
            <w:tcW w:w="4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98,365</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801,832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48,914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850,746</w:t>
            </w:r>
          </w:p>
        </w:tc>
      </w:tr>
      <w:tr>
        <w:trPr>
          <w:trHeight w:val="27"/>
        </w:trPr>
        <w:tc>
          <w:tcPr>
            <w:tcW w:w="45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future lease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1,253,745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80,506</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1,334,251</w:t>
            </w:r>
          </w:p>
        </w:tc>
      </w:tr>
      <w:tr>
        <w:trPr>
          <w:trHeight w:val="20"/>
        </w:trPr>
        <w:tc>
          <w:tcPr>
            <w:tcW w:w="4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4"/>
        </w:trPr>
        <w:tc>
          <w:tcPr>
            <w:tcW w:w="6860" w:type="dxa"/>
            <w:vAlign w:val="bottom"/>
            <w:gridSpan w:val="3"/>
          </w:tcPr>
          <w:p>
            <w:pPr>
              <w:ind w:left="520"/>
              <w:spacing w:after="0"/>
              <w:rPr>
                <w:sz w:val="20"/>
                <w:szCs w:val="20"/>
                <w:color w:val="auto"/>
              </w:rPr>
            </w:pPr>
            <w:r>
              <w:rPr>
                <w:rFonts w:ascii="Arial" w:cs="Arial" w:eastAsia="Arial" w:hAnsi="Arial"/>
                <w:sz w:val="18"/>
                <w:szCs w:val="18"/>
                <w:color w:val="auto"/>
                <w:w w:val="89"/>
              </w:rPr>
              <w:t>The weighted-average lease term and discount rate as of June 29, 2019 were as follows: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 Term and Discount Rate</w:t>
            </w:r>
          </w:p>
        </w:tc>
        <w:tc>
          <w:tcPr>
            <w:tcW w:w="20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12.48</w:t>
            </w:r>
          </w:p>
        </w:tc>
      </w:tr>
      <w:tr>
        <w:trPr>
          <w:trHeight w:val="27"/>
        </w:trPr>
        <w:tc>
          <w:tcPr>
            <w:tcW w:w="4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419"/>
        </w:trPr>
        <w:tc>
          <w:tcPr>
            <w:tcW w:w="9940" w:type="dxa"/>
            <w:vAlign w:val="bottom"/>
            <w:gridSpan w:val="9"/>
          </w:tcPr>
          <w:p>
            <w:pPr>
              <w:ind w:left="520"/>
              <w:spacing w:after="0"/>
              <w:rPr>
                <w:sz w:val="20"/>
                <w:szCs w:val="20"/>
                <w:color w:val="auto"/>
              </w:rPr>
            </w:pPr>
            <w:r>
              <w:rPr>
                <w:rFonts w:ascii="Arial" w:cs="Arial" w:eastAsia="Arial" w:hAnsi="Arial"/>
                <w:sz w:val="18"/>
                <w:szCs w:val="18"/>
                <w:color w:val="auto"/>
                <w:w w:val="96"/>
              </w:rPr>
              <w:t>Supplemental cash flow information for the 26 weeks ended June 29, 2019 related to leases was as follows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6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Other Information</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60"/>
              <w:spacing w:after="0"/>
              <w:rPr>
                <w:sz w:val="20"/>
                <w:szCs w:val="20"/>
                <w:color w:val="auto"/>
              </w:rPr>
            </w:pPr>
            <w:r>
              <w:rPr>
                <w:rFonts w:ascii="Arial" w:cs="Arial" w:eastAsia="Arial" w:hAnsi="Arial"/>
                <w:sz w:val="18"/>
                <w:szCs w:val="18"/>
                <w:color w:val="auto"/>
              </w:rPr>
              <w:t>Operating cash flows used by operating leases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43,015</w:t>
            </w:r>
          </w:p>
        </w:tc>
      </w:tr>
      <w:tr>
        <w:trPr>
          <w:trHeight w:val="41"/>
        </w:trPr>
        <w:tc>
          <w:tcPr>
            <w:tcW w:w="654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Leased assets obtained in exchange for new operating lease liabilities — adoption</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641,529</w:t>
            </w:r>
          </w:p>
        </w:tc>
      </w:tr>
      <w:tr>
        <w:trPr>
          <w:trHeight w:val="243"/>
        </w:trPr>
        <w:tc>
          <w:tcPr>
            <w:tcW w:w="8260" w:type="dxa"/>
            <w:vAlign w:val="bottom"/>
            <w:gridSpan w:val="5"/>
          </w:tcPr>
          <w:p>
            <w:pPr>
              <w:ind w:left="40"/>
              <w:spacing w:after="0"/>
              <w:rPr>
                <w:sz w:val="20"/>
                <w:szCs w:val="20"/>
                <w:color w:val="auto"/>
              </w:rPr>
            </w:pPr>
            <w:r>
              <w:rPr>
                <w:rFonts w:ascii="Arial" w:cs="Arial" w:eastAsia="Arial" w:hAnsi="Arial"/>
                <w:sz w:val="18"/>
                <w:szCs w:val="18"/>
                <w:color w:val="auto"/>
                <w:w w:val="98"/>
              </w:rPr>
              <w:t>Leased assets obtained in exchange for new operating lease liabilities — 26 weeks ended June 29, 2019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57,020</w:t>
            </w:r>
          </w:p>
        </w:tc>
      </w:tr>
      <w:tr>
        <w:trPr>
          <w:trHeight w:val="500"/>
        </w:trPr>
        <w:tc>
          <w:tcPr>
            <w:tcW w:w="6540" w:type="dxa"/>
            <w:vAlign w:val="bottom"/>
            <w:gridSpan w:val="2"/>
          </w:tcPr>
          <w:p>
            <w:pPr>
              <w:ind w:left="56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our goodwill and intangible assets as of June 29, 2019 was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Useful Lives</w:t>
            </w:r>
          </w:p>
        </w:tc>
        <w:tc>
          <w:tcPr>
            <w:tcW w:w="30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58,400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40,022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1–20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30,468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19,227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(15,725)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finite-lived intangibles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108,255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59,589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Liquor licenses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5,811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114,066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65,400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747,943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goodwill and other intangibles</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862,009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813,343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our goodwill and intangible assets as of December 29, 2018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Useful Lives</w:t>
            </w:r>
          </w:p>
        </w:tc>
        <w:tc>
          <w:tcPr>
            <w:tcW w:w="30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58,400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41,969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1–20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30,468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18,176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(14,324)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107,204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63,579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Liquor licenses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5,245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112,449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68,824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747,943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goodwill and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860,392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816,767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513"/>
        <w:spacing w:after="0" w:line="259" w:lineRule="auto"/>
        <w:rPr>
          <w:sz w:val="20"/>
          <w:szCs w:val="20"/>
          <w:color w:val="auto"/>
        </w:rPr>
      </w:pPr>
      <w:r>
        <w:rPr>
          <w:rFonts w:ascii="Arial" w:cs="Arial" w:eastAsia="Arial" w:hAnsi="Arial"/>
          <w:sz w:val="18"/>
          <w:szCs w:val="18"/>
          <w:color w:val="auto"/>
        </w:rPr>
        <w:t>Amortization expense on finite-lived intangible assets was $2.3 million and $2.5 million for the 13 weeks ended June 29, 2019 and June 30, 2018, respectively, and $5.1 million and $4.9 million for the 26 weeks ended June 29, 2019 and June 30, 2018, respectively. Liquor license assets have been classified as indefinite-lived intangible assets and accordingly, are not subject to amortization. We had no impairments of goodwill or intangible assets recorded in the 26 weeks ended June 29, 2019 and June 30, 2018.</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related to finite-lived intangible assets at June 29, 2019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6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6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41"/>
        </w:trPr>
        <w:tc>
          <w:tcPr>
            <w:tcW w:w="37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6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6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41"/>
        </w:trPr>
        <w:tc>
          <w:tcPr>
            <w:tcW w:w="37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6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27,090</w:t>
            </w:r>
          </w:p>
        </w:tc>
        <w:tc>
          <w:tcPr>
            <w:tcW w:w="0" w:type="dxa"/>
            <w:vAlign w:val="bottom"/>
          </w:tcPr>
          <w:p>
            <w:pPr>
              <w:spacing w:after="0"/>
              <w:rPr>
                <w:sz w:val="1"/>
                <w:szCs w:val="1"/>
                <w:color w:val="auto"/>
              </w:rPr>
            </w:pPr>
          </w:p>
        </w:tc>
      </w:tr>
      <w:tr>
        <w:trPr>
          <w:trHeight w:val="41"/>
        </w:trPr>
        <w:tc>
          <w:tcPr>
            <w:tcW w:w="3740" w:type="dxa"/>
            <w:vAlign w:val="bottom"/>
            <w:tcBorders>
              <w:bottom w:val="single" w:sz="8" w:color="CCEEFF"/>
            </w:tcBorders>
          </w:tcPr>
          <w:p>
            <w:pPr>
              <w:spacing w:after="0"/>
              <w:rPr>
                <w:sz w:val="3"/>
                <w:szCs w:val="3"/>
                <w:color w:val="auto"/>
              </w:rPr>
            </w:pPr>
          </w:p>
        </w:tc>
        <w:tc>
          <w:tcPr>
            <w:tcW w:w="60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59,589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74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11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December 29,</w:t>
            </w:r>
          </w:p>
        </w:tc>
        <w:tc>
          <w:tcPr>
            <w:tcW w:w="34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4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80"/>
              <w:spacing w:after="0"/>
              <w:rPr>
                <w:sz w:val="20"/>
                <w:szCs w:val="20"/>
                <w:color w:val="auto"/>
              </w:rPr>
            </w:pPr>
            <w:r>
              <w:rPr>
                <w:rFonts w:ascii="Arial" w:cs="Arial" w:eastAsia="Arial" w:hAnsi="Arial"/>
                <w:sz w:val="18"/>
                <w:szCs w:val="18"/>
                <w:color w:val="auto"/>
              </w:rPr>
              <w:t>First Lien Credit Agreement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475,188</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725,000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3.75% + Eurodollar rate,</w:t>
            </w:r>
          </w:p>
        </w:tc>
        <w:tc>
          <w:tcPr>
            <w:tcW w:w="460" w:type="dxa"/>
            <w:vAlign w:val="bottom"/>
          </w:tcPr>
          <w:p>
            <w:pPr>
              <w:ind w:left="40"/>
              <w:spacing w:after="0"/>
              <w:rPr>
                <w:sz w:val="20"/>
                <w:szCs w:val="20"/>
                <w:color w:val="auto"/>
              </w:rPr>
            </w:pPr>
            <w:r>
              <w:rPr>
                <w:rFonts w:ascii="Arial" w:cs="Arial" w:eastAsia="Arial" w:hAnsi="Arial"/>
                <w:sz w:val="14"/>
                <w:szCs w:val="14"/>
                <w:color w:val="auto"/>
              </w:rPr>
              <w:t>(2),(3)</w:t>
            </w:r>
          </w:p>
        </w:tc>
        <w:tc>
          <w:tcPr>
            <w:tcW w:w="1200" w:type="dxa"/>
            <w:vAlign w:val="bottom"/>
            <w:gridSpan w:val="2"/>
          </w:tcPr>
          <w:p>
            <w:pPr>
              <w:jc w:val="right"/>
              <w:ind w:right="140"/>
              <w:spacing w:after="0" w:line="228" w:lineRule="exact"/>
              <w:rPr>
                <w:sz w:val="20"/>
                <w:szCs w:val="20"/>
                <w:color w:val="auto"/>
              </w:rPr>
            </w:pPr>
            <w:r>
              <w:rPr>
                <w:rFonts w:ascii="Arial" w:cs="Arial" w:eastAsia="Arial" w:hAnsi="Arial"/>
                <w:sz w:val="17"/>
                <w:szCs w:val="17"/>
                <w:color w:val="auto"/>
              </w:rPr>
              <w:t xml:space="preserve">6.14% </w:t>
            </w:r>
            <w:r>
              <w:rPr>
                <w:rFonts w:ascii="Arial" w:cs="Arial" w:eastAsia="Arial" w:hAnsi="Arial"/>
                <w:sz w:val="26"/>
                <w:szCs w:val="26"/>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October</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or 2.75% + ABR rate</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Lien Credit Agreement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7.25% + Eurodollar rate,</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(2),(3)</w:t>
            </w:r>
          </w:p>
        </w:tc>
        <w:tc>
          <w:tcPr>
            <w:tcW w:w="1200" w:type="dxa"/>
            <w:vAlign w:val="bottom"/>
            <w:gridSpan w:val="2"/>
            <w:shd w:val="clear" w:color="auto" w:fill="CCEEFF"/>
          </w:tcPr>
          <w:p>
            <w:pPr>
              <w:jc w:val="right"/>
              <w:ind w:right="140"/>
              <w:spacing w:after="0" w:line="22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2"/>
                <w:szCs w:val="12"/>
                <w:color w:val="auto"/>
              </w:rPr>
              <w:t xml:space="preserve"> (6)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or 6.25% + ABR rate</w:t>
            </w: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189"/>
        </w:trPr>
        <w:tc>
          <w:tcPr>
            <w:tcW w:w="3520" w:type="dxa"/>
            <w:vAlign w:val="bottom"/>
          </w:tcPr>
          <w:p>
            <w:pPr>
              <w:ind w:left="40"/>
              <w:spacing w:after="0" w:line="189" w:lineRule="exact"/>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6"/>
                <w:szCs w:val="16"/>
                <w:color w:val="auto"/>
              </w:rPr>
            </w:pPr>
          </w:p>
        </w:tc>
        <w:tc>
          <w:tcPr>
            <w:tcW w:w="1360" w:type="dxa"/>
            <w:vAlign w:val="bottom"/>
            <w:gridSpan w:val="2"/>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100" w:type="dxa"/>
            <w:vAlign w:val="bottom"/>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0"/>
              </w:rPr>
              <w:t>3.25 % to 3.75% +</w:t>
            </w:r>
          </w:p>
        </w:tc>
        <w:tc>
          <w:tcPr>
            <w:tcW w:w="460" w:type="dxa"/>
            <w:vAlign w:val="bottom"/>
          </w:tcPr>
          <w:p>
            <w:pPr>
              <w:ind w:left="40"/>
              <w:spacing w:after="0"/>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0"/>
              </w:rPr>
              <w:t>October</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Eurodollar rate,</w:t>
            </w:r>
          </w:p>
        </w:tc>
        <w:tc>
          <w:tcPr>
            <w:tcW w:w="460" w:type="dxa"/>
            <w:vAlign w:val="bottom"/>
          </w:tcPr>
          <w:p>
            <w:pPr>
              <w:ind w:left="40"/>
              <w:spacing w:after="0"/>
              <w:rPr>
                <w:sz w:val="20"/>
                <w:szCs w:val="20"/>
                <w:color w:val="auto"/>
              </w:rPr>
            </w:pPr>
            <w:r>
              <w:rPr>
                <w:rFonts w:ascii="Arial" w:cs="Arial" w:eastAsia="Arial" w:hAnsi="Arial"/>
                <w:sz w:val="14"/>
                <w:szCs w:val="14"/>
                <w:color w:val="auto"/>
              </w:rPr>
              <w:t>(3),(4)</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73"/>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or 2.25% to 2.75% + ABR</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3"/>
              </w:rPr>
              <w:t>rate</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40" w:type="dxa"/>
            <w:vAlign w:val="bottom"/>
          </w:tcPr>
          <w:p>
            <w:pPr>
              <w:spacing w:after="0"/>
              <w:rPr>
                <w:sz w:val="21"/>
                <w:szCs w:val="21"/>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 gross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475,545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877,019</w:t>
            </w:r>
          </w:p>
        </w:tc>
        <w:tc>
          <w:tcPr>
            <w:tcW w:w="3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0"/>
              <w:spacing w:after="0"/>
              <w:rPr>
                <w:sz w:val="20"/>
                <w:szCs w:val="20"/>
                <w:color w:val="auto"/>
              </w:rPr>
            </w:pPr>
            <w:r>
              <w:rPr>
                <w:rFonts w:ascii="Arial" w:cs="Arial" w:eastAsia="Arial" w:hAnsi="Arial"/>
                <w:sz w:val="18"/>
                <w:szCs w:val="18"/>
                <w:color w:val="auto"/>
                <w:w w:val="93"/>
              </w:rPr>
              <w:t>Less: Debt discounts and debt issuance costs,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68"/>
              <w:spacing w:after="0" w:line="228" w:lineRule="exact"/>
              <w:rPr>
                <w:sz w:val="20"/>
                <w:szCs w:val="20"/>
                <w:color w:val="auto"/>
              </w:rPr>
            </w:pPr>
            <w:r>
              <w:rPr>
                <w:rFonts w:ascii="Arial" w:cs="Arial" w:eastAsia="Arial" w:hAnsi="Arial"/>
                <w:sz w:val="17"/>
                <w:szCs w:val="17"/>
                <w:color w:val="auto"/>
              </w:rPr>
              <w:t xml:space="preserve">(19,651) </w:t>
            </w:r>
            <w:r>
              <w:rPr>
                <w:rFonts w:ascii="Arial" w:cs="Arial" w:eastAsia="Arial" w:hAnsi="Arial"/>
                <w:sz w:val="26"/>
                <w:szCs w:val="26"/>
                <w:color w:val="auto"/>
                <w:vertAlign w:val="superscript"/>
              </w:rPr>
              <w:t>(1)</w:t>
            </w:r>
          </w:p>
        </w:tc>
        <w:tc>
          <w:tcPr>
            <w:tcW w:w="2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520"/>
              <w:spacing w:after="0"/>
              <w:rPr>
                <w:sz w:val="20"/>
                <w:szCs w:val="20"/>
                <w:color w:val="auto"/>
              </w:rPr>
            </w:pPr>
            <w:r>
              <w:rPr>
                <w:rFonts w:ascii="Arial" w:cs="Arial" w:eastAsia="Arial" w:hAnsi="Arial"/>
                <w:sz w:val="18"/>
                <w:szCs w:val="18"/>
                <w:color w:val="auto"/>
              </w:rPr>
              <w:t>net of amortization</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462,386</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857,368</w:t>
            </w:r>
          </w:p>
        </w:tc>
        <w:tc>
          <w:tcPr>
            <w:tcW w:w="3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3"/>
                <w:szCs w:val="23"/>
                <w:color w:val="auto"/>
              </w:rPr>
            </w:pPr>
          </w:p>
        </w:tc>
        <w:tc>
          <w:tcPr>
            <w:tcW w:w="1360" w:type="dxa"/>
            <w:vAlign w:val="bottom"/>
            <w:gridSpan w:val="2"/>
          </w:tcPr>
          <w:p>
            <w:pPr>
              <w:jc w:val="right"/>
              <w:ind w:right="140"/>
              <w:spacing w:after="0" w:line="270" w:lineRule="exact"/>
              <w:rPr>
                <w:sz w:val="20"/>
                <w:szCs w:val="20"/>
                <w:color w:val="auto"/>
              </w:rPr>
            </w:pPr>
            <w:r>
              <w:rPr>
                <w:rFonts w:ascii="Arial" w:cs="Arial" w:eastAsia="Arial" w:hAnsi="Arial"/>
                <w:sz w:val="18"/>
                <w:szCs w:val="18"/>
                <w:color w:val="auto"/>
              </w:rPr>
              <w:t xml:space="preserve">(267) </w:t>
            </w:r>
            <w:r>
              <w:rPr>
                <w:rFonts w:ascii="Arial" w:cs="Arial" w:eastAsia="Arial" w:hAnsi="Arial"/>
                <w:sz w:val="28"/>
                <w:szCs w:val="28"/>
                <w:color w:val="auto"/>
                <w:vertAlign w:val="subscript"/>
              </w:rPr>
              <w:t>(7)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(7,349)</w:t>
            </w:r>
          </w:p>
        </w:tc>
        <w:tc>
          <w:tcPr>
            <w:tcW w:w="3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 noncurrent</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462,119</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850,019</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ind w:left="340" w:right="340" w:hanging="332"/>
        <w:spacing w:after="0" w:line="26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conform with current period presentation, unamortized debt discounts of $1.8 million and $1.5 million as of December 29, 2018 have been reclassified from “First Lien Credit Agreement” and “Second Lien Credit Agreement,” respectively, and included in “Debt discounts and debt issuance costs, net of amortization.” This reclassification had no impact on our condensed consolidated financial statements for 2018.</w:t>
      </w:r>
    </w:p>
    <w:p>
      <w:pPr>
        <w:spacing w:after="0" w:line="34" w:lineRule="exact"/>
        <w:rPr>
          <w:rFonts w:ascii="Arial" w:cs="Arial" w:eastAsia="Arial" w:hAnsi="Arial"/>
          <w:sz w:val="16"/>
          <w:szCs w:val="16"/>
          <w:color w:val="auto"/>
        </w:rPr>
      </w:pPr>
    </w:p>
    <w:p>
      <w:pPr>
        <w:ind w:left="340" w:right="20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Eurodollar rate has a floor rate of 0.00% and is subject to adjustment required under regulations issued by the Federal Reserve Board for determining maximum reserve requirements with respect to Eurocurrency funding.</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ABR rate is the highest of the prime rate, the federal funds effective rate + 0.50%, or Eurodollar rate +1.00%.</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Rates vary depending on the applicable first lien secured leverage ratio as defined by the agreement.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effective interest rate as of June 29, 2019.</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repaid this term loan balance in full in connection with the closing of our IPO in June 2019 as further discussed below.</w:t>
      </w:r>
    </w:p>
    <w:p>
      <w:pPr>
        <w:spacing w:after="0" w:line="59" w:lineRule="exact"/>
        <w:rPr>
          <w:rFonts w:ascii="Arial" w:cs="Arial" w:eastAsia="Arial" w:hAnsi="Arial"/>
          <w:sz w:val="16"/>
          <w:szCs w:val="16"/>
          <w:color w:val="auto"/>
        </w:rPr>
      </w:pPr>
    </w:p>
    <w:p>
      <w:pPr>
        <w:ind w:left="340" w:right="16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our note payments due in the next 12 months. As discussed below, the principal payment of our outstanding term loan under the First Lien Credit Agreement will not be due until its maturity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8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On October 22, 2018, GOBP Holdings, Inc (“GOBP Holdings”), our wholly owned subsidiary, together with another of our wholly owned subsidiary, entered into a first lien credit agreement (the “First Lien Credit Agreement”) with a syndicate of lenders for a $725.0 million senior term loan and a revolving credit facility for an amount up to $100.0 million, with a sub-commitment for a $35.0 million letter of credit and a sub-commitment for $20.0 million of swingline loans. Borrowings under the First Lien Credit Agreement is secured by substantially all the assets of the borrower subsidiary and its guarantors. The term loan proceeds were primarily used for retiring the prior first lien credit agreement and paying the dividends related to our 2018 recapitalization. As of June 29, 2019, we had standby letters of credit outstanding totaling $3.6 million under the First Lien Credit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Starting April 1, 2019, a minimum interest payment of $1.8 million is payable quarterly with the remainder due on the maturity date. 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w:t>
      </w:r>
    </w:p>
    <w:p>
      <w:pPr>
        <w:spacing w:after="0" w:line="14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First Lien Credit Agreement permits voluntarily prepayment on borrowings without premium or penalty. In connection with the closing of our IPO, we prepaid $248.0 million of principal and $3.8 million of interest on June 24, 2019 and elected to apply the prepayment against the remaining principal installments in the direct order of maturity. No further principal payment on the term loan will be due until the maturity date of this term loan. The terms of the First Lien Credit Agreement include mandatory prepayment requirements on the term loan if certain conditions are met (as described in the First Lien Credit Agreement).</w:t>
      </w:r>
    </w:p>
    <w:p>
      <w:pPr>
        <w:spacing w:after="0" w:line="148"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On July 23, 2019, GOBP Holdings together with another of our wholly owned subsidiary entered into an incremental agreement (the “Incremental Agreement”) to amend the First Lien Credit Agreement. The Incremental Agreement refinanced the term loan outstanding under the First Lien Credit Agreement with a replacement $475.2 million senior secured term loan credit facility with an applicable margin of 3.50% or 3.25% for eurodollar loans and 2.50% or 2.25% for base rate loans, in each case depending on the public corporate family rating of GOBP Holdings. This new term loan matures on October 22, 2025, which is the same maturity date as provided under our First Lien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Credit Agreement</w:t>
      </w:r>
    </w:p>
    <w:p>
      <w:pPr>
        <w:spacing w:after="0" w:line="18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On October 22, 2018, a wholly owned subsidiary of the Company entered into a second lien credit agreement with a syndicate of lenders for a $150.0 million senior term loan. The proceeds were primarily used for retiring the prior second lien credit agreement and paying the dividends related to our 2018 recapitalization.</w:t>
      </w:r>
    </w:p>
    <w:p>
      <w:pPr>
        <w:spacing w:after="0" w:line="141" w:lineRule="exact"/>
        <w:rPr>
          <w:sz w:val="20"/>
          <w:szCs w:val="20"/>
          <w:color w:val="auto"/>
        </w:rPr>
      </w:pPr>
    </w:p>
    <w:p>
      <w:pPr>
        <w:ind w:right="20" w:firstLine="554"/>
        <w:spacing w:after="0" w:line="342" w:lineRule="auto"/>
        <w:rPr>
          <w:sz w:val="20"/>
          <w:szCs w:val="20"/>
          <w:color w:val="auto"/>
        </w:rPr>
      </w:pPr>
      <w:r>
        <w:rPr>
          <w:rFonts w:ascii="Arial" w:cs="Arial" w:eastAsia="Arial" w:hAnsi="Arial"/>
          <w:sz w:val="16"/>
          <w:szCs w:val="16"/>
          <w:color w:val="auto"/>
        </w:rPr>
        <w:t>The term loan under the Second Lien Credit Agreement did not require minimum quarterly principal payment. The Second Lien Credit Agreement did require mandatory prepayment if certain conditions were met and permitted voluntarily prepayment on borrowings without premium or penalty.</w:t>
      </w:r>
    </w:p>
    <w:p>
      <w:pPr>
        <w:spacing w:after="0" w:line="83" w:lineRule="exact"/>
        <w:rPr>
          <w:sz w:val="20"/>
          <w:szCs w:val="20"/>
          <w:color w:val="auto"/>
        </w:rPr>
      </w:pPr>
    </w:p>
    <w:p>
      <w:pPr>
        <w:ind w:firstLine="554"/>
        <w:spacing w:after="0" w:line="342" w:lineRule="auto"/>
        <w:rPr>
          <w:sz w:val="20"/>
          <w:szCs w:val="20"/>
          <w:color w:val="auto"/>
        </w:rPr>
      </w:pPr>
      <w:r>
        <w:rPr>
          <w:rFonts w:ascii="Arial" w:cs="Arial" w:eastAsia="Arial" w:hAnsi="Arial"/>
          <w:sz w:val="16"/>
          <w:szCs w:val="16"/>
          <w:color w:val="auto"/>
        </w:rPr>
        <w:t>On June 24, 2019, we terminated the Second Lien Credit Agreement and repaid in full the outstanding principal balance of $150.0 million and accrued interest of $3.6 million. Accordingly, we wrote off the remaining debt issuance costs of $3.8 million and loan discounts of $1.4 million on June 24,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Covenant</w:t>
      </w:r>
    </w:p>
    <w:p>
      <w:pPr>
        <w:spacing w:after="0" w:line="18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First Lien and Second Lien Credit Agreements contain certain customary representations and warranties, subject to limitations and exceptions, and affirmative and customary covenants. The First Lien and Second Lien Credit Agreements have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of 7.00 to 1:00, tested quarterly if, and only if, the aggregate principal amount from the revolving facility, letters of credit (to the extent not cash collateralized or backstopped or, in the aggregate, not in excess of the greater of $10.0 million and the stated face amount of letters of credit outstanding on the closing date) and swingline loans outstanding and/or issued, as applicable, 35% of the total amount of the revolving credit facility commitments.</w:t>
      </w:r>
    </w:p>
    <w:p>
      <w:pPr>
        <w:spacing w:after="0" w:line="13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June 29, 2019, we were not subject to the first lien secured leverage ratio testing requirement. Additionally, we were in compliance with all applicable covenant requirements as of June 29, 2019 for our First Lien Credit Agreement and as of June 24, 2019, the agreement termination date, for our Second Lien Credit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our debt as of June 29, 2019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Fiscal 2020</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475,188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475,545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60" w:type="dxa"/>
            <w:vAlign w:val="bottom"/>
            <w:gridSpan w:val="2"/>
          </w:tcPr>
          <w:p>
            <w:pPr>
              <w:ind w:left="500"/>
              <w:spacing w:after="0"/>
              <w:rPr>
                <w:sz w:val="20"/>
                <w:szCs w:val="20"/>
                <w:color w:val="auto"/>
              </w:rPr>
            </w:pPr>
            <w:r>
              <w:rPr>
                <w:rFonts w:ascii="Arial" w:cs="Arial" w:eastAsia="Arial" w:hAnsi="Arial"/>
                <w:sz w:val="18"/>
                <w:szCs w:val="18"/>
                <w:color w:val="auto"/>
                <w:w w:val="90"/>
              </w:rPr>
              <w:t>Interest expense, net, consisted of the following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26 Weeks Ended</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460" w:type="dxa"/>
            <w:vAlign w:val="bottom"/>
          </w:tcPr>
          <w:p>
            <w:pPr>
              <w:spacing w:after="0"/>
              <w:rPr>
                <w:sz w:val="13"/>
                <w:szCs w:val="13"/>
                <w:color w:val="auto"/>
              </w:rPr>
            </w:pPr>
          </w:p>
        </w:tc>
        <w:tc>
          <w:tcPr>
            <w:tcW w:w="12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on term loan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13,147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25,240</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on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15,452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13,974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31,890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26,886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13 Weeks Ended</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040" w:type="dxa"/>
            <w:vAlign w:val="bottom"/>
          </w:tcPr>
          <w:p>
            <w:pPr>
              <w:spacing w:after="0"/>
              <w:rPr>
                <w:sz w:val="13"/>
                <w:szCs w:val="13"/>
                <w:color w:val="auto"/>
              </w:rPr>
            </w:pPr>
          </w:p>
        </w:tc>
        <w:tc>
          <w:tcPr>
            <w:tcW w:w="1620" w:type="dxa"/>
            <w:vAlign w:val="bottom"/>
            <w:gridSpan w:val="3"/>
          </w:tcPr>
          <w:p>
            <w:pPr>
              <w:ind w:left="480"/>
              <w:spacing w:after="0" w:line="153" w:lineRule="exact"/>
              <w:rPr>
                <w:sz w:val="20"/>
                <w:szCs w:val="20"/>
                <w:color w:val="auto"/>
              </w:rPr>
            </w:pPr>
            <w:r>
              <w:rPr>
                <w:rFonts w:ascii="Arial" w:cs="Arial" w:eastAsia="Arial" w:hAnsi="Arial"/>
                <w:sz w:val="14"/>
                <w:szCs w:val="14"/>
                <w:b w:val="1"/>
                <w:bCs w:val="1"/>
                <w:color w:val="auto"/>
              </w:rPr>
              <w:t>June 29,</w:t>
            </w:r>
          </w:p>
        </w:tc>
        <w:tc>
          <w:tcPr>
            <w:tcW w:w="108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6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 of debt issuance costs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3,788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20"/>
                <w:szCs w:val="20"/>
                <w:color w:val="auto"/>
              </w:rPr>
              <w:t>—</w:t>
            </w:r>
          </w:p>
        </w:tc>
      </w:tr>
      <w:tr>
        <w:trPr>
          <w:trHeight w:val="261"/>
        </w:trPr>
        <w:tc>
          <w:tcPr>
            <w:tcW w:w="5040" w:type="dxa"/>
            <w:vAlign w:val="bottom"/>
          </w:tcPr>
          <w:p>
            <w:pPr>
              <w:ind w:left="40"/>
              <w:spacing w:after="0"/>
              <w:rPr>
                <w:sz w:val="20"/>
                <w:szCs w:val="20"/>
                <w:color w:val="auto"/>
              </w:rPr>
            </w:pPr>
            <w:r>
              <w:rPr>
                <w:rFonts w:ascii="Arial" w:cs="Arial" w:eastAsia="Arial" w:hAnsi="Arial"/>
                <w:sz w:val="18"/>
                <w:szCs w:val="18"/>
                <w:color w:val="auto"/>
              </w:rPr>
              <w:t>Write off of loan discounts</w:t>
            </w:r>
          </w:p>
        </w:tc>
        <w:tc>
          <w:tcPr>
            <w:tcW w:w="94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1,374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20"/>
                <w:szCs w:val="20"/>
                <w:color w:val="auto"/>
              </w:rPr>
              <w:t>—</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Debt extinguishment and modification costs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5,162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Our 2014 Stock Incentive Plan (the “2014 Plan”) became effective on October 21, 2014. Under the 2014 Plan, we granted stock options and restricted stock units (“RSUs”) to purchase shares of our common stock. Effective as of June 19, 2019, we terminated the 2014 Plan and no further equity awards may be issued under the 2014 Plan. Any outstanding awards granted under the 2014 Plan will remain subject to the terms of the 2014 Plan and the applicable equity award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On June 4, 2019, our board of directors and stockholders approved the 2019 Incentive Plan (the “2019 Plan”). An aggregate of 4,597,862 shares of common stock were reserved for issuance under the 2019 Plan. In addition, on the first day of each fiscal year beginning in 2020 and ending in 2029, the 2019 Plan provides for an annual automatic increase of the shares reserved for issuance in an amount equal to the positive difference between (i) 4% of the outstanding common stock on the last day of the immediately preceding fiscal year and (ii) the plan share reserve on the last day of the immediately preceding fiscal year, or a lesser number as determined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w:t>
      </w:r>
    </w:p>
    <w:p>
      <w:pPr>
        <w:spacing w:after="0" w:line="185"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color w:val="auto"/>
        </w:rPr>
        <w:t>The fair value of option and RSU awards is determined as of the grant date. For time-based options, a Black-Scholes valuation model is utilized. For performance-based options, a Monte Carlo simulation approach implemented in a risk-neutral framework is utilized. For RSUs, the current stock price estimate was utilized prior to the IPO. Following the pricing of the IPO, the stock price based on the market closing price on the date of grant has been utilized to determine the fair value of the awards.</w:t>
      </w:r>
    </w:p>
    <w:p>
      <w:pPr>
        <w:spacing w:after="0" w:line="146" w:lineRule="exact"/>
        <w:rPr>
          <w:sz w:val="20"/>
          <w:szCs w:val="20"/>
          <w:color w:val="auto"/>
        </w:rPr>
      </w:pPr>
    </w:p>
    <w:p>
      <w:pPr>
        <w:ind w:right="100" w:firstLine="528"/>
        <w:spacing w:after="0" w:line="277" w:lineRule="auto"/>
        <w:rPr>
          <w:sz w:val="20"/>
          <w:szCs w:val="20"/>
          <w:color w:val="auto"/>
        </w:rPr>
      </w:pPr>
      <w:r>
        <w:rPr>
          <w:rFonts w:ascii="Arial" w:cs="Arial" w:eastAsia="Arial" w:hAnsi="Arial"/>
          <w:sz w:val="18"/>
          <w:szCs w:val="18"/>
          <w:color w:val="auto"/>
        </w:rPr>
        <w:t>The respective models resulted in a weighted-average fair value for time-based and performance-based options and RSUs granted as of June 29, 2019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29,</w:t>
            </w:r>
          </w:p>
        </w:tc>
      </w:tr>
      <w:tr>
        <w:trPr>
          <w:trHeight w:val="192"/>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options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Performance-based options</w:t>
            </w: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6.80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26.98</w:t>
            </w:r>
          </w:p>
        </w:tc>
      </w:tr>
      <w:tr>
        <w:trPr>
          <w:trHeight w:val="27"/>
        </w:trPr>
        <w:tc>
          <w:tcPr>
            <w:tcW w:w="9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values of time-based options were estimated as of the grant date using the Black-Scholes valuation model with the following assumptions: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26 Weeks Ended</w:t>
            </w:r>
          </w:p>
        </w:tc>
      </w:tr>
      <w:tr>
        <w:trPr>
          <w:trHeight w:val="152"/>
        </w:trPr>
        <w:tc>
          <w:tcPr>
            <w:tcW w:w="9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9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21.66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3.22</w:t>
            </w:r>
          </w:p>
        </w:tc>
      </w:tr>
      <w:tr>
        <w:trPr>
          <w:trHeight w:val="27"/>
        </w:trPr>
        <w:tc>
          <w:tcPr>
            <w:tcW w:w="9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00" w:firstLine="513"/>
        <w:spacing w:after="0" w:line="297" w:lineRule="auto"/>
        <w:rPr>
          <w:sz w:val="20"/>
          <w:szCs w:val="20"/>
          <w:color w:val="auto"/>
        </w:rPr>
      </w:pPr>
      <w:r>
        <w:rPr>
          <w:rFonts w:ascii="Arial" w:cs="Arial" w:eastAsia="Arial" w:hAnsi="Arial"/>
          <w:sz w:val="16"/>
          <w:szCs w:val="16"/>
          <w:color w:val="auto"/>
        </w:rPr>
        <w:t>The valuation models require the input of highly subjective assumptions. Expected volatility of the options is based on companies of similar growth and maturity and our peer group in the industry in which we do business because we do not have sufficient historical volatility data for our own shares. The expected term of the options represents the period of time that options granted were expected to be outstanding. The risk-free rate was based on the U.S. treasury zero-coupon issues, with a remaining term equal to the expected term of the options used in the respective valuation model. In the future, our expected volatility and expected term may change, which could change the grant-date fair value of future awards and, ultimately, the expense we record.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stock option activity under all equity incentive plans during the 26 weeks ended June 29,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Time-Based Options</w:t>
            </w:r>
          </w:p>
        </w:tc>
        <w:tc>
          <w:tcPr>
            <w:tcW w:w="3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Performance-Based Options</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Options</w:t>
            </w: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Options</w:t>
            </w: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Outstanding—December 29, 2018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5,798,375</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7.53</w:t>
            </w:r>
          </w:p>
        </w:tc>
        <w:tc>
          <w:tcPr>
            <w:tcW w:w="3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5,795,330</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1,363,822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21.66</w:t>
            </w:r>
          </w:p>
        </w:tc>
        <w:tc>
          <w:tcPr>
            <w:tcW w:w="3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99,788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7.13</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ind w:left="460"/>
              <w:spacing w:after="0"/>
              <w:rPr>
                <w:sz w:val="20"/>
                <w:szCs w:val="20"/>
                <w:color w:val="auto"/>
              </w:rPr>
            </w:pPr>
            <w:r>
              <w:rPr>
                <w:rFonts w:ascii="Arial" w:cs="Arial" w:eastAsia="Arial" w:hAnsi="Arial"/>
                <w:sz w:val="18"/>
                <w:szCs w:val="18"/>
                <w:color w:val="auto"/>
              </w:rPr>
              <w:t>Forfeitures</w:t>
            </w:r>
          </w:p>
        </w:tc>
        <w:tc>
          <w:tcPr>
            <w:tcW w:w="1360" w:type="dxa"/>
            <w:vAlign w:val="bottom"/>
          </w:tcPr>
          <w:p>
            <w:pPr>
              <w:jc w:val="right"/>
              <w:spacing w:after="0"/>
              <w:rPr>
                <w:sz w:val="20"/>
                <w:szCs w:val="20"/>
                <w:color w:val="auto"/>
              </w:rPr>
            </w:pPr>
            <w:r>
              <w:rPr>
                <w:rFonts w:ascii="Arial" w:cs="Arial" w:eastAsia="Arial" w:hAnsi="Arial"/>
                <w:sz w:val="18"/>
                <w:szCs w:val="18"/>
                <w:color w:val="auto"/>
              </w:rPr>
              <w:t>(27,635)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(51,775)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41"/>
        </w:trPr>
        <w:tc>
          <w:tcPr>
            <w:tcW w:w="47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Outstanding—June 29, 2019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7,104,562</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10.24</w:t>
            </w:r>
          </w:p>
        </w:tc>
        <w:tc>
          <w:tcPr>
            <w:tcW w:w="3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5,843,343</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exercisable at June 29, 2019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4,188,061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76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4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vested and expected to vest at June 29, 2019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7,004,655</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5,597,528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w w:val="93"/>
              </w:rPr>
              <w:t>(1)</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55" w:lineRule="exact"/>
        <w:rPr>
          <w:sz w:val="20"/>
          <w:szCs w:val="20"/>
          <w:color w:val="auto"/>
        </w:rPr>
      </w:pPr>
    </w:p>
    <w:p>
      <w:pPr>
        <w:ind w:left="340" w:right="100" w:hanging="332"/>
        <w:spacing w:after="0" w:line="274"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performance-based options had been vested as of June 29, 2019. The number above reflects the 5.8 million unvested outstanding performance-based options, net of estimated forfeitures.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RSU activity under all equity incentive plans during the 26 weeks ended June 29,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 December 29,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80,820</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192,296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Canceled / forfeited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June 29,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230,652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On June 4, 2019, our board of directors approved the grant of 1,364,348 options with an exercise price equal to the IPO price and 161,221 RSUs under our 2019 Plan. These grants were effective on the pricing of the IPO, with respect to options, and upon the effectiveness of our Registration Statement on Form S-8, with respect to RSUs. Our IPO price was $22.00 per share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color w:val="auto"/>
        </w:rPr>
        <w:t>We recognize compensation expense on options and RSUs by amortizing the grant date fair value over the expected vesting period to the extent we determine the vesting of the grant is probable.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Options</w:t>
      </w:r>
    </w:p>
    <w:p>
      <w:pPr>
        <w:spacing w:after="0" w:line="144" w:lineRule="exact"/>
        <w:rPr>
          <w:sz w:val="20"/>
          <w:szCs w:val="20"/>
          <w:color w:val="auto"/>
        </w:rPr>
      </w:pPr>
    </w:p>
    <w:p>
      <w:pPr>
        <w:ind w:right="100" w:firstLine="541"/>
        <w:spacing w:after="0" w:line="255" w:lineRule="auto"/>
        <w:rPr>
          <w:sz w:val="20"/>
          <w:szCs w:val="20"/>
          <w:color w:val="auto"/>
        </w:rPr>
      </w:pPr>
      <w:r>
        <w:rPr>
          <w:rFonts w:ascii="Arial" w:cs="Arial" w:eastAsia="Arial" w:hAnsi="Arial"/>
          <w:sz w:val="18"/>
          <w:szCs w:val="18"/>
          <w:color w:val="auto"/>
        </w:rPr>
        <w:t>We did not record compensation expense for time-based options held by employees granted prior to our IPO because involuntary termination, change in control or initial public offering were not deemed probable. These time-based options were subject to a post-termination repurchase right by us until the aforementioned contingent events occurred. As a result, other than in limited circumstances, stock issued upon the exercise of these options could be repurchased at our discretion. This repurchase feature resulted in deferred stock-based compensation expenses on these options. Accordingly, upon the completion of our IPO, we began recognizing stock-based compensation expense related to these outstanding time-based options as the contingent event had occurred and the repurchase feature had lapsed.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During the 13 and 26 weeks ended June 29, 2019, we recognized stock-based compensation expense totaling $22.5 million for all outstanding time-based options, of which $22.4 million related to those granted prior to the IPO. Unamortized compensation cost was $13.2 million as of June 29, 2019, which is expected to be amortized over a weighted average period of 3.49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44"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We determined that the ultimate vesting of the 5,843,343 shares of outstanding performance-based options was not probable because the performance target’s achievement was not probable as of June 29, 2019 and, accordingly, did not recognize any expense related to these awards. Unamortized compensation cost was $26.1 million for outstanding performance-based options as of June 29, 2019, which will be amortized over the remaining requisite service period if and when we determine that vesting is probable.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jc w:val="both"/>
        <w:ind w:right="540" w:firstLine="500"/>
        <w:spacing w:after="0" w:line="286" w:lineRule="auto"/>
        <w:rPr>
          <w:sz w:val="20"/>
          <w:szCs w:val="20"/>
          <w:color w:val="auto"/>
        </w:rPr>
      </w:pPr>
      <w:r>
        <w:rPr>
          <w:rFonts w:ascii="Arial" w:cs="Arial" w:eastAsia="Arial" w:hAnsi="Arial"/>
          <w:sz w:val="17"/>
          <w:szCs w:val="17"/>
          <w:color w:val="auto"/>
        </w:rPr>
        <w:t>We recognized compensation expense for RSUs held by directors and employees of $0.2 million and $0.3 million in the 13 and 26 weeks ended June 29, 2019, respectively, and $0.1 million and $0.2 million in the same periods of 2018. Unamortized compensation expense for the RSUs was $5.3 million as of June 29, 2019, which is expected to be amortized over a weighted average period of 2.00 years.</w:t>
      </w:r>
    </w:p>
    <w:p>
      <w:pPr>
        <w:spacing w:after="0" w:line="125"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For time-based options and RSUs that were outstanding on the dividend dates of June 23, 2016 and October 22, 2018 and that are expected to vest in fiscal year 2019 and beyond, we intend to make dividend payments as these time-based options and RSUs vest. Pursuant to the 2014 Plan, if we are unable to make those payments, we may instead elect to reduce the per share exercise price of each such option by an amount equal to the dividend amount in lieu of making the applicable option payment. As such, our dividends are not considered declared and payable and are not accrued as a liability in our condensed consolidated balance sheet as of June 29, 2019. We paid an immaterial amount of dividends during the 13 and 26 weeks ended June 29, 2019, which was included in the stock-based compensation expense.</w:t>
      </w:r>
    </w:p>
    <w:p>
      <w:pPr>
        <w:spacing w:after="0" w:line="25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(benefit) and effective tax rate for the periods presented were as follows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4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22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2,748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4,832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tax rate is higher than the U.S. statutory tax rate of 21% primarily due to state income taxes and permanently nondeductible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expenses. The changes in the effective tax rates for the 13 and 26 weeks ended June 29, 2019 compared to the corresponding periods of 2018 were mainly due to the decrease in forecasted income for 2019, driven primarily by the recognition of stock-based compensation expense in connection with our IPO as discussed in Note 6. As a result, this increased our estimated annual effective tax rate for 2019 and thus the effective tax rates for the 13 and 26 weeks ended June 29, 2019.</w:t>
      </w:r>
    </w:p>
    <w:p>
      <w:pPr>
        <w:spacing w:after="0" w:line="14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policy is to recognize interest and penalties associated with uncertain tax benefits as part of the income tax provision and include accrued interest and penalties with the related income tax liability on our condensed consolidated balance sheets. To date, we have not recognized any interest and penalties in our condensed consolidated statements of operations, nor have we accrued for or made payments for interest and penalties. We had no unrecognized tax benefits as of June 29, 2019 and December 29, 2018.</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360" w:firstLine="513"/>
        <w:spacing w:after="0" w:line="277" w:lineRule="auto"/>
        <w:rPr>
          <w:sz w:val="20"/>
          <w:szCs w:val="20"/>
          <w:color w:val="auto"/>
        </w:rPr>
      </w:pPr>
      <w:r>
        <w:rPr>
          <w:rFonts w:ascii="Arial" w:cs="Arial" w:eastAsia="Arial" w:hAnsi="Arial"/>
          <w:sz w:val="18"/>
          <w:szCs w:val="18"/>
          <w:color w:val="auto"/>
        </w:rPr>
        <w:t>We leased property from entities affiliated with certain of our non-controlling stockholders for 16 store locations and one warehouse location as of June 29, 2019 and for 19 store locations and one warehouse location as of June 30, 2018.</w:t>
      </w:r>
    </w:p>
    <w:p>
      <w:pPr>
        <w:spacing w:after="0" w:line="130" w:lineRule="exact"/>
        <w:rPr>
          <w:sz w:val="20"/>
          <w:szCs w:val="20"/>
          <w:color w:val="auto"/>
        </w:rPr>
      </w:pPr>
    </w:p>
    <w:p>
      <w:pPr>
        <w:ind w:right="280" w:firstLine="513"/>
        <w:spacing w:after="0" w:line="264" w:lineRule="auto"/>
        <w:rPr>
          <w:sz w:val="20"/>
          <w:szCs w:val="20"/>
          <w:color w:val="auto"/>
        </w:rPr>
      </w:pPr>
      <w:r>
        <w:rPr>
          <w:rFonts w:ascii="Arial" w:cs="Arial" w:eastAsia="Arial" w:hAnsi="Arial"/>
          <w:sz w:val="18"/>
          <w:szCs w:val="18"/>
          <w:color w:val="auto"/>
        </w:rPr>
        <w:t>As of June 29, 2019 and June 30, 2018, one independent operator store was operated by family members of one employee. Independent operator commissions for this store totaled $0.3 million for each of the 13 weeks ended June 29, 2019 and June 30, 2018, and $0.6 million for each of the 26 weeks ended June 29, 2019 and June 30, 2018.</w:t>
      </w:r>
    </w:p>
    <w:p>
      <w:pPr>
        <w:spacing w:after="0" w:line="141" w:lineRule="exact"/>
        <w:rPr>
          <w:sz w:val="20"/>
          <w:szCs w:val="20"/>
          <w:color w:val="auto"/>
        </w:rPr>
      </w:pPr>
    </w:p>
    <w:p>
      <w:pPr>
        <w:ind w:right="340" w:firstLine="513"/>
        <w:spacing w:after="0" w:line="277" w:lineRule="auto"/>
        <w:rPr>
          <w:sz w:val="20"/>
          <w:szCs w:val="20"/>
          <w:color w:val="auto"/>
        </w:rPr>
      </w:pPr>
      <w:r>
        <w:rPr>
          <w:rFonts w:ascii="Arial" w:cs="Arial" w:eastAsia="Arial" w:hAnsi="Arial"/>
          <w:sz w:val="18"/>
          <w:szCs w:val="18"/>
          <w:color w:val="auto"/>
        </w:rPr>
        <w:t>We offer interest-bearing notes to independent operators and the gross receivable due from these entities was $33.1 million and $27.8 million as of June 29, 2019 and December 29, 2018, respectively. See Note 2 for additional information.</w:t>
      </w:r>
    </w:p>
    <w:p>
      <w:pPr>
        <w:spacing w:after="0" w:line="24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40" w:firstLine="513"/>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consolidated financial statements taken as a whole.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Attributable to Common Stockholders</w:t>
      </w:r>
    </w:p>
    <w:p>
      <w:pPr>
        <w:spacing w:after="0" w:line="185" w:lineRule="exact"/>
        <w:rPr>
          <w:sz w:val="20"/>
          <w:szCs w:val="20"/>
          <w:color w:val="auto"/>
        </w:rPr>
      </w:pPr>
    </w:p>
    <w:p>
      <w:pPr>
        <w:ind w:right="80" w:firstLine="513"/>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earnings per share attributable to common stockholders is as follows (dollars and shares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stockholders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7,286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12,811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of common stock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68,471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Effect of dilutive RSUs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of common stock - diluted (1) (2)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68,499</w:t>
            </w:r>
          </w:p>
        </w:tc>
      </w:tr>
      <w:tr>
        <w:trPr>
          <w:trHeight w:val="324"/>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(net loss) per share attributable to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0.19</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55" w:lineRule="exact"/>
        <w:rPr>
          <w:sz w:val="20"/>
          <w:szCs w:val="20"/>
          <w:color w:val="auto"/>
        </w:rPr>
      </w:pPr>
    </w:p>
    <w:p>
      <w:pPr>
        <w:ind w:left="460" w:right="100" w:hanging="438"/>
        <w:spacing w:after="0" w:line="27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discussed in Note 6, we determined that the ultimate vesting of the 5.8 million granted but not yet vested performance-based options was not probable as of June 29, 2019 and June 30, 2018. Accordingly, these options were not included in the weighted-average diluted shares for the periods presented as the ultimate vesting of the performance options was deemed an unresolved contingent event. If and when vesting occurs, any vested performance-based options will be included in the weighted-average diluted shares at that time. See Note 6 for additional information.</w:t>
      </w:r>
    </w:p>
    <w:p>
      <w:pPr>
        <w:spacing w:after="0" w:line="38" w:lineRule="exact"/>
        <w:rPr>
          <w:rFonts w:ascii="Arial" w:cs="Arial" w:eastAsia="Arial" w:hAnsi="Arial"/>
          <w:sz w:val="16"/>
          <w:szCs w:val="16"/>
          <w:color w:val="auto"/>
        </w:rPr>
      </w:pPr>
    </w:p>
    <w:p>
      <w:pPr>
        <w:jc w:val="both"/>
        <w:ind w:left="460" w:right="200" w:hanging="438"/>
        <w:spacing w:after="0" w:line="257"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weighted-average diluted shares for the 13 and 26 weeks ended June 30, 2018 did not include time-based options as the occurrence of a contingent event (involuntary termination, change in control or initial public offering) was not deemed probable. See Note 6 for more information. Upon the completion of the IPO in June 2019, the contingent event had occurred and therefore time-based options were included in the weighted-average diluted shares for the 13 and 26 weeks ended June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7" w:lineRule="exact"/>
        <w:rPr>
          <w:sz w:val="20"/>
          <w:szCs w:val="20"/>
          <w:color w:val="auto"/>
        </w:rPr>
      </w:pPr>
    </w:p>
    <w:p>
      <w:pPr>
        <w:ind w:left="460" w:right="240"/>
        <w:spacing w:after="0" w:line="340" w:lineRule="auto"/>
        <w:rPr>
          <w:sz w:val="20"/>
          <w:szCs w:val="20"/>
          <w:color w:val="auto"/>
        </w:rPr>
      </w:pPr>
      <w:r>
        <w:rPr>
          <w:rFonts w:ascii="Arial" w:cs="Arial" w:eastAsia="Arial" w:hAnsi="Arial"/>
          <w:sz w:val="17"/>
          <w:szCs w:val="17"/>
          <w:color w:val="auto"/>
        </w:rPr>
        <w:t>29, 2019. However, these time-based options did not result in an impact to our diluted net loss per shares due to their anti-dilutive effect given our net loss position for the 13 and 26 weeks ended June 29, 2019.</w:t>
      </w:r>
    </w:p>
    <w:p>
      <w:pPr>
        <w:spacing w:after="0" w:line="16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(net loss) per share because their effect would have been anti-dilutive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5420" w:type="dxa"/>
            <w:vAlign w:val="bottom"/>
          </w:tcPr>
          <w:p>
            <w:pPr>
              <w:spacing w:after="0"/>
              <w:rPr>
                <w:sz w:val="13"/>
                <w:szCs w:val="13"/>
                <w:color w:val="auto"/>
              </w:rPr>
            </w:pPr>
          </w:p>
        </w:tc>
        <w:tc>
          <w:tcPr>
            <w:tcW w:w="14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29,</w:t>
            </w:r>
          </w:p>
        </w:tc>
        <w:tc>
          <w:tcPr>
            <w:tcW w:w="15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29,</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5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Options</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1"/>
                <w:szCs w:val="21"/>
                <w:color w:val="auto"/>
              </w:rPr>
            </w:pP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6,014</w:t>
            </w: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5,897</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89"/>
        </w:trPr>
        <w:tc>
          <w:tcPr>
            <w:tcW w:w="5420" w:type="dxa"/>
            <w:vAlign w:val="bottom"/>
          </w:tcPr>
          <w:p>
            <w:pPr>
              <w:spacing w:after="0"/>
              <w:rPr>
                <w:sz w:val="24"/>
                <w:szCs w:val="24"/>
                <w:color w:val="auto"/>
              </w:rPr>
            </w:pPr>
          </w:p>
        </w:tc>
        <w:tc>
          <w:tcPr>
            <w:tcW w:w="1360" w:type="dxa"/>
            <w:vAlign w:val="bottom"/>
          </w:tcPr>
          <w:p>
            <w:pPr>
              <w:jc w:val="right"/>
              <w:ind w:right="89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240" w:top="125" w:right="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firstLine="500"/>
        <w:spacing w:after="0" w:line="293" w:lineRule="auto"/>
        <w:rPr>
          <w:sz w:val="20"/>
          <w:szCs w:val="20"/>
          <w:color w:val="auto"/>
        </w:rPr>
      </w:pPr>
      <w:r>
        <w:rPr>
          <w:rFonts w:ascii="Arial" w:cs="Arial" w:eastAsia="Arial" w:hAnsi="Arial"/>
          <w:sz w:val="16"/>
          <w:szCs w:val="16"/>
          <w:i w:val="1"/>
          <w:iCs w:val="1"/>
          <w:color w:val="auto"/>
        </w:rPr>
        <w:t>You should read the following discussion in conjunction with the condensed consolidated financial statements and related notes thereto included elsewhere in this Quarterly Report on Form 10-Q and our audited consolidated financial statements and notes thereto and management’s discussion and analysis of financial condition and results of operations for the fiscal year ended December 29, 2018 included in the final prospectus for our initial public offering dated as of June 19, 2019, and filed with the SEC pursuant to Rule 424(b) under the Securities Act on June 20, 2019 (File No. 333-231428).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165"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second quarter of 2019 and the second quarter of 2018 refer to the 13 weeks ended June 29, 2019 and June 30, 2018,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15 consecutive years of positive comparable store sales growth. At the end of the second quarter of 2019, we had 330 stores in California, Washington, Oregon, Pennsylvania, Idaho and Nevada.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89"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In June 2019, we completed an initial public offering (“IPO”) of 19,765,625 shares of our common stock at a public offering price of $22.00 per share for net proceeds of $407.7 million, after deducting underwriting discounts and commissions of $27.1 million. We also incurred estimated offering costs payable by us of $7.2 million of which we had paid out a total of $5.1 million as of June 29, 2019. We expect to pay out the remainder of these estimated offering costs in the third fiscal quarter of 2019. The shares of common stock sold in the IPO and the net proceeds from the IPO included the full exercise of the underwriters’ option to purchase additional shares.</w:t>
      </w:r>
    </w:p>
    <w:p>
      <w:pPr>
        <w:spacing w:after="0" w:line="148"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connection with the closing of our IPO, we repaid in full the $150.0 million outstanding principal amount and $3.6 million accrued interest on our second lien term loan and terminated the related loan agreement. Additionally, using the remainder of the net proceeds, together with excess cash on hand, we prepaid a portion of our term loan outstanding under our first lien credit agreement totaling $248.0 million and $3.8 million of accrued interest on our first lien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of our second quarter of 2019 compared to the second quarter of 2018 are as follows:</w:t>
      </w:r>
    </w:p>
    <w:p>
      <w:pPr>
        <w:spacing w:after="0" w:line="144" w:lineRule="exact"/>
        <w:rPr>
          <w:sz w:val="20"/>
          <w:szCs w:val="20"/>
          <w:color w:val="auto"/>
        </w:rPr>
      </w:pPr>
    </w:p>
    <w:p>
      <w:pPr>
        <w:ind w:left="820" w:right="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sales increased by 12.2% to $645.3 million from $575.1 million in the second quarter of fiscal 2018; comparable store sales increased by 5.8% over a 2.7% increase last year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opened eight new stores and closed one, ending the quarter with 330 stores in six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loss was $10.6 million, or $(0.15) per diluted share, compared to net income of $7.3 million, or $0.11 per diluted share in the second quarter of fiscal 2018.</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increased 15.0% to $45.0 million compared to $39.1 million in the second quarter of fiscal 2018.</w:t>
      </w:r>
    </w:p>
    <w:p>
      <w:pPr>
        <w:spacing w:after="0" w:line="41" w:lineRule="exact"/>
        <w:rPr>
          <w:rFonts w:ascii="Arial" w:cs="Arial" w:eastAsia="Arial" w:hAnsi="Arial"/>
          <w:sz w:val="18"/>
          <w:szCs w:val="18"/>
          <w:color w:val="auto"/>
        </w:rPr>
      </w:pPr>
    </w:p>
    <w:p>
      <w:pPr>
        <w:ind w:left="820" w:right="380" w:hanging="326"/>
        <w:spacing w:after="0" w:line="21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increased 12.1% to $14.5 million, or $0.20 per diluted share, compared to $12.9 million, or $0.19 per diluted share last year.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ind w:left="340"/>
        <w:spacing w:after="0"/>
        <w:rPr>
          <w:sz w:val="20"/>
          <w:szCs w:val="20"/>
          <w:color w:val="auto"/>
        </w:rPr>
      </w:pPr>
      <w:r>
        <w:rPr>
          <w:rFonts w:ascii="Arial" w:cs="Arial" w:eastAsia="Arial" w:hAnsi="Arial"/>
          <w:sz w:val="7"/>
          <w:szCs w:val="7"/>
          <w:b w:val="1"/>
          <w:bCs w:val="1"/>
          <w:color w:val="auto"/>
        </w:rPr>
        <w:t>______________________________________</w:t>
      </w:r>
    </w:p>
    <w:p>
      <w:pPr>
        <w:spacing w:after="0" w:line="136" w:lineRule="exact"/>
        <w:rPr>
          <w:sz w:val="20"/>
          <w:szCs w:val="20"/>
          <w:color w:val="auto"/>
        </w:rPr>
      </w:pPr>
    </w:p>
    <w:p>
      <w:pPr>
        <w:ind w:left="660" w:right="200" w:hanging="328"/>
        <w:spacing w:after="0" w:line="26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and Adjusted net income are non-GAAP financial measures and should be considered as a supplement to, and not as a substitute for, or superior to, financial measures calculated in accordance with generally accepted accounting principles in the United States of America (“GAAP”). See GAAP to non-GAAP reconciliation in “Results of Operations” section below.</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for the periods presented, both in dollars and as a percentage of our sales (amounts in thousands, except for percentages and store counts):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26 Weeks Ended</w:t>
            </w:r>
          </w:p>
        </w:tc>
      </w:tr>
      <w:tr>
        <w:trPr>
          <w:trHeight w:val="264"/>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575,058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1,125,616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446,569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399,943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865,823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781,932</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198,720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343,684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157,641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139,743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276,479</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11,235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22,413</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192,985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151,107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358,346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299,155</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44,529</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26,886</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Debt extinguishment and modification</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10,034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17,643</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r>
      <w:tr>
        <w:trPr>
          <w:trHeight w:val="257"/>
        </w:trPr>
        <w:tc>
          <w:tcPr>
            <w:tcW w:w="50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7,286</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12,811</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9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13 Weeks Ended</w:t>
            </w:r>
          </w:p>
        </w:tc>
        <w:tc>
          <w:tcPr>
            <w:tcW w:w="12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26 Weeks Ended</w:t>
            </w: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2"/>
                <w:szCs w:val="22"/>
                <w:color w:val="auto"/>
              </w:rPr>
            </w:pP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300" w:type="dxa"/>
            <w:vAlign w:val="bottom"/>
          </w:tcPr>
          <w:p>
            <w:pPr>
              <w:jc w:val="right"/>
              <w:ind w:right="252"/>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Sales (1)</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extinguishment and modification</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940" w:type="dxa"/>
            <w:vAlign w:val="bottom"/>
          </w:tcPr>
          <w:p>
            <w:pPr>
              <w:spacing w:after="0"/>
              <w:rPr>
                <w:sz w:val="20"/>
                <w:szCs w:val="20"/>
                <w:color w:val="auto"/>
              </w:rPr>
            </w:pPr>
            <w:r>
              <w:rPr>
                <w:rFonts w:ascii="Arial" w:cs="Arial" w:eastAsia="Arial" w:hAnsi="Arial"/>
                <w:sz w:val="18"/>
                <w:szCs w:val="18"/>
                <w:color w:val="auto"/>
              </w:rPr>
              <w:t>(1)   Components may not sum to totals due to rounding.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13 Weeks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972"/>
              <w:spacing w:after="0"/>
              <w:rPr>
                <w:sz w:val="20"/>
                <w:szCs w:val="20"/>
                <w:color w:val="auto"/>
              </w:rPr>
            </w:pPr>
            <w:r>
              <w:rPr>
                <w:rFonts w:ascii="Arial" w:cs="Arial" w:eastAsia="Arial" w:hAnsi="Arial"/>
                <w:sz w:val="14"/>
                <w:szCs w:val="14"/>
                <w:b w:val="1"/>
                <w:bCs w:val="1"/>
                <w:color w:val="auto"/>
              </w:rPr>
              <w:t>26 Weeks Ended</w:t>
            </w: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2"/>
                <w:szCs w:val="22"/>
                <w:color w:val="auto"/>
              </w:rPr>
            </w:pP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29, 2019</w:t>
            </w:r>
          </w:p>
        </w:tc>
        <w:tc>
          <w:tcPr>
            <w:tcW w:w="220" w:type="dxa"/>
            <w:vAlign w:val="bottom"/>
          </w:tcPr>
          <w:p>
            <w:pPr>
              <w:spacing w:after="0"/>
              <w:rPr>
                <w:sz w:val="22"/>
                <w:szCs w:val="22"/>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Financial and Operation Data </w:t>
            </w:r>
            <w:r>
              <w:rPr>
                <w:rFonts w:ascii="Arial" w:cs="Arial" w:eastAsia="Arial" w:hAnsi="Arial"/>
                <w:sz w:val="18"/>
                <w:szCs w:val="18"/>
                <w:color w:val="auto"/>
              </w:rPr>
              <w:t>(1)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Number of new stores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stores open at end of period</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Comparable store sales growth (2)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(3)</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35,670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48,234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67,726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Adjusted EBITDA (3)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45,007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39,122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84,130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(3)</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140"/>
        </w:trPr>
        <w:tc>
          <w:tcPr>
            <w:tcW w:w="494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00" w:hanging="492"/>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the measures of financial performance presented in our condensed consolidated financial statements, we use certain non-GAAP measures to establish budgets and operational goals, and to evaluate and manage our business internally. We believe these key non-GAAP measures included in this table provide investors with consistency and comparability with our past financial performance and facilitates period-to-period comparisons of our operating results and our competitors’ operating results.</w:t>
      </w:r>
    </w:p>
    <w:p>
      <w:pPr>
        <w:spacing w:after="0" w:line="38" w:lineRule="exact"/>
        <w:rPr>
          <w:rFonts w:ascii="Arial" w:cs="Arial" w:eastAsia="Arial" w:hAnsi="Arial"/>
          <w:sz w:val="18"/>
          <w:szCs w:val="18"/>
          <w:color w:val="auto"/>
        </w:rPr>
      </w:pPr>
    </w:p>
    <w:p>
      <w:pPr>
        <w:ind w:left="500" w:right="40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Comparable store sales consist of sales from our stores beginning on the first day of the fourteenth full fiscal month following the store’s opening, which is when we believe comparability is achieved.</w:t>
      </w:r>
    </w:p>
    <w:p>
      <w:pPr>
        <w:spacing w:after="0" w:line="21"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table provides a reconciliation from our net income to EBITDA and adjusted EBITDA, net income to adjusted net income, and our GAAP to non-GAAP earnings (net loss) per share for the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2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3"/>
                <w:szCs w:val="13"/>
                <w:color w:val="auto"/>
              </w:rPr>
            </w:pPr>
          </w:p>
        </w:tc>
        <w:tc>
          <w:tcPr>
            <w:tcW w:w="11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June 29,</w:t>
            </w:r>
          </w:p>
        </w:tc>
        <w:tc>
          <w:tcPr>
            <w:tcW w:w="260" w:type="dxa"/>
            <w:vAlign w:val="bottom"/>
          </w:tcPr>
          <w:p>
            <w:pPr>
              <w:spacing w:after="0"/>
              <w:rPr>
                <w:sz w:val="13"/>
                <w:szCs w:val="13"/>
                <w:color w:val="auto"/>
              </w:rPr>
            </w:pPr>
          </w:p>
        </w:tc>
        <w:tc>
          <w:tcPr>
            <w:tcW w:w="110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4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12,811</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15,452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13,974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26,886</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4,832</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23,197</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67,726</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Stock-based compensation expenses (a)</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extinguishment and modification costs (b)</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Non-cash rent (c)</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3,523</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and gain or loss on disposition (d)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New store pre-opening expenses (e)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accounts receivable reserves (f)</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 (g)</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45,007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39,122</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75,234</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724"/>
        </w:trPr>
        <w:tc>
          <w:tcPr>
            <w:tcW w:w="4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2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3"/>
                <w:szCs w:val="13"/>
                <w:color w:val="auto"/>
              </w:rPr>
            </w:pPr>
          </w:p>
        </w:tc>
        <w:tc>
          <w:tcPr>
            <w:tcW w:w="11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June 29,</w:t>
            </w:r>
          </w:p>
        </w:tc>
        <w:tc>
          <w:tcPr>
            <w:tcW w:w="260" w:type="dxa"/>
            <w:vAlign w:val="bottom"/>
          </w:tcPr>
          <w:p>
            <w:pPr>
              <w:spacing w:after="0"/>
              <w:rPr>
                <w:sz w:val="13"/>
                <w:szCs w:val="13"/>
                <w:color w:val="auto"/>
              </w:rPr>
            </w:pPr>
          </w:p>
        </w:tc>
        <w:tc>
          <w:tcPr>
            <w:tcW w:w="110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4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12,811</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Stock-based compensation expenses (a)</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extinguishment and modification costs (b)</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Non-cash rent (c)</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3,523</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and gain or loss on disposition (d)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New store pre-opening expenses (e)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accounts receivable reserves (f)</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 (g)</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purchase accounting assets and deferred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costs (h)</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4,274</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Tax effect of total adjustments (i)</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12,897</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24,448</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earnings (net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adjusted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0.36</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r>
      <w:tr>
        <w:trPr>
          <w:trHeight w:val="324"/>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68,475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68,471</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68,499</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Non-GAAP weighted average shares outstanding</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68,475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68,471</w:t>
            </w:r>
          </w:p>
        </w:tc>
      </w:tr>
      <w:tr>
        <w:trPr>
          <w:trHeight w:val="243"/>
        </w:trPr>
        <w:tc>
          <w:tcPr>
            <w:tcW w:w="4500" w:type="dxa"/>
            <w:vAlign w:val="bottom"/>
          </w:tcPr>
          <w:p>
            <w:pPr>
              <w:ind w:left="260"/>
              <w:spacing w:after="0"/>
              <w:rPr>
                <w:sz w:val="20"/>
                <w:szCs w:val="20"/>
                <w:color w:val="auto"/>
              </w:rPr>
            </w:pPr>
            <w:r>
              <w:rPr>
                <w:rFonts w:ascii="Arial" w:cs="Arial" w:eastAsia="Arial" w:hAnsi="Arial"/>
                <w:sz w:val="18"/>
                <w:szCs w:val="18"/>
                <w:color w:val="auto"/>
              </w:rPr>
              <w:t>Diluted (j)</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68,512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68,499</w:t>
            </w:r>
          </w:p>
        </w:tc>
      </w:tr>
      <w:tr>
        <w:trPr>
          <w:trHeight w:val="608"/>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820"/>
          </w:cols>
          <w:pgMar w:left="240" w:top="125" w:right="8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___________________________</w:t>
      </w:r>
    </w:p>
    <w:p>
      <w:pPr>
        <w:spacing w:after="0" w:line="58" w:lineRule="exact"/>
        <w:rPr>
          <w:sz w:val="20"/>
          <w:szCs w:val="20"/>
          <w:color w:val="auto"/>
        </w:rPr>
      </w:pPr>
    </w:p>
    <w:p>
      <w:pPr>
        <w:ind w:left="980" w:right="140" w:hanging="486"/>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immaterial cash dividends paid in the second quarter and the first half of 2019 and 2018 in respect of vested options as a result of dividends declared in connection with our recapitalizations in 2018 and 2016. As of June 29, 2019, we expect to pay an additional $4.2 million in the aggregate on options as they vest in respect of such dividends, of which $3.4 million is expected to be paid in the remainder of fiscal 2019.</w:t>
      </w:r>
    </w:p>
    <w:p>
      <w:pPr>
        <w:spacing w:after="0" w:line="38" w:lineRule="exact"/>
        <w:rPr>
          <w:rFonts w:ascii="Arial" w:cs="Arial" w:eastAsia="Arial" w:hAnsi="Arial"/>
          <w:sz w:val="18"/>
          <w:szCs w:val="18"/>
          <w:color w:val="auto"/>
        </w:rPr>
      </w:pPr>
    </w:p>
    <w:p>
      <w:pPr>
        <w:ind w:left="980" w:right="220" w:hanging="486"/>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write off of debt issuance costs and debt discounts related to the full repayment of the principal outstanding for our second lien term loan (“Second Lien Term Loan”) and the termination of the related agreement (“Second Lien Credit Agreement). See Note 5 to the condensed consolidated financial statements.</w:t>
      </w:r>
    </w:p>
    <w:p>
      <w:pPr>
        <w:spacing w:after="0" w:line="32"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spacing w:after="0" w:line="32"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impairment charges with respect to planned store closures and gains or losses on dispositions of assets in connection with store transitions to new IOs.</w:t>
      </w:r>
    </w:p>
    <w:p>
      <w:pPr>
        <w:spacing w:after="0" w:line="21"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marketing, occupancy and other expenses incurred in connection with store grand openings, including costs that will be the IO’s responsibility after store opening.</w:t>
      </w:r>
    </w:p>
    <w:p>
      <w:pPr>
        <w:spacing w:after="0" w:line="2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non-cash changes in reserves related to our IO notes and accounts receivable.</w:t>
      </w:r>
    </w:p>
    <w:p>
      <w:pPr>
        <w:spacing w:after="0" w:line="76" w:lineRule="exact"/>
        <w:rPr>
          <w:rFonts w:ascii="Arial" w:cs="Arial" w:eastAsia="Arial" w:hAnsi="Arial"/>
          <w:sz w:val="18"/>
          <w:szCs w:val="18"/>
          <w:color w:val="auto"/>
        </w:rPr>
      </w:pPr>
    </w:p>
    <w:p>
      <w:pPr>
        <w:ind w:left="980" w:right="22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non-recurring, non-cash or discrete items as determined by management, including personnel-related costs, strategic project costs, legal expenses, transaction related costs and miscellaneous costs.</w:t>
      </w:r>
    </w:p>
    <w:p>
      <w:pPr>
        <w:spacing w:after="0" w:line="21" w:lineRule="exact"/>
        <w:rPr>
          <w:rFonts w:ascii="Arial" w:cs="Arial" w:eastAsia="Arial" w:hAnsi="Arial"/>
          <w:sz w:val="18"/>
          <w:szCs w:val="18"/>
          <w:color w:val="auto"/>
        </w:rPr>
      </w:pPr>
    </w:p>
    <w:p>
      <w:pPr>
        <w:ind w:left="980" w:right="20" w:hanging="486"/>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2014, affiliates of Hellman &amp; Friedman LLC (“H&amp;F”) acquired approximately 80% of our common stock from Berkshire Partners (the “2014 H&amp;F Acquisition”). The amount here represents the amortization of debt issuance costs and incremental amortization of an asset step-</w:t>
      </w:r>
    </w:p>
    <w:p>
      <w:pPr>
        <w:ind w:left="980" w:right="140"/>
        <w:spacing w:after="0" w:line="261" w:lineRule="auto"/>
        <w:rPr>
          <w:rFonts w:ascii="Arial" w:cs="Arial" w:eastAsia="Arial" w:hAnsi="Arial"/>
          <w:sz w:val="16"/>
          <w:szCs w:val="16"/>
          <w:color w:val="auto"/>
        </w:rPr>
      </w:pPr>
      <w:r>
        <w:rPr>
          <w:rFonts w:ascii="Arial" w:cs="Arial" w:eastAsia="Arial" w:hAnsi="Arial"/>
          <w:sz w:val="18"/>
          <w:szCs w:val="18"/>
          <w:color w:val="auto"/>
        </w:rPr>
        <w:t>up resulting from purchase price accounting related to the 2014 H&amp;F Acquisition which included trademarks, customer lists and below-market leases.</w:t>
      </w:r>
    </w:p>
    <w:p>
      <w:pPr>
        <w:spacing w:after="0" w:line="35" w:lineRule="exact"/>
        <w:rPr>
          <w:rFonts w:ascii="Arial" w:cs="Arial" w:eastAsia="Arial" w:hAnsi="Arial"/>
          <w:sz w:val="16"/>
          <w:szCs w:val="16"/>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at our quarterly effective tax rate.</w:t>
      </w:r>
    </w:p>
    <w:p>
      <w:pPr>
        <w:spacing w:after="0" w:line="76" w:lineRule="exact"/>
        <w:rPr>
          <w:rFonts w:ascii="Arial" w:cs="Arial" w:eastAsia="Arial" w:hAnsi="Arial"/>
          <w:sz w:val="18"/>
          <w:szCs w:val="18"/>
          <w:color w:val="auto"/>
        </w:rPr>
      </w:pPr>
    </w:p>
    <w:p>
      <w:pPr>
        <w:ind w:left="980" w:right="20" w:hanging="486"/>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calculate the diluted adjusted earnings per share, we adjusted the weighted-average shares outstanding for the dilutive effect of all potential shares of common stock. In a period when we record an adjusted net loss, the diluted adjusted net loss per share is the same as basic adjusted net loss per share because the effects of potentially dilutive items were anti-dilutive given the adjusted net loss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13 and 26 Weeks Ended June 29, 2019 and June 30, 2018 (dollars in thousands)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26 Weeks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29,</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3"/>
                <w:szCs w:val="13"/>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vMerge w:val="restart"/>
          </w:tcPr>
          <w:p>
            <w:pPr>
              <w:spacing w:after="0"/>
              <w:rPr>
                <w:sz w:val="13"/>
                <w:szCs w:val="13"/>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29,</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645,289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575,058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70,231</w:t>
            </w: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  $</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1,251,560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1,125,616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   125,944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20" w:firstLine="500"/>
        <w:spacing w:after="0" w:line="308" w:lineRule="auto"/>
        <w:rPr>
          <w:sz w:val="20"/>
          <w:szCs w:val="20"/>
          <w:color w:val="auto"/>
        </w:rPr>
      </w:pPr>
      <w:r>
        <w:rPr>
          <w:rFonts w:ascii="Arial" w:cs="Arial" w:eastAsia="Arial" w:hAnsi="Arial"/>
          <w:sz w:val="17"/>
          <w:szCs w:val="17"/>
          <w:color w:val="auto"/>
        </w:rPr>
        <w:t>The increase in net sales for the 13 and 26 weeks ended June 29, 2019 compared to the same periods of 2018 was primarily due to non-comparable store sales growth attributable to the net 30 stores opened over the last 12 months as well as an increase in comparable store sales.</w:t>
      </w:r>
    </w:p>
    <w:p>
      <w:pPr>
        <w:spacing w:after="0" w:line="106" w:lineRule="exact"/>
        <w:rPr>
          <w:sz w:val="20"/>
          <w:szCs w:val="20"/>
          <w:color w:val="auto"/>
        </w:rPr>
      </w:pPr>
    </w:p>
    <w:p>
      <w:pPr>
        <w:ind w:right="100" w:firstLine="500"/>
        <w:spacing w:after="0" w:line="312" w:lineRule="auto"/>
        <w:rPr>
          <w:sz w:val="20"/>
          <w:szCs w:val="20"/>
          <w:color w:val="auto"/>
        </w:rPr>
      </w:pPr>
      <w:r>
        <w:rPr>
          <w:rFonts w:ascii="Arial" w:cs="Arial" w:eastAsia="Arial" w:hAnsi="Arial"/>
          <w:sz w:val="16"/>
          <w:szCs w:val="16"/>
          <w:color w:val="auto"/>
        </w:rPr>
        <w:t>Comparable store sales increased 5.8% for the second quarter 2019 compared to the same period of 2018 and 5.0% for the first half of 2019 compared to the same period of 2018, driven by a strong product offering, the expansion of our digital marketing initiatives and continued growth of our Natural, Organic, Specialty and Healthy (“NOSH”) business. Additionally, we benefited modestly from the later Easter this year compared to last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3"/>
                <w:szCs w:val="13"/>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446,569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399,943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46,626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  $</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865,823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781,932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83,891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60" w:firstLine="500"/>
        <w:spacing w:after="0" w:line="308" w:lineRule="auto"/>
        <w:rPr>
          <w:sz w:val="20"/>
          <w:szCs w:val="20"/>
          <w:color w:val="auto"/>
        </w:rPr>
      </w:pPr>
      <w:r>
        <w:rPr>
          <w:rFonts w:ascii="Arial" w:cs="Arial" w:eastAsia="Arial" w:hAnsi="Arial"/>
          <w:sz w:val="17"/>
          <w:szCs w:val="17"/>
          <w:color w:val="auto"/>
        </w:rPr>
        <w:t>The increase in cost of sales for the second quarter and the first half of 2019 was primarily the result of new store growth and an increase in comparable store sales. Costs as a percentage of sales decreased slightly due to strong purchasing and inventory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3"/>
                <w:szCs w:val="13"/>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198,720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175,115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23,605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  $</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385,737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343,684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42,053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firstLine="554"/>
        <w:spacing w:after="0" w:line="264" w:lineRule="auto"/>
        <w:rPr>
          <w:sz w:val="20"/>
          <w:szCs w:val="20"/>
          <w:color w:val="auto"/>
        </w:rPr>
      </w:pPr>
      <w:r>
        <w:rPr>
          <w:rFonts w:ascii="Arial" w:cs="Arial" w:eastAsia="Arial" w:hAnsi="Arial"/>
          <w:sz w:val="18"/>
          <w:szCs w:val="18"/>
          <w:color w:val="auto"/>
        </w:rPr>
        <w:t>The increase in gross profit for the second quarter and the first half of 2019 was primarily the result of new store growth and an increase in comparable store sales. Our gross margin increased modestly for both the second quarter and the first half of 2019 compared to the same periods of 2018 due to strong purchasing and inventory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157,641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139,743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17,898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12.8%  $</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310,495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276,479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34,016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The increase in SG&amp;A for the second quarter and the first half of 2019 was primarily driven by increased selling expenses related to new store growth and higher sales volume. These increased expenses consisted primarily of commissions, store occupancy and shared maintenance costs, as well as investments in general and administrative infrastructure to support the continued growth in the business.</w:t>
      </w:r>
    </w:p>
    <w:p>
      <w:pPr>
        <w:spacing w:after="0" w:line="141"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As a percentage of sales, SG&amp;A increased modestly for the second quarter and the first half of 2019 compared to the same periods of 2018. We expect SG&amp;A expense to increase in the remainder of 2019 due to additional costs to incur to comply with public company requirements including incremental insurance, accounting, and legal expense as well as costs required to comply with the Sarbanes-Oxley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Depreciation and</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12,594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11,235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  $</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24,890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22,413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increase in depreciation and amortization expenses for the second quarter and the first half of 2019 is primarily driven by the new store growth and other capital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13 Weeks Ended</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26 Weeks Ended</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22,750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22,621</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17,535.7%  $</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22,961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22,698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8,630.4%</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0" w:firstLine="500"/>
        <w:spacing w:after="0" w:line="312" w:lineRule="auto"/>
        <w:rPr>
          <w:sz w:val="20"/>
          <w:szCs w:val="20"/>
          <w:color w:val="auto"/>
        </w:rPr>
      </w:pPr>
      <w:r>
        <w:rPr>
          <w:rFonts w:ascii="Arial" w:cs="Arial" w:eastAsia="Arial" w:hAnsi="Arial"/>
          <w:sz w:val="16"/>
          <w:szCs w:val="16"/>
          <w:color w:val="auto"/>
        </w:rPr>
        <w:t>The increase in stock-based compensation expenses for the second quarter and the first half of 2019 was primarily driven by the $22.4 million stock-based compensation expense related to time-based options granted prior to the IPO. See Note 6 to our condensed consolidated financial statements. Prior to the IPO, stock-based compensation expense was primarily related to the equity awards granted to our board of directors and dividends paid.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Interest expense,</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15,452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  $</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31,890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26,886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00" w:firstLine="500"/>
        <w:spacing w:after="0" w:line="259" w:lineRule="auto"/>
        <w:rPr>
          <w:sz w:val="20"/>
          <w:szCs w:val="20"/>
          <w:color w:val="auto"/>
        </w:rPr>
      </w:pPr>
      <w:r>
        <w:rPr>
          <w:rFonts w:ascii="Arial" w:cs="Arial" w:eastAsia="Arial" w:hAnsi="Arial"/>
          <w:sz w:val="18"/>
          <w:szCs w:val="18"/>
          <w:color w:val="auto"/>
        </w:rPr>
        <w:t>In October 2018, we refinanced our debt and increased our total principal outstanding by $154.0 million as part of our 2018 recapitalization. The increase in net interest expense for the second quarter and the first half of 2019 compared to the same periods of 2018 was primarily driven by higher total borrowings under our first lien credit agreements (“First Lien Credit Agreement”) and Second Lien Credit Agreement we entered into during our debt refinancing compared to our prior loan agreements.</w:t>
      </w:r>
    </w:p>
    <w:p>
      <w:pPr>
        <w:spacing w:after="0" w:line="146"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In connection with the closing of our IPO, we repaid in full the $150.0 million outstanding principal amount on our Second Lien Term Loan and terminated the related loan agreement. Additionally, we prepaid a portion of our term loan outstanding under the First Lien Credit Agreement totaling $248.0 million. In July 2019, we repriced and amended our existing First Lien Credit Agreement by replacing the existing term loan with a new $475.2 million senior secured term loan credit facility. As part of this repricing transaction, we reduced the applicable margin rates on the new term loan. See Note 5 to the condensed consolidated financial statements for additional information. Accordingly, we expect our interest expense to decrease in the remainder of fiscal 2019 compared to fiscal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0"/>
              </w:rPr>
              <w:t>26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extinguishment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modification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146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repaid in full our outstanding Second Lien Term Loan and terminated the related loan agreement in the second quarter of 2019 as described above. Accordingly, we recorded debt extinguishment costs in the second quarter of 2019 to reflect the write off of our debt issuance costs of $3.8 million and loan discounts of $1.4 million. See Note 5 to the condensed consolidated financial statements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254.5%  $</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7,635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0" w:firstLine="500"/>
        <w:spacing w:after="0" w:line="264" w:lineRule="auto"/>
        <w:rPr>
          <w:sz w:val="20"/>
          <w:szCs w:val="20"/>
          <w:color w:val="auto"/>
        </w:rPr>
      </w:pPr>
      <w:r>
        <w:rPr>
          <w:rFonts w:ascii="Arial" w:cs="Arial" w:eastAsia="Arial" w:hAnsi="Arial"/>
          <w:sz w:val="18"/>
          <w:szCs w:val="18"/>
          <w:color w:val="auto"/>
        </w:rPr>
        <w:t>The increase in income tax benefit in the second quarter and the first half of 2019 compared to the same periods of 2018 was primarily the result of the net loss before taxes, which was mainly due to the stock-based compensation expense of $22.8 million and $23.0 million we recognized in the second quarter and the first half of 2019, respectively, in connection with our IPO as discussed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26 Weeks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29,</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29,</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45,007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39,122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  $</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84,130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75,234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The increase in adjusted EBITDA for the second quarter and the first half of 2019 was primarily due to our increase in sales, which was primarily driven by the increase in quarter-end store count compared to the same periods of 2018 and the increase in comparable sales of 5.8% and 5.0%, respectively. Additionally, our gross margin increased modestly for both the second quarter and the first half of 2019 compared to the same periods of 2018 as discussed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26 Weeks Ended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29,</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29,</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14,460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12,897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  $</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24,407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24,448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firstLine="500"/>
        <w:spacing w:after="0" w:line="259" w:lineRule="auto"/>
        <w:rPr>
          <w:sz w:val="20"/>
          <w:szCs w:val="20"/>
          <w:color w:val="auto"/>
        </w:rPr>
      </w:pPr>
      <w:r>
        <w:rPr>
          <w:rFonts w:ascii="Arial" w:cs="Arial" w:eastAsia="Arial" w:hAnsi="Arial"/>
          <w:sz w:val="18"/>
          <w:szCs w:val="18"/>
          <w:color w:val="auto"/>
        </w:rPr>
        <w:t>The increase in adjusted net income for the second quarter and the first half of 2019 was primarily due to our increase in sales, which was primarily driven by the increase in quarter-end store count compared to the same periods of 2018 and comparable sales of 5.8% and 5.0%, respectively. This increase was offset in part by an increase in net interest expense of $1.5 million and $5.0 million in the second quarter and the first half of 2019, respectively, compared to the same periods of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340" w:firstLine="486"/>
        <w:spacing w:after="0" w:line="255" w:lineRule="auto"/>
        <w:rPr>
          <w:sz w:val="20"/>
          <w:szCs w:val="20"/>
          <w:color w:val="auto"/>
        </w:rPr>
      </w:pPr>
      <w:r>
        <w:rPr>
          <w:rFonts w:ascii="Arial" w:cs="Arial" w:eastAsia="Arial" w:hAnsi="Arial"/>
          <w:sz w:val="18"/>
          <w:szCs w:val="18"/>
          <w:color w:val="auto"/>
        </w:rPr>
        <w:t>As of June 29, 2019, we had cash and cash equivalent of $18.7 million, which consisted principally of cash held in checking and money market accounts with financial institutions. Our liquidity requirements arise primarily from our working capital needs, capital expenditures and debt service requirements. We funded our liquidity requirements through cash generated from our operations, borrowings and availability under our credit facility, and most recently through our initial public offering of our common stock in June 2019. As of June 29, 2019, we had not drawn down on our $100.0 million revolving credit facility under the First Lien Credit Agreement and, after excluding the outstanding $3.6 million letters of credit, we had $96.4 million borrowing capacity available from our revolving credit facility.</w:t>
      </w:r>
    </w:p>
    <w:p>
      <w:pPr>
        <w:spacing w:after="0" w:line="153"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color w:val="auto"/>
        </w:rPr>
        <w:t>On June 24, 2019, we completed our IPO in which we sold 19,765,625 shares of our common stock, including 2,578,125 shares from the full exercise of the underwriters’ option to purchase additional shares, at a public offering price of $22.0 per share. We received net proceeds of $407.7 million after deducting underwriting discounts and commissions of $27.1 million. We also incurred estimated offering costs payable by us of $7.2 million of which we had paid out a total of $5.1 million as of June 29, 2019. We expect to pay out the remainder of these estimated offering costs in the third fiscal quarter of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The terms of our credit agreements permit voluntarily prepayment without premium or penalty. In connection with the closing of our IPO on June 24, 2019, we used the net proceeds from the offering to repay in full the $150.0 million outstanding Second Lien Term Loan plus $3.6 million accrued and unpaid interest and terminated the related agreement. In addition, using the remainder of the net proceeds, together with excess cash on hand, we prepaid a portion of our outstanding First Lien Term Loan totaling $248.0 million plus accrued interest of $3.8 million. We elected to apply the prepayment against the remaining principal installments in the direct order of maturity. No further principal payment on this term loan will be due until its maturity in October 2025.</w:t>
      </w:r>
    </w:p>
    <w:p>
      <w:pPr>
        <w:spacing w:after="0" w:line="11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July 23, 2019, we entered into an incremental agreement (the “Incremental Agreement”) to amend the First Lien Credit Agreement. The Incremental Agreement refinanced the term loan outstanding under the First Lien Credit Agreement with a replacement $475.2 million senior secured term loan credit facility with an applicable margin of 3.50% or 3.25% for eurodollar loans and 2.50% or 2.25% for base rate loans, in each case depending on the public corporate family rating of GOBP Holdings. This new term loan matures on October 22, 2025, which is the same maturity date of the existing First Lien Term Loan.</w:t>
      </w:r>
    </w:p>
    <w:p>
      <w:pPr>
        <w:spacing w:after="0" w:line="148" w:lineRule="exact"/>
        <w:rPr>
          <w:sz w:val="20"/>
          <w:szCs w:val="20"/>
          <w:color w:val="auto"/>
        </w:rPr>
      </w:pPr>
    </w:p>
    <w:p>
      <w:pPr>
        <w:ind w:right="80" w:firstLine="513"/>
        <w:spacing w:after="0" w:line="277" w:lineRule="auto"/>
        <w:rPr>
          <w:sz w:val="20"/>
          <w:szCs w:val="20"/>
          <w:color w:val="auto"/>
        </w:rPr>
      </w:pPr>
      <w:r>
        <w:rPr>
          <w:rFonts w:ascii="Arial" w:cs="Arial" w:eastAsia="Arial" w:hAnsi="Arial"/>
          <w:sz w:val="18"/>
          <w:szCs w:val="18"/>
          <w:color w:val="auto"/>
        </w:rPr>
        <w:t>As of June 29, 2019, in connection with our recapitalizations in 2018 and 2016, we expect to pay an additional $4.2 million in aggregate on options as they vest in respect of such dividends, of which $3.4 million is expected to be paid in the remainder of fiscal year 2019.</w:t>
      </w:r>
    </w:p>
    <w:p>
      <w:pPr>
        <w:spacing w:after="0" w:line="130" w:lineRule="exact"/>
        <w:rPr>
          <w:sz w:val="20"/>
          <w:szCs w:val="20"/>
          <w:color w:val="auto"/>
        </w:rPr>
      </w:pPr>
    </w:p>
    <w:p>
      <w:pPr>
        <w:ind w:right="100" w:firstLine="513"/>
        <w:spacing w:after="0" w:line="264"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opportunistic inventory purchases and new store openings.</w:t>
      </w:r>
    </w:p>
    <w:p>
      <w:pPr>
        <w:spacing w:after="0" w:line="141"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141" w:lineRule="exact"/>
        <w:rPr>
          <w:sz w:val="20"/>
          <w:szCs w:val="20"/>
          <w:color w:val="auto"/>
        </w:rPr>
      </w:pPr>
    </w:p>
    <w:p>
      <w:pPr>
        <w:ind w:right="120" w:firstLine="500"/>
        <w:spacing w:after="0" w:line="291" w:lineRule="auto"/>
        <w:rPr>
          <w:sz w:val="20"/>
          <w:szCs w:val="20"/>
          <w:color w:val="auto"/>
        </w:rPr>
      </w:pPr>
      <w:r>
        <w:rPr>
          <w:rFonts w:ascii="Arial" w:cs="Arial" w:eastAsia="Arial" w:hAnsi="Arial"/>
          <w:sz w:val="16"/>
          <w:szCs w:val="16"/>
          <w:color w:val="auto"/>
        </w:rPr>
        <w:t>Based on our new store growth plans, we believe our existing cash and cash equivalents position, cash generated from our operations, and availability under our revolving credit facility will be adequate to finance our working capital requirements, planned capital expenditures and debt service over the next</w:t>
      </w:r>
    </w:p>
    <w:p>
      <w:pPr>
        <w:jc w:val="both"/>
        <w:ind w:right="20"/>
        <w:spacing w:after="0" w:line="277" w:lineRule="auto"/>
        <w:rPr>
          <w:sz w:val="20"/>
          <w:szCs w:val="20"/>
          <w:color w:val="auto"/>
        </w:rPr>
      </w:pPr>
      <w:r>
        <w:rPr>
          <w:rFonts w:ascii="Arial" w:cs="Arial" w:eastAsia="Arial" w:hAnsi="Arial"/>
          <w:sz w:val="17"/>
          <w:szCs w:val="17"/>
          <w:color w:val="auto"/>
        </w:rPr>
        <w:t>12 months. If cash generated from our operations and borrowings under our credit facility are not sufficient or available to meet our capital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w:t>
      </w:r>
    </w:p>
    <w:p>
      <w:pPr>
        <w:spacing w:after="0" w:line="18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First Lien and Second Lien Credit Agreements contain certain customary representations and warranties, subject to limitations and exceptions, and affirmative and customary covenants. The First Lien and Second Lien Credit Agreements have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of 7:00 to 1:00, tested quarterly if, and only if, the aggregate principal amount from the revolving facility, letters of credit (to the extent not cash collateralized or backstopped or, in the aggregate, not in excess of the greater of $10.0 million and the stated face amount of letters of credit outstanding on the closing date) and swingline loans outstanding and/or issued, as applicable, exceeds 35% of the total amount of the revolving credit facility commitments.</w:t>
      </w:r>
    </w:p>
    <w:p>
      <w:pPr>
        <w:spacing w:after="0" w:line="13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June 29, 2019, we were not subject to the first lien secured leverage ratio testing requirement. Additionally, we were in compliance with all applicable covenant requirements as of June 29, 2019 for our First Lien Credit Agreement and as of June 24, 2019, the agreement termination date, for our Second Lien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 (in thousands, except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26 Weeks Ended</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29, 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57"/>
        </w:trPr>
        <w:tc>
          <w:tcPr>
            <w:tcW w:w="552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85" w:lineRule="exact"/>
        <w:rPr>
          <w:sz w:val="20"/>
          <w:szCs w:val="20"/>
          <w:color w:val="auto"/>
        </w:rPr>
      </w:pPr>
    </w:p>
    <w:p>
      <w:pPr>
        <w:jc w:val="both"/>
        <w:ind w:right="180" w:firstLine="513"/>
        <w:spacing w:after="0" w:line="256" w:lineRule="auto"/>
        <w:rPr>
          <w:sz w:val="20"/>
          <w:szCs w:val="20"/>
          <w:color w:val="auto"/>
        </w:rPr>
      </w:pPr>
      <w:r>
        <w:rPr>
          <w:rFonts w:ascii="Arial" w:cs="Arial" w:eastAsia="Arial" w:hAnsi="Arial"/>
          <w:sz w:val="18"/>
          <w:szCs w:val="18"/>
          <w:color w:val="auto"/>
        </w:rPr>
        <w:t>Net cash provided by operating activities for the first half of 2019 was $39.7 million, a decrease from $55.2 million for the same period of 2018. The decrease in net cash provided by operating activities was primarily driven by the adoption of the new leasing standard in the first quarter of 2019 along with changes to working capital related to new store growth,</w:t>
      </w:r>
    </w:p>
    <w:p>
      <w:pPr>
        <w:spacing w:after="0" w:line="273" w:lineRule="auto"/>
        <w:rPr>
          <w:sz w:val="20"/>
          <w:szCs w:val="20"/>
          <w:color w:val="auto"/>
        </w:rPr>
      </w:pPr>
      <w:r>
        <w:rPr>
          <w:rFonts w:ascii="Arial" w:cs="Arial" w:eastAsia="Arial" w:hAnsi="Arial"/>
          <w:sz w:val="17"/>
          <w:szCs w:val="17"/>
          <w:color w:val="auto"/>
        </w:rPr>
        <w:t>partially offset by the increase in non-cash stock-based compensation and non-cash debt extinguishment costs. Upon the completion of the IPO, we incurred stock-based compensation expense of $22.4 million related to time-based options granted prior to the IPO. See Note 6 to our condensed consolidated financial statements for more information. Additionally, we wrote off our debt issuance costs of $3.8 million and loan discounts of $1.4 million in related to our repayment of the Second Lien Term Loan and the termination of the related agreement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85" w:lineRule="exact"/>
        <w:rPr>
          <w:sz w:val="20"/>
          <w:szCs w:val="20"/>
          <w:color w:val="auto"/>
        </w:rPr>
      </w:pPr>
    </w:p>
    <w:p>
      <w:pPr>
        <w:ind w:right="120" w:firstLine="513"/>
        <w:spacing w:after="0" w:line="286" w:lineRule="auto"/>
        <w:rPr>
          <w:sz w:val="20"/>
          <w:szCs w:val="20"/>
          <w:color w:val="auto"/>
        </w:rPr>
      </w:pPr>
      <w:r>
        <w:rPr>
          <w:rFonts w:ascii="Arial" w:cs="Arial" w:eastAsia="Arial" w:hAnsi="Arial"/>
          <w:sz w:val="17"/>
          <w:szCs w:val="17"/>
          <w:color w:val="auto"/>
        </w:rPr>
        <w:t>Net cash used in investing activities for the 26 weeks ended June 29, 2019 and for the same period of 2018 was primarily for capital expenditures and cash advanced to IOs. The increase in net cash used in investing activities of $19.0 million was primarily related to capital expenditures for 16 new store openings and one relocation in the first half of 2019 compared to seven new store openings in same period of 2018.</w:t>
      </w:r>
    </w:p>
    <w:p>
      <w:pPr>
        <w:spacing w:after="0" w:line="125" w:lineRule="exact"/>
        <w:rPr>
          <w:sz w:val="20"/>
          <w:szCs w:val="20"/>
          <w:color w:val="auto"/>
        </w:rPr>
      </w:pPr>
    </w:p>
    <w:p>
      <w:pPr>
        <w:ind w:right="80" w:firstLine="513"/>
        <w:spacing w:after="0" w:line="308" w:lineRule="auto"/>
        <w:rPr>
          <w:sz w:val="20"/>
          <w:szCs w:val="20"/>
          <w:color w:val="auto"/>
        </w:rPr>
      </w:pPr>
      <w:r>
        <w:rPr>
          <w:rFonts w:ascii="Arial" w:cs="Arial" w:eastAsia="Arial" w:hAnsi="Arial"/>
          <w:sz w:val="17"/>
          <w:szCs w:val="17"/>
          <w:color w:val="auto"/>
        </w:rPr>
        <w:t>We plan to invest capital expenditures between $85.0 million and $90.0 million, net of tenant improvement allowances, in fiscal year 2019. We expect approximately 65% of our 2019 capital investment will be directed towards the opening of 32 new stores and one store relocation.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85" w:lineRule="exact"/>
        <w:rPr>
          <w:sz w:val="20"/>
          <w:szCs w:val="20"/>
          <w:color w:val="auto"/>
        </w:rPr>
      </w:pPr>
    </w:p>
    <w:p>
      <w:pPr>
        <w:ind w:right="20" w:firstLine="513"/>
        <w:spacing w:after="0" w:line="257" w:lineRule="auto"/>
        <w:rPr>
          <w:sz w:val="20"/>
          <w:szCs w:val="20"/>
          <w:color w:val="auto"/>
        </w:rPr>
      </w:pPr>
      <w:r>
        <w:rPr>
          <w:rFonts w:ascii="Arial" w:cs="Arial" w:eastAsia="Arial" w:hAnsi="Arial"/>
          <w:sz w:val="18"/>
          <w:szCs w:val="18"/>
          <w:color w:val="auto"/>
        </w:rPr>
        <w:t>Net cash provided by financing activities was $2.4 million for the 26 weeks ended June 29, 2019 compared to net cash used in financing activities of $2.8 million for the same period of 2018. The increase was primarily driven by our debt repayments and offering cost payments, offset in part by the proceeds from our IPO, net of underwriting discounts and commissions paid. As described above, in June 2019, using the net proceeds from our IPO and excess cash on hand, we repaid in full the $150.0 million outstanding Second Lien Term Loan and prepaid a portion of our outstanding First Lien Term Loan totaling $248.0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29, 2019, we did not have any off-balance sheet arrangements as defined in Item 303(a)(4)(ii) of Regulation S-K.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0" w:firstLine="513"/>
        <w:spacing w:after="0" w:line="264" w:lineRule="auto"/>
        <w:rPr>
          <w:sz w:val="20"/>
          <w:szCs w:val="20"/>
          <w:color w:val="auto"/>
        </w:rPr>
      </w:pPr>
      <w:r>
        <w:rPr>
          <w:rFonts w:ascii="Arial" w:cs="Arial" w:eastAsia="Arial" w:hAnsi="Arial"/>
          <w:sz w:val="18"/>
          <w:szCs w:val="18"/>
          <w:color w:val="auto"/>
        </w:rPr>
        <w:t>We enter into long-term contractual obligations and commitments in the normal course of business, primarily operating leases. The contractual commitment amounts in the table below are associated with agreements that are enforceable and legally binding. Obligations under contracts that we can cancel without a significant penalty are not included in the below table.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other commitments existed as of June 29, 2019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 Due by Fiscal Year End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22"/>
                <w:szCs w:val="22"/>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2020 - 2021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2022 - 2023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obligations including interest (1)</w:t>
            </w:r>
          </w:p>
        </w:tc>
        <w:tc>
          <w:tcPr>
            <w:tcW w:w="3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772,580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Principal payments of long-term debt</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475,545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475,188</w:t>
            </w: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long-term debt (2)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50,405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Purchase commitments (3)</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1,875,224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65,070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262,851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1,298,173</w:t>
            </w:r>
          </w:p>
        </w:tc>
      </w:tr>
      <w:tr>
        <w:trPr>
          <w:trHeight w:val="20"/>
        </w:trPr>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5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the future minimum lease payments of our operating and finance leases as disclosed in Note 3 to the condensed consolidated financial statements.</w:t>
      </w:r>
    </w:p>
    <w:p>
      <w:pPr>
        <w:spacing w:after="0" w:line="97" w:lineRule="exact"/>
        <w:rPr>
          <w:rFonts w:ascii="Arial" w:cs="Arial" w:eastAsia="Arial" w:hAnsi="Arial"/>
          <w:sz w:val="15"/>
          <w:szCs w:val="15"/>
          <w:color w:val="auto"/>
        </w:rPr>
      </w:pPr>
    </w:p>
    <w:p>
      <w:pPr>
        <w:ind w:left="340" w:right="40" w:hanging="332"/>
        <w:spacing w:after="0" w:line="274"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expected cash payments for interest on our long-term debt based on the amounts outstanding as of the end of each period and the interest rates applicable on such debt as of June 29, 2019. As described above, we entered into the Incremental Agreement in July 2019 to refinance the term loans outstanding under the First Lien Credit Agreement with a replacement $475.2 million senior secured term loan credit facility and reduced the applicable margin rates on our borrowings. The maturity date remains the same as provided under the First Lien Credit Agreement. The interest amounts in this table do not reflect the decrease in margin rates related to the Incremental Agreement as it was not in effect as of June 29, 2019.</w:t>
      </w:r>
    </w:p>
    <w:p>
      <w:pPr>
        <w:spacing w:after="0" w:line="30"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our purchase commitment for fresh meat with our primary fresh meat vendor.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220" w:firstLine="513"/>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U.S. generally accepted accounting principles, or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14" w:lineRule="exact"/>
        <w:rPr>
          <w:sz w:val="20"/>
          <w:szCs w:val="20"/>
          <w:color w:val="auto"/>
        </w:rPr>
      </w:pPr>
    </w:p>
    <w:p>
      <w:pPr>
        <w:ind w:right="180" w:firstLine="513"/>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quarter ended June 29, 2019 from those disclosed in our prospectus dated as of June 19, 2019 and filed with the SEC on June 20, 2019 (File No. 333-231428).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of the notes to condensed consolidated financial statements included in this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operating results are subject to risk from interest rate fluctuations on our credit facilities, which carry variable interest rates. As of June 29,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credit facility includes a term loan and a revolving credit facility under the First Lien Credit Agreement which provides for revolving loans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with a sub-commitment for issuance of letters of credit of $35.0 million and a sub-commitment for $20.0 million of swingline loans. Because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bears interest at a variable rate, we are exposed to market risks relating to changes in interest rates. As of June 29, 2019, we had $475.2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variable rate loans outstanding under term loans under the First Lien Credit Agreement and no outstanding variable rate debt under our revolving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under the First Lien Credit Agreement. Based on our June 29, 2019 credit facility balance, a hypothetical 1% increase or decrease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rate would cause an increase or decrease in interest cost of approximately $4.8 million over the next 12 months.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680" w:firstLine="513"/>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500"/>
        <w:spacing w:after="0" w:line="302" w:lineRule="auto"/>
        <w:rPr>
          <w:sz w:val="20"/>
          <w:szCs w:val="20"/>
          <w:color w:val="auto"/>
        </w:rPr>
      </w:pPr>
      <w:r>
        <w:rPr>
          <w:rFonts w:ascii="Arial" w:cs="Arial" w:eastAsia="Arial" w:hAnsi="Arial"/>
          <w:sz w:val="16"/>
          <w:szCs w:val="16"/>
          <w:color w:val="auto"/>
        </w:rPr>
        <w:t>We maintain disclosure controls and procedures as that term is defined in Rules 13a-15(e) and 15d-15(e) under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114"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of June 29, 2019. Based on this evaluation, our Chief Executive Officer and Chief Financial Officer concluded that, as of June 29, 2019, our disclosure controls and procedures were effective to accomplish their objectives at a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color w:val="auto"/>
        </w:rPr>
        <w:t>During the quarter ended June 29, 2019, there was no change in our internal control over financial reporting identified in connection with the evaluation required by Rule 13a-15(d) and 15d-15(d) of the Exchange Act that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89"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firstLine="500"/>
        <w:spacing w:after="0" w:line="343"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results of operation</w:t>
      </w:r>
      <w:r>
        <w:rPr>
          <w:rFonts w:ascii="Arial" w:cs="Arial" w:eastAsia="Arial" w:hAnsi="Arial"/>
          <w:sz w:val="17"/>
          <w:szCs w:val="17"/>
          <w:color w:val="auto"/>
        </w:rPr>
        <w:t>s, financial condition or 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There have been no material changes to our risk factors that we believe are material to our business, results of operations and financial condition, from the risk factors previously disclosed in our prospectus filed with the SEC on June 20, 2019, which is accessible on the SEC’s website at www.sec.gov.</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From March 31, 2019 to June 29, 2019, we granted to our officers and employees options to purchase 1,364,348 shares of our common stock under our 2019 Incentive Plan at a weighted-average exercise price of $22.00 per share.</w:t>
      </w:r>
    </w:p>
    <w:p>
      <w:pPr>
        <w:spacing w:after="0" w:line="130"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The issuances of these stock options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None of the foregoing transactions involved any underwriters, underwriting discounts or commissions or any public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On June 24, 2019, we completed our IPO in which we sold 19,765,625 shares of our common stock, including 2,578,125 shares from the full exercise of the underwriters’ option to purchase additional shares, at a public offering price of $22.00 per share. The offer and sale of the shares in the IPO were registered under the Securities Act pursuant to a registration statement on Form S-1 (File No. 333-333-231428), which was declared effective by the SEC on June 19, 2019. We received net proceeds of $407.7 million after deducting underwriting discounts and commissions of $27.1 million. We incurred estimated offering costs payable by us of $7.2 million.</w:t>
      </w:r>
    </w:p>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utilized the net proceeds to repay the term loan outstanding under our Second Lien Credit Agreement totaling $150.0 million, plus accrued interest of $3.6 million and the remainder, together with cash on hand, to repay a portion of term loan outstanding under our First Lien Credit Agreement totaling $248.0 million, plus interest of $3.8 million. The representatives of the underwriters of our IPO were BofA Securities, Inc., Morgan Stanley &amp; Co. LLC, Deutsche Bank Securities Inc. and Jefferies LLC.</w:t>
      </w:r>
    </w:p>
    <w:p>
      <w:pPr>
        <w:spacing w:after="0" w:line="14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line="2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Number</w:t>
            </w:r>
          </w:p>
        </w:tc>
        <w:tc>
          <w:tcPr>
            <w:tcW w:w="9580" w:type="dxa"/>
            <w:vAlign w:val="bottom"/>
          </w:tcPr>
          <w:p>
            <w:pPr>
              <w:ind w:left="440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22"/>
        </w:trPr>
        <w:tc>
          <w:tcPr>
            <w:tcW w:w="1620" w:type="dxa"/>
            <w:vAlign w:val="bottom"/>
          </w:tcPr>
          <w:p>
            <w:pPr>
              <w:ind w:left="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9580" w:type="dxa"/>
            <w:vAlign w:val="bottom"/>
          </w:tcPr>
          <w:p>
            <w:pPr>
              <w:ind w:left="40"/>
              <w:spacing w:after="0"/>
              <w:rPr>
                <w:rFonts w:ascii="Arial" w:cs="Arial" w:eastAsia="Arial" w:hAnsi="Arial"/>
                <w:sz w:val="18"/>
                <w:szCs w:val="18"/>
                <w:color w:val="auto"/>
                <w:w w:val="92"/>
              </w:rPr>
            </w:pPr>
            <w:hyperlink r:id="rId18">
              <w:r>
                <w:rPr>
                  <w:rFonts w:ascii="Arial" w:cs="Arial" w:eastAsia="Arial" w:hAnsi="Arial"/>
                  <w:sz w:val="18"/>
                  <w:szCs w:val="18"/>
                  <w:color w:val="auto"/>
                  <w:w w:val="92"/>
                </w:rPr>
                <w:t>Amended and Restated Certificate of Incorporation of Grocery Outlet Holding Corp. (incorporated by reference to Exhibit 4.1 filed</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18">
              <w:r>
                <w:rPr>
                  <w:rFonts w:ascii="Arial" w:cs="Arial" w:eastAsia="Arial" w:hAnsi="Arial"/>
                  <w:sz w:val="18"/>
                  <w:szCs w:val="18"/>
                  <w:color w:val="auto"/>
                </w:rPr>
                <w:t>with the Company’s Registration Statement on Form S-8 (File No. 333-232318) filed with the SEC on June 24,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2"/>
              </w:rPr>
            </w:pPr>
            <w:hyperlink r:id="rId19">
              <w:r>
                <w:rPr>
                  <w:rFonts w:ascii="Arial" w:cs="Arial" w:eastAsia="Arial" w:hAnsi="Arial"/>
                  <w:sz w:val="18"/>
                  <w:szCs w:val="18"/>
                  <w:color w:val="auto"/>
                  <w:w w:val="92"/>
                </w:rPr>
                <w:t>Amended and Restated Bylaws of Grocery Outlet Holding Corp. (incorporated by reference to Exhibit 4.2 filed with the Company’s</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19">
              <w:r>
                <w:rPr>
                  <w:rFonts w:ascii="Arial" w:cs="Arial" w:eastAsia="Arial" w:hAnsi="Arial"/>
                  <w:sz w:val="18"/>
                  <w:szCs w:val="18"/>
                  <w:color w:val="auto"/>
                </w:rPr>
                <w:t>Registration Statement on Form S-8 (File No. 333-232318) filed with the SEC on June 24,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5"/>
              </w:rPr>
            </w:pPr>
            <w:hyperlink r:id="rId20">
              <w:r>
                <w:rPr>
                  <w:rFonts w:ascii="Arial" w:cs="Arial" w:eastAsia="Arial" w:hAnsi="Arial"/>
                  <w:sz w:val="18"/>
                  <w:szCs w:val="18"/>
                  <w:color w:val="auto"/>
                  <w:w w:val="95"/>
                </w:rPr>
                <w:t>Form of Stock Certificate for Common Stock (incorporated by reference to Exhibit 4.1 to Amendment No. 2 to the Company’s</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0">
              <w:r>
                <w:rPr>
                  <w:rFonts w:ascii="Arial" w:cs="Arial" w:eastAsia="Arial" w:hAnsi="Arial"/>
                  <w:sz w:val="18"/>
                  <w:szCs w:val="18"/>
                  <w:color w:val="auto"/>
                </w:rPr>
                <w:t>Registration Statement on Form S-1 (File No. 333-231428) filed with the SEC on June 10,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1"/>
              </w:rPr>
            </w:pPr>
            <w:hyperlink r:id="rId21">
              <w:r>
                <w:rPr>
                  <w:rFonts w:ascii="Arial" w:cs="Arial" w:eastAsia="Arial" w:hAnsi="Arial"/>
                  <w:sz w:val="18"/>
                  <w:szCs w:val="18"/>
                  <w:color w:val="auto"/>
                  <w:w w:val="91"/>
                </w:rPr>
                <w:t>Amended and Restated Stockholders Agreement by and among Grocery Outlet Holding Corp. and the other parties named therein</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2"/>
              </w:rPr>
            </w:pPr>
            <w:hyperlink r:id="rId21">
              <w:r>
                <w:rPr>
                  <w:rFonts w:ascii="Arial" w:cs="Arial" w:eastAsia="Arial" w:hAnsi="Arial"/>
                  <w:sz w:val="18"/>
                  <w:szCs w:val="18"/>
                  <w:color w:val="auto"/>
                  <w:w w:val="92"/>
                </w:rPr>
                <w:t>(incorporated by reference to Exhibit 4.5 filed with the Company’s Registration Statement on Form S-8 (File No. 333-232318) filed</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1">
              <w:r>
                <w:rPr>
                  <w:rFonts w:ascii="Arial" w:cs="Arial" w:eastAsia="Arial" w:hAnsi="Arial"/>
                  <w:sz w:val="18"/>
                  <w:szCs w:val="18"/>
                  <w:color w:val="auto"/>
                </w:rPr>
                <w:t>with the SEC on June 24,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2"/>
              </w:rPr>
            </w:pPr>
            <w:hyperlink r:id="rId22">
              <w:r>
                <w:rPr>
                  <w:rFonts w:ascii="Arial" w:cs="Arial" w:eastAsia="Arial" w:hAnsi="Arial"/>
                  <w:sz w:val="18"/>
                  <w:szCs w:val="18"/>
                  <w:color w:val="auto"/>
                  <w:w w:val="92"/>
                </w:rPr>
                <w:t>Incremental Agreement, dated as of July 23, 2019, among GOBP Holdings, Inc., Globe Intermediate Corp., certain subsidiaries of</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3"/>
              </w:rPr>
            </w:pPr>
            <w:hyperlink r:id="rId22">
              <w:r>
                <w:rPr>
                  <w:rFonts w:ascii="Arial" w:cs="Arial" w:eastAsia="Arial" w:hAnsi="Arial"/>
                  <w:sz w:val="18"/>
                  <w:szCs w:val="18"/>
                  <w:color w:val="auto"/>
                  <w:w w:val="93"/>
                </w:rPr>
                <w:t>GOBP Holdings, Inc., the lenders party thereto, and Morgan Stanley Senior Funding, Inc., as Administrative Agent (Incorporated</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5"/>
              </w:rPr>
            </w:pPr>
            <w:hyperlink r:id="rId22">
              <w:r>
                <w:rPr>
                  <w:rFonts w:ascii="Arial" w:cs="Arial" w:eastAsia="Arial" w:hAnsi="Arial"/>
                  <w:sz w:val="18"/>
                  <w:szCs w:val="18"/>
                  <w:color w:val="auto"/>
                  <w:w w:val="95"/>
                </w:rPr>
                <w:t>by reference to Exhibit 10.1 to the Company’s Current Report on Form 8-K (file No. 001-38950) filed with the SEC on July 25,</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2">
              <w:r>
                <w:rPr>
                  <w:rFonts w:ascii="Arial" w:cs="Arial" w:eastAsia="Arial" w:hAnsi="Arial"/>
                  <w:sz w:val="18"/>
                  <w:szCs w:val="18"/>
                  <w:color w:val="auto"/>
                </w:rPr>
                <w:t>2019</w:t>
              </w:r>
            </w:hyperlink>
          </w:p>
        </w:tc>
      </w:tr>
      <w:tr>
        <w:trPr>
          <w:trHeight w:val="256"/>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9580" w:type="dxa"/>
            <w:vAlign w:val="bottom"/>
          </w:tcPr>
          <w:p>
            <w:pPr>
              <w:ind w:left="40"/>
              <w:spacing w:after="0"/>
              <w:rPr>
                <w:rFonts w:ascii="Arial" w:cs="Arial" w:eastAsia="Arial" w:hAnsi="Arial"/>
                <w:sz w:val="18"/>
                <w:szCs w:val="18"/>
                <w:color w:val="auto"/>
                <w:w w:val="91"/>
              </w:rPr>
            </w:pPr>
            <w:hyperlink r:id="rId23">
              <w:r>
                <w:rPr>
                  <w:rFonts w:ascii="Arial" w:cs="Arial" w:eastAsia="Arial" w:hAnsi="Arial"/>
                  <w:sz w:val="18"/>
                  <w:szCs w:val="18"/>
                  <w:color w:val="auto"/>
                  <w:w w:val="91"/>
                </w:rPr>
                <w:t>Globe Holding Corp. 2014 Stock Incentive Plan (incorporated by reference to Exhibit 10.13 to Amendment No. 1 to the Company’s</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3">
              <w:r>
                <w:rPr>
                  <w:rFonts w:ascii="Arial" w:cs="Arial" w:eastAsia="Arial" w:hAnsi="Arial"/>
                  <w:sz w:val="18"/>
                  <w:szCs w:val="18"/>
                  <w:color w:val="auto"/>
                </w:rPr>
                <w:t>Registration Statement on Form S-1 (File No. 333-231428) filed with the SEC on May 22, 2019)</w:t>
              </w:r>
            </w:hyperlink>
          </w:p>
        </w:tc>
      </w:tr>
      <w:tr>
        <w:trPr>
          <w:trHeight w:val="256"/>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9580" w:type="dxa"/>
            <w:vAlign w:val="bottom"/>
          </w:tcPr>
          <w:p>
            <w:pPr>
              <w:ind w:left="40"/>
              <w:spacing w:after="0"/>
              <w:rPr>
                <w:rFonts w:ascii="Arial" w:cs="Arial" w:eastAsia="Arial" w:hAnsi="Arial"/>
                <w:sz w:val="18"/>
                <w:szCs w:val="18"/>
                <w:color w:val="auto"/>
                <w:w w:val="99"/>
              </w:rPr>
            </w:pPr>
            <w:hyperlink r:id="rId24">
              <w:r>
                <w:rPr>
                  <w:rFonts w:ascii="Arial" w:cs="Arial" w:eastAsia="Arial" w:hAnsi="Arial"/>
                  <w:sz w:val="18"/>
                  <w:szCs w:val="18"/>
                  <w:color w:val="auto"/>
                  <w:w w:val="99"/>
                </w:rPr>
                <w:t>Grocery Outlet Holding Corp. 2019 Incentive Plan (incorporated by reference to Exhibit 10.18 to Amendment No. 2 to the</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4">
              <w:r>
                <w:rPr>
                  <w:rFonts w:ascii="Arial" w:cs="Arial" w:eastAsia="Arial" w:hAnsi="Arial"/>
                  <w:sz w:val="18"/>
                  <w:szCs w:val="18"/>
                  <w:color w:val="auto"/>
                </w:rPr>
                <w:t>Company’s Registration Statement on Form S-1 (File No. 333-231428) filed with the SEC on June 10, 2019)</w:t>
              </w:r>
            </w:hyperlink>
          </w:p>
        </w:tc>
      </w:tr>
      <w:tr>
        <w:trPr>
          <w:trHeight w:val="256"/>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9580" w:type="dxa"/>
            <w:vAlign w:val="bottom"/>
          </w:tcPr>
          <w:p>
            <w:pPr>
              <w:ind w:left="40"/>
              <w:spacing w:after="0"/>
              <w:rPr>
                <w:rFonts w:ascii="Arial" w:cs="Arial" w:eastAsia="Arial" w:hAnsi="Arial"/>
                <w:sz w:val="18"/>
                <w:szCs w:val="18"/>
                <w:color w:val="auto"/>
                <w:w w:val="94"/>
              </w:rPr>
            </w:pPr>
            <w:hyperlink r:id="rId25">
              <w:r>
                <w:rPr>
                  <w:rFonts w:ascii="Arial" w:cs="Arial" w:eastAsia="Arial" w:hAnsi="Arial"/>
                  <w:sz w:val="18"/>
                  <w:szCs w:val="18"/>
                  <w:color w:val="auto"/>
                  <w:w w:val="94"/>
                </w:rPr>
                <w:t>Form of Nonqualified Option Grant and Award Agreement (Grocery Outlet Holding Corp. 2019 Incentive Plan) (incorporated by</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2"/>
              </w:rPr>
            </w:pPr>
            <w:hyperlink r:id="rId25">
              <w:r>
                <w:rPr>
                  <w:rFonts w:ascii="Arial" w:cs="Arial" w:eastAsia="Arial" w:hAnsi="Arial"/>
                  <w:sz w:val="18"/>
                  <w:szCs w:val="18"/>
                  <w:color w:val="auto"/>
                  <w:w w:val="92"/>
                </w:rPr>
                <w:t>reference to Exhibit 10.19 to Amendment No. 2 to the Company’s Registration Statement on Form S-1 (File No. 333-231428) filed</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5">
              <w:r>
                <w:rPr>
                  <w:rFonts w:ascii="Arial" w:cs="Arial" w:eastAsia="Arial" w:hAnsi="Arial"/>
                  <w:sz w:val="18"/>
                  <w:szCs w:val="18"/>
                  <w:color w:val="auto"/>
                </w:rPr>
                <w:t>with the SEC on June 10, 2019)</w:t>
              </w:r>
            </w:hyperlink>
          </w:p>
        </w:tc>
      </w:tr>
      <w:tr>
        <w:trPr>
          <w:trHeight w:val="256"/>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9580" w:type="dxa"/>
            <w:vAlign w:val="bottom"/>
          </w:tcPr>
          <w:p>
            <w:pPr>
              <w:ind w:left="40"/>
              <w:spacing w:after="0"/>
              <w:rPr>
                <w:rFonts w:ascii="Arial" w:cs="Arial" w:eastAsia="Arial" w:hAnsi="Arial"/>
                <w:sz w:val="18"/>
                <w:szCs w:val="18"/>
                <w:color w:val="auto"/>
                <w:w w:val="93"/>
              </w:rPr>
            </w:pPr>
            <w:hyperlink r:id="rId26">
              <w:r>
                <w:rPr>
                  <w:rFonts w:ascii="Arial" w:cs="Arial" w:eastAsia="Arial" w:hAnsi="Arial"/>
                  <w:sz w:val="18"/>
                  <w:szCs w:val="18"/>
                  <w:color w:val="auto"/>
                  <w:w w:val="93"/>
                </w:rPr>
                <w:t>Form of Restricted Stock Unit Grant and Award Agreement (Grocery Outlet Holding Corp. 2019 Incentive Plan) (incorporated by</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2"/>
              </w:rPr>
            </w:pPr>
            <w:hyperlink r:id="rId26">
              <w:r>
                <w:rPr>
                  <w:rFonts w:ascii="Arial" w:cs="Arial" w:eastAsia="Arial" w:hAnsi="Arial"/>
                  <w:sz w:val="18"/>
                  <w:szCs w:val="18"/>
                  <w:color w:val="auto"/>
                  <w:w w:val="92"/>
                </w:rPr>
                <w:t>reference to Exhibit 10.20 to Amendment No. 2 to the Company’s Registration Statement on Form S-1 (File No. 333-231428) filed</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6">
              <w:r>
                <w:rPr>
                  <w:rFonts w:ascii="Arial" w:cs="Arial" w:eastAsia="Arial" w:hAnsi="Arial"/>
                  <w:sz w:val="18"/>
                  <w:szCs w:val="18"/>
                  <w:color w:val="auto"/>
                </w:rPr>
                <w:t>with the SEC on June 10, 2019)</w:t>
              </w:r>
            </w:hyperlink>
          </w:p>
        </w:tc>
      </w:tr>
      <w:tr>
        <w:trPr>
          <w:trHeight w:val="256"/>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9580" w:type="dxa"/>
            <w:vAlign w:val="bottom"/>
          </w:tcPr>
          <w:p>
            <w:pPr>
              <w:ind w:left="40"/>
              <w:spacing w:after="0"/>
              <w:rPr>
                <w:rFonts w:ascii="Arial" w:cs="Arial" w:eastAsia="Arial" w:hAnsi="Arial"/>
                <w:sz w:val="18"/>
                <w:szCs w:val="18"/>
                <w:color w:val="auto"/>
                <w:w w:val="91"/>
              </w:rPr>
            </w:pPr>
            <w:hyperlink r:id="rId27">
              <w:r>
                <w:rPr>
                  <w:rFonts w:ascii="Arial" w:cs="Arial" w:eastAsia="Arial" w:hAnsi="Arial"/>
                  <w:sz w:val="18"/>
                  <w:szCs w:val="18"/>
                  <w:color w:val="auto"/>
                  <w:w w:val="91"/>
                </w:rPr>
                <w:t>Grocery Outlet Inc. 2019 Annual Incentive Plan (incorporated by reference to Exhibit 10.21 to Amendment No. 2 to the Company’s</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7">
              <w:r>
                <w:rPr>
                  <w:rFonts w:ascii="Arial" w:cs="Arial" w:eastAsia="Arial" w:hAnsi="Arial"/>
                  <w:sz w:val="18"/>
                  <w:szCs w:val="18"/>
                  <w:color w:val="auto"/>
                </w:rPr>
                <w:t>Registration Statement on Form S-1 (File No. 333-231428) filed with the SEC on June 10,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3"/>
              </w:rPr>
            </w:pPr>
            <w:hyperlink r:id="rId28">
              <w:r>
                <w:rPr>
                  <w:rFonts w:ascii="Arial" w:cs="Arial" w:eastAsia="Arial" w:hAnsi="Arial"/>
                  <w:sz w:val="18"/>
                  <w:szCs w:val="18"/>
                  <w:color w:val="auto"/>
                  <w:w w:val="93"/>
                </w:rPr>
                <w:t>Form of Indemnification Agreement between Grocery Outlet Holding Corp. and directors and executive officers of Grocery Outlet</w:t>
              </w:r>
            </w:hyperlink>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rFonts w:ascii="Arial" w:cs="Arial" w:eastAsia="Arial" w:hAnsi="Arial"/>
                <w:sz w:val="18"/>
                <w:szCs w:val="18"/>
                <w:color w:val="auto"/>
                <w:w w:val="92"/>
              </w:rPr>
            </w:pPr>
            <w:hyperlink r:id="rId28">
              <w:r>
                <w:rPr>
                  <w:rFonts w:ascii="Arial" w:cs="Arial" w:eastAsia="Arial" w:hAnsi="Arial"/>
                  <w:sz w:val="18"/>
                  <w:szCs w:val="18"/>
                  <w:color w:val="auto"/>
                  <w:w w:val="92"/>
                </w:rPr>
                <w:t>Holding Corp. (incorporated by reference to Exhibit 10.31 to Amendment No. 2 to the Company’s Registration Statement on Form</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r:id="rId28">
              <w:r>
                <w:rPr>
                  <w:rFonts w:ascii="Arial" w:cs="Arial" w:eastAsia="Arial" w:hAnsi="Arial"/>
                  <w:sz w:val="18"/>
                  <w:szCs w:val="18"/>
                  <w:color w:val="auto"/>
                </w:rPr>
                <w:t>S-1 (File No. 333-231428) filed with the SEC on June 10, 2019)</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6"/>
              </w:rPr>
            </w:pPr>
            <w:hyperlink w:anchor="page42">
              <w:r>
                <w:rPr>
                  <w:rFonts w:ascii="Arial" w:cs="Arial" w:eastAsia="Arial" w:hAnsi="Arial"/>
                  <w:sz w:val="18"/>
                  <w:szCs w:val="18"/>
                  <w:color w:val="auto"/>
                  <w:w w:val="96"/>
                </w:rPr>
                <w:t>Certification of Principal Executive Officer pursuant to Exchange Act Rules 13a-14(a) and 15d-14(a), as adopted pursuant to</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w:anchor="page42">
              <w:r>
                <w:rPr>
                  <w:rFonts w:ascii="Arial" w:cs="Arial" w:eastAsia="Arial" w:hAnsi="Arial"/>
                  <w:sz w:val="18"/>
                  <w:szCs w:val="18"/>
                  <w:color w:val="auto"/>
                </w:rPr>
                <w:t>Section 302 of the Sarbanes-Oxley Act of 2002</w:t>
              </w:r>
            </w:hyperlink>
          </w:p>
        </w:tc>
      </w:tr>
      <w:tr>
        <w:trPr>
          <w:trHeight w:val="472"/>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Pr>
          <w:p>
            <w:pPr>
              <w:ind w:left="40"/>
              <w:spacing w:after="0"/>
              <w:rPr>
                <w:rFonts w:ascii="Arial" w:cs="Arial" w:eastAsia="Arial" w:hAnsi="Arial"/>
                <w:sz w:val="18"/>
                <w:szCs w:val="18"/>
                <w:color w:val="auto"/>
                <w:w w:val="96"/>
              </w:rPr>
            </w:pPr>
            <w:hyperlink w:anchor="page43">
              <w:r>
                <w:rPr>
                  <w:rFonts w:ascii="Arial" w:cs="Arial" w:eastAsia="Arial" w:hAnsi="Arial"/>
                  <w:sz w:val="18"/>
                  <w:szCs w:val="18"/>
                  <w:color w:val="auto"/>
                  <w:w w:val="96"/>
                </w:rPr>
                <w:t>Certification of Principal Financial Officer pursuant to Exchange Act Rules 13a-14(a) and 15d-14(a), as adopted pursuant to</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w:anchor="page43">
              <w:r>
                <w:rPr>
                  <w:rFonts w:ascii="Arial" w:cs="Arial" w:eastAsia="Arial" w:hAnsi="Arial"/>
                  <w:sz w:val="18"/>
                  <w:szCs w:val="18"/>
                  <w:color w:val="auto"/>
                </w:rPr>
                <w:t>Section 302 of the Sarbanes-Oxley Act of 2002</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8"/>
              </w:rPr>
            </w:pPr>
            <w:hyperlink w:anchor="page44">
              <w:r>
                <w:rPr>
                  <w:rFonts w:ascii="Arial" w:cs="Arial" w:eastAsia="Arial" w:hAnsi="Arial"/>
                  <w:sz w:val="18"/>
                  <w:szCs w:val="18"/>
                  <w:color w:val="auto"/>
                  <w:w w:val="98"/>
                </w:rPr>
                <w:t>Certification of Principal Executive Officer pursuant to 18 U.S.C. Section 1350, as adopted pursuant to Section 906 of the</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w:anchor="page44">
              <w:r>
                <w:rPr>
                  <w:rFonts w:ascii="Arial" w:cs="Arial" w:eastAsia="Arial" w:hAnsi="Arial"/>
                  <w:sz w:val="18"/>
                  <w:szCs w:val="18"/>
                  <w:color w:val="auto"/>
                </w:rPr>
                <w:t>Sarbanes-Oxley Act of 2002</w:t>
              </w:r>
            </w:hyperlink>
          </w:p>
        </w:tc>
      </w:tr>
      <w:tr>
        <w:trPr>
          <w:trHeight w:val="256"/>
        </w:trPr>
        <w:tc>
          <w:tcPr>
            <w:tcW w:w="1620" w:type="dxa"/>
            <w:vAlign w:val="bottom"/>
          </w:tcPr>
          <w:p>
            <w:pPr>
              <w:ind w:left="4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2"/>
                <w:szCs w:val="22"/>
                <w:color w:val="auto"/>
              </w:rPr>
            </w:pPr>
          </w:p>
        </w:tc>
        <w:tc>
          <w:tcPr>
            <w:tcW w:w="9580" w:type="dxa"/>
            <w:vAlign w:val="bottom"/>
          </w:tcPr>
          <w:p>
            <w:pPr>
              <w:ind w:left="40"/>
              <w:spacing w:after="0"/>
              <w:rPr>
                <w:rFonts w:ascii="Arial" w:cs="Arial" w:eastAsia="Arial" w:hAnsi="Arial"/>
                <w:sz w:val="18"/>
                <w:szCs w:val="18"/>
                <w:color w:val="auto"/>
                <w:w w:val="91"/>
              </w:rPr>
            </w:pPr>
            <w:hyperlink w:anchor="page45">
              <w:r>
                <w:rPr>
                  <w:rFonts w:ascii="Arial" w:cs="Arial" w:eastAsia="Arial" w:hAnsi="Arial"/>
                  <w:sz w:val="18"/>
                  <w:szCs w:val="18"/>
                  <w:color w:val="auto"/>
                  <w:w w:val="91"/>
                </w:rPr>
                <w:t>Certification of Principal Financial Officer pursuant to 18 U.S.C. Section 1350, as adopted pursuant to Section 906 of the Sarbanes-</w:t>
              </w:r>
            </w:hyperlink>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tcPr>
          <w:p>
            <w:pPr>
              <w:ind w:left="40"/>
              <w:spacing w:after="0"/>
              <w:rPr>
                <w:rFonts w:ascii="Arial" w:cs="Arial" w:eastAsia="Arial" w:hAnsi="Arial"/>
                <w:sz w:val="18"/>
                <w:szCs w:val="18"/>
                <w:color w:val="auto"/>
              </w:rPr>
            </w:pPr>
            <w:hyperlink w:anchor="page45">
              <w:r>
                <w:rPr>
                  <w:rFonts w:ascii="Arial" w:cs="Arial" w:eastAsia="Arial" w:hAnsi="Arial"/>
                  <w:sz w:val="18"/>
                  <w:szCs w:val="18"/>
                  <w:color w:val="auto"/>
                </w:rPr>
                <w:t>Oxley Act of 2002</w:t>
              </w:r>
            </w:hyperlink>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Instant Document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Extension Calculation Linkbase Document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Extension Definition Linkbase Document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Extension Labels Linkbase Document</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Extension Presentation Linkbase Document</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86" w:lineRule="exact"/>
        <w:rPr>
          <w:sz w:val="20"/>
          <w:szCs w:val="20"/>
          <w:color w:val="auto"/>
        </w:rPr>
      </w:pPr>
    </w:p>
    <w:p>
      <w:pPr>
        <w:ind w:left="740" w:hanging="705"/>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740" w:hanging="705"/>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40" w:right="120" w:hanging="705"/>
        <w:spacing w:after="0" w:line="215" w:lineRule="auto"/>
        <w:tabs>
          <w:tab w:leader="none" w:pos="740" w:val="left"/>
        </w:tabs>
        <w:numPr>
          <w:ilvl w:val="0"/>
          <w:numId w:val="27"/>
        </w:numPr>
        <w:rPr>
          <w:rFonts w:ascii="Arial" w:cs="Arial" w:eastAsia="Arial" w:hAnsi="Arial"/>
          <w:sz w:val="34"/>
          <w:szCs w:val="34"/>
          <w:color w:val="auto"/>
          <w:vertAlign w:val="subscript"/>
        </w:rPr>
      </w:pPr>
      <w:r>
        <w:rPr>
          <w:rFonts w:ascii="Arial" w:cs="Arial" w:eastAsia="Arial" w:hAnsi="Arial"/>
          <w:sz w:val="17"/>
          <w:szCs w:val="17"/>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6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64" w:orient="portrait"/>
          <w:cols w:equalWidth="0" w:num="1">
            <w:col w:w="11420"/>
          </w:cols>
          <w:pgMar w:left="240" w:top="125" w:right="239" w:bottom="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Grocery Outlet Holding Corp.</w:t>
      </w:r>
    </w:p>
    <w:p>
      <w:pPr>
        <w:spacing w:after="0" w:line="391" w:lineRule="exact"/>
        <w:rPr>
          <w:sz w:val="20"/>
          <w:szCs w:val="20"/>
          <w:color w:val="auto"/>
        </w:rPr>
      </w:pPr>
    </w:p>
    <w:p>
      <w:pPr>
        <w:ind w:left="40"/>
        <w:spacing w:after="0"/>
        <w:tabs>
          <w:tab w:leader="none" w:pos="820" w:val="left"/>
          <w:tab w:leader="none" w:pos="7220" w:val="left"/>
          <w:tab w:leader="none" w:pos="8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Charles Bracher</w:t>
      </w:r>
    </w:p>
    <w:p>
      <w:pPr>
        <w:spacing w:after="0" w:line="23"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ind w:left="40"/>
        <w:spacing w:after="0"/>
        <w:tabs>
          <w:tab w:leader="none" w:pos="820" w:val="left"/>
          <w:tab w:leader="none" w:pos="7220" w:val="left"/>
          <w:tab w:leader="none" w:pos="8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Lindsay Gray</w:t>
      </w:r>
    </w:p>
    <w:p>
      <w:pPr>
        <w:spacing w:after="0" w:line="23"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Vice President Corporate Controller</w:t>
      </w:r>
    </w:p>
    <w:p>
      <w:pPr>
        <w:spacing w:after="0" w:line="9"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25"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31.1</w:t>
      </w:r>
    </w:p>
    <w:p>
      <w:pPr>
        <w:spacing w:after="0" w:line="26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15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34" w:lineRule="exact"/>
        <w:rPr>
          <w:rFonts w:ascii="Arial" w:cs="Arial" w:eastAsia="Arial" w:hAnsi="Arial"/>
          <w:sz w:val="20"/>
          <w:szCs w:val="20"/>
          <w:color w:val="auto"/>
        </w:rPr>
      </w:pPr>
    </w:p>
    <w:p>
      <w:pPr>
        <w:ind w:left="340" w:right="120" w:hanging="332"/>
        <w:spacing w:after="0" w:line="33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340" w:right="580" w:hanging="332"/>
        <w:spacing w:after="0" w:line="296" w:lineRule="auto"/>
        <w:tabs>
          <w:tab w:leader="none" w:pos="340" w:val="left"/>
        </w:tabs>
        <w:numPr>
          <w:ilvl w:val="0"/>
          <w:numId w:val="28"/>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9"/>
          <w:szCs w:val="19"/>
          <w:color w:val="auto"/>
        </w:rPr>
      </w:pPr>
    </w:p>
    <w:p>
      <w:pPr>
        <w:ind w:left="340" w:right="60" w:hanging="332"/>
        <w:spacing w:after="0" w:line="266"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96" w:lineRule="exact"/>
        <w:rPr>
          <w:rFonts w:ascii="Arial" w:cs="Arial" w:eastAsia="Arial" w:hAnsi="Arial"/>
          <w:sz w:val="20"/>
          <w:szCs w:val="20"/>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340" w:right="500" w:hanging="332"/>
        <w:spacing w:after="0" w:line="296" w:lineRule="auto"/>
        <w:tabs>
          <w:tab w:leader="none" w:pos="340" w:val="left"/>
        </w:tabs>
        <w:numPr>
          <w:ilvl w:val="0"/>
          <w:numId w:val="28"/>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9"/>
          <w:szCs w:val="19"/>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180"/>
        <w:spacing w:after="0"/>
        <w:tabs>
          <w:tab w:leader="none" w:pos="644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6"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31.2</w:t>
      </w:r>
    </w:p>
    <w:p>
      <w:pPr>
        <w:spacing w:after="0" w:line="26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Charles Bracher, certify that:</w:t>
      </w:r>
    </w:p>
    <w:p>
      <w:pPr>
        <w:spacing w:after="0" w:line="15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34" w:lineRule="exact"/>
        <w:rPr>
          <w:rFonts w:ascii="Arial" w:cs="Arial" w:eastAsia="Arial" w:hAnsi="Arial"/>
          <w:sz w:val="20"/>
          <w:szCs w:val="20"/>
          <w:color w:val="auto"/>
        </w:rPr>
      </w:pPr>
    </w:p>
    <w:p>
      <w:pPr>
        <w:ind w:left="340" w:right="120" w:hanging="332"/>
        <w:spacing w:after="0" w:line="33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340" w:right="580" w:hanging="332"/>
        <w:spacing w:after="0" w:line="296" w:lineRule="auto"/>
        <w:tabs>
          <w:tab w:leader="none" w:pos="340" w:val="left"/>
        </w:tabs>
        <w:numPr>
          <w:ilvl w:val="0"/>
          <w:numId w:val="29"/>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9"/>
          <w:szCs w:val="19"/>
          <w:color w:val="auto"/>
        </w:rPr>
      </w:pPr>
    </w:p>
    <w:p>
      <w:pPr>
        <w:ind w:left="340" w:right="60" w:hanging="332"/>
        <w:spacing w:after="0" w:line="266"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96" w:lineRule="exact"/>
        <w:rPr>
          <w:rFonts w:ascii="Arial" w:cs="Arial" w:eastAsia="Arial" w:hAnsi="Arial"/>
          <w:sz w:val="20"/>
          <w:szCs w:val="20"/>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340" w:right="500" w:hanging="332"/>
        <w:spacing w:after="0" w:line="296" w:lineRule="auto"/>
        <w:tabs>
          <w:tab w:leader="none" w:pos="340" w:val="left"/>
        </w:tabs>
        <w:numPr>
          <w:ilvl w:val="0"/>
          <w:numId w:val="29"/>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9"/>
          <w:szCs w:val="19"/>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180"/>
        <w:spacing w:after="0"/>
        <w:tabs>
          <w:tab w:leader="none" w:pos="644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01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4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June 29, 2019 as filed with the Securities and Exchange Commission on the date hereof (the “Report”), I, Eric J. Lindberg, Jr., certify pursuant to 18 U.S.C. § 1350, as adopted pursuant to § 906 of the Sarbanes-Oxley Act of 2002, that:</w:t>
      </w:r>
    </w:p>
    <w:p>
      <w:pPr>
        <w:spacing w:after="0" w:line="141"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40" w:right="70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644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June 29, 2019 as filed with the Securities and Exchange Commission on the date hereof (the “Report”), I, Charles Bracher, certify pursuant to 18 U.S.C. § 1350, as adopted pursuant to § 906 of the Sarbanes-Oxley Act of 2002, that:</w:t>
      </w:r>
    </w:p>
    <w:p>
      <w:pPr>
        <w:spacing w:after="0" w:line="141"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40" w:right="70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644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01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7"/>
    </w:lvl>
  </w:abstractNum>
  <w:abstractNum w:abstractNumId="16">
    <w:nsid w:val="75A2A8D4"/>
    <w:multiLevelType w:val="hybridMultilevel"/>
    <w:lvl w:ilvl="0">
      <w:lvlJc w:val="left"/>
      <w:lvlText w:val="%1."/>
      <w:numFmt w:val="decimal"/>
      <w:start w:val="8"/>
    </w:lvl>
  </w:abstractNum>
  <w:abstractNum w:abstractNumId="17">
    <w:nsid w:val="8EDBDAB"/>
    <w:multiLevelType w:val="hybridMultilevel"/>
    <w:lvl w:ilvl="0">
      <w:lvlJc w:val="left"/>
      <w:lvlText w:val="%1."/>
      <w:numFmt w:val="decimal"/>
      <w:start w:val="9"/>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18" Type="http://schemas.openxmlformats.org/officeDocument/2006/relationships/hyperlink" Target="http://www.sec.gov/Archives/edgar/data/1771515/000119312519180291/d729208dex41.htm" TargetMode="External"/><Relationship Id="rId19" Type="http://schemas.openxmlformats.org/officeDocument/2006/relationships/hyperlink" Target="http://www.sec.gov/Archives/edgar/data/1771515/000119312519180291/d729208dex42.htm" TargetMode="External"/><Relationship Id="rId20" Type="http://schemas.openxmlformats.org/officeDocument/2006/relationships/hyperlink" Target="http://www.sec.gov/Archives/edgar/data/1771515/000095012319005900/d710724dex41.htm" TargetMode="External"/><Relationship Id="rId21" Type="http://schemas.openxmlformats.org/officeDocument/2006/relationships/hyperlink" Target="http://www.sec.gov/Archives/edgar/data/1771515/000119312519180291/d729208dex45.htm" TargetMode="External"/><Relationship Id="rId22" Type="http://schemas.openxmlformats.org/officeDocument/2006/relationships/hyperlink" Target="http://www.sec.gov/Archives/edgar/data/1771515/000119312519201798/d780645dex101.htm" TargetMode="External"/><Relationship Id="rId23" Type="http://schemas.openxmlformats.org/officeDocument/2006/relationships/hyperlink" Target="http://www.sec.gov/Archives/edgar/data/1771515/000119312519154108/d710724dex1013.htm" TargetMode="External"/><Relationship Id="rId24" Type="http://schemas.openxmlformats.org/officeDocument/2006/relationships/hyperlink" Target="http://www.sec.gov/Archives/edgar/data/1771515/000095012319005900/d710724dex1018.htm" TargetMode="External"/><Relationship Id="rId25" Type="http://schemas.openxmlformats.org/officeDocument/2006/relationships/hyperlink" Target="http://www.sec.gov/Archives/edgar/data/1771515/000095012319005900/d710724dex1019.htm" TargetMode="External"/><Relationship Id="rId26" Type="http://schemas.openxmlformats.org/officeDocument/2006/relationships/hyperlink" Target="http://www.sec.gov/Archives/edgar/data/1771515/000095012319005900/d710724dex1020.htm" TargetMode="External"/><Relationship Id="rId27" Type="http://schemas.openxmlformats.org/officeDocument/2006/relationships/hyperlink" Target="http://www.sec.gov/Archives/edgar/data/1771515/000095012319005900/d710724dex1021.htm" TargetMode="External"/><Relationship Id="rId28" Type="http://schemas.openxmlformats.org/officeDocument/2006/relationships/hyperlink" Target="http://www.sec.gov/Archives/edgar/data/1771515/000095012319005900/d710724d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2019-12-28T07:14:20Z</dcterms:created>
  <dcterms:modified xsi:type="dcterms:W3CDTF">2019-12-28T07:14:20Z</dcterms:modified>
</cp:coreProperties>
</file>