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July 1,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001-38950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952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52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320" w:type="dxa"/>
        <w:jc w:val="center"/>
        <w:tblInd w:w="0" w:type="dxa"/>
        <w:tblLayout w:type="fixed"/>
        <w:tblCellMar>
          <w:top w:w="28" w:type="dxa"/>
          <w:left w:w="28" w:type="dxa"/>
          <w:bottom w:w="28" w:type="dxa"/>
          <w:right w:w="28" w:type="dxa"/>
        </w:tblCellMar>
      </w:tblPr>
      <w:tblGrid>
        <w:gridCol w:w="1323"/>
        <w:gridCol w:w="1163"/>
        <w:gridCol w:w="1174"/>
        <w:gridCol w:w="109"/>
        <w:gridCol w:w="109"/>
        <w:gridCol w:w="109"/>
        <w:gridCol w:w="109"/>
        <w:gridCol w:w="109"/>
        <w:gridCol w:w="109"/>
        <w:gridCol w:w="109"/>
        <w:gridCol w:w="109"/>
        <w:gridCol w:w="109"/>
        <w:gridCol w:w="490"/>
        <w:gridCol w:w="490"/>
        <w:gridCol w:w="699"/>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47-1874201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(I.R.S. Employer </w:t>
              <w:br/>
              <w:t>Identification No.)</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5650 Hollis Street, Emeryville,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94608</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(510) 845-1999</w:t>
            </w:r>
          </w:p>
        </w:tc>
      </w:tr>
      <w:tr>
        <w:trPr/>
        <w:tc>
          <w:tcPr>
            <w:tcW w:w="6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692" w:type="dxa"/>
        <w:jc w:val="center"/>
        <w:tblInd w:w="0" w:type="dxa"/>
        <w:tblLayout w:type="fixed"/>
        <w:tblCellMar>
          <w:top w:w="28" w:type="dxa"/>
          <w:left w:w="28" w:type="dxa"/>
          <w:bottom w:w="28" w:type="dxa"/>
          <w:right w:w="28" w:type="dxa"/>
        </w:tblCellMar>
      </w:tblPr>
      <w:tblGrid>
        <w:gridCol w:w="1155"/>
        <w:gridCol w:w="1017"/>
        <w:gridCol w:w="1023"/>
        <w:gridCol w:w="109"/>
        <w:gridCol w:w="109"/>
        <w:gridCol w:w="109"/>
        <w:gridCol w:w="454"/>
        <w:gridCol w:w="454"/>
        <w:gridCol w:w="456"/>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ind w:left="0" w:right="0" w:firstLine="540"/>
        <w:jc w:val="both"/>
        <w:rPr/>
      </w:pPr>
      <w:r>
        <w:rPr/>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lineRule="auto" w:line="288" w:before="120" w:after="283"/>
        <w:jc w:val="both"/>
        <w:rPr/>
      </w:pPr>
      <w:r>
        <w:rPr>
          <w:rFonts w:ascii="Times New Roman;sans-serif" w:hAnsi="Times New Roman;sans-serif"/>
          <w:b w:val="false"/>
          <w:color w:val="000000"/>
          <w:sz w:val="18"/>
          <w:shd w:fill="FFFFFF" w:val="clear"/>
        </w:rPr>
        <w:t>As o</w:t>
      </w:r>
      <w:r>
        <w:rPr>
          <w:rFonts w:ascii="Times New Roman;sans-serif" w:hAnsi="Times New Roman;sans-serif"/>
          <w:b w:val="false"/>
          <w:color w:val="000000"/>
          <w:sz w:val="18"/>
        </w:rPr>
        <w:t>f August 3, 2023, the r</w:t>
      </w:r>
      <w:r>
        <w:rPr>
          <w:rFonts w:ascii="Times New Roman;sans-serif" w:hAnsi="Times New Roman;sans-serif"/>
          <w:b w:val="false"/>
          <w:color w:val="000000"/>
          <w:sz w:val="18"/>
          <w:shd w:fill="FFFFFF" w:val="clear"/>
        </w:rPr>
        <w:t>egistrant</w:t>
      </w:r>
      <w:r>
        <w:rPr>
          <w:color w:val="000000"/>
        </w:rPr>
        <w:t xml:space="preserve"> </w:t>
      </w:r>
      <w:r>
        <w:rPr>
          <w:rFonts w:ascii="Times New Roman;sans-serif" w:hAnsi="Times New Roman;sans-serif"/>
          <w:b w:val="false"/>
          <w:color w:val="000000"/>
          <w:sz w:val="18"/>
        </w:rPr>
        <w:t>had 98,777,446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10-Q</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10115" w:type="dxa"/>
        <w:jc w:val="center"/>
        <w:tblInd w:w="0" w:type="dxa"/>
        <w:tblLayout w:type="fixed"/>
        <w:tblCellMar>
          <w:top w:w="28" w:type="dxa"/>
          <w:left w:w="28" w:type="dxa"/>
          <w:bottom w:w="28" w:type="dxa"/>
          <w:right w:w="28" w:type="dxa"/>
        </w:tblCellMar>
      </w:tblPr>
      <w:tblGrid>
        <w:gridCol w:w="824"/>
        <w:gridCol w:w="723"/>
        <w:gridCol w:w="723"/>
        <w:gridCol w:w="2430"/>
        <w:gridCol w:w="2430"/>
        <w:gridCol w:w="2474"/>
        <w:gridCol w:w="149"/>
        <w:gridCol w:w="149"/>
        <w:gridCol w:w="213"/>
      </w:tblGrid>
      <w:tr>
        <w:trPr/>
        <w:tc>
          <w:tcPr>
            <w:tcW w:w="82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960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3">
              <w:r>
                <w:rPr>
                  <w:rStyle w:val="InternetLink"/>
                  <w:rFonts w:ascii="Times New Roman;sans-serif" w:hAnsi="Times New Roman;sans-serif"/>
                  <w:b w:val="false"/>
                  <w:color w:val="3051F2"/>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3">
              <w:r>
                <w:rPr>
                  <w:rStyle w:val="InternetLink"/>
                  <w:rFonts w:ascii="Times New Roman;sans-serif" w:hAnsi="Times New Roman;sans-serif"/>
                  <w:b w:val="false"/>
                  <w:color w:val="3051F2"/>
                  <w:sz w:val="18"/>
                  <w:u w:val="single"/>
                </w:rPr>
                <w:t>2</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6">
              <w:r>
                <w:rPr>
                  <w:rStyle w:val="InternetLink"/>
                  <w:rFonts w:ascii="Times New Roman;sans-serif" w:hAnsi="Times New Roman;sans-serif"/>
                  <w:b/>
                  <w:strike w:val="false"/>
                  <w:dstrike w:val="false"/>
                  <w:color w:val="000080"/>
                  <w:sz w:val="20"/>
                  <w:u w:val="single"/>
                  <w:effect w:val="none"/>
                </w:rPr>
                <w:t xml:space="preserve">PART I. </w:t>
              </w:r>
            </w:hyperlink>
            <w:hyperlink w:anchor="i31c04b3a102b4297b0ffe4e16d96fafd_16">
              <w:r>
                <w:rPr>
                  <w:rStyle w:val="InternetLink"/>
                  <w:rFonts w:ascii="Times New Roman;sans-serif" w:hAnsi="Times New Roman;sans-serif"/>
                  <w:b/>
                  <w:strike w:val="false"/>
                  <w:dstrike w:val="false"/>
                  <w:color w:val="000080"/>
                  <w:sz w:val="20"/>
                  <w:u w:val="singl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9">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9">
              <w:r>
                <w:rPr>
                  <w:rStyle w:val="InternetLink"/>
                  <w:rFonts w:ascii="Times New Roman;sans-serif" w:hAnsi="Times New Roman;sans-serif"/>
                  <w:b w:val="false"/>
                  <w:color w:val="3051F2"/>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9">
              <w:r>
                <w:rPr>
                  <w:rStyle w:val="InternetLink"/>
                  <w:rFonts w:ascii="Times New Roman;sans-serif" w:hAnsi="Times New Roman;sans-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22">
              <w:r>
                <w:rPr>
                  <w:rStyle w:val="InternetLink"/>
                  <w:rFonts w:ascii="Times New Roman;sans-serif" w:hAnsi="Times New Roman;sans-serif"/>
                  <w:b w:val="false"/>
                  <w:color w:val="3051F2"/>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22">
              <w:r>
                <w:rPr>
                  <w:rStyle w:val="InternetLink"/>
                  <w:rFonts w:ascii="Times New Roman;sans-serif" w:hAnsi="Times New Roman;sans-serif"/>
                  <w:b w:val="false"/>
                  <w:color w:val="3051F2"/>
                  <w:sz w:val="18"/>
                  <w:u w:val="single"/>
                </w:rPr>
                <w:t>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25">
              <w:r>
                <w:rPr>
                  <w:rStyle w:val="InternetLink"/>
                  <w:rFonts w:ascii="Times New Roman;sans-serif" w:hAnsi="Times New Roman;sans-serif"/>
                  <w:b w:val="false"/>
                  <w:color w:val="3051F2"/>
                  <w:sz w:val="20"/>
                  <w:u w:val="single"/>
                </w:rPr>
                <w:t>Condensed Consolidated Statements of Operations and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25">
              <w:r>
                <w:rPr>
                  <w:rStyle w:val="InternetLink"/>
                  <w:rFonts w:ascii="Times New Roman;sans-serif" w:hAnsi="Times New Roman;sans-serif"/>
                  <w:b w:val="false"/>
                  <w:color w:val="3051F2"/>
                  <w:sz w:val="18"/>
                  <w:u w:val="single"/>
                </w:rPr>
                <w:t>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28">
              <w:r>
                <w:rPr>
                  <w:rStyle w:val="InternetLink"/>
                  <w:rFonts w:ascii="Times New Roman;sans-serif" w:hAnsi="Times New Roman;sans-serif"/>
                  <w:b w:val="false"/>
                  <w:color w:val="3051F2"/>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28">
              <w:r>
                <w:rPr>
                  <w:rStyle w:val="InternetLink"/>
                  <w:rFonts w:ascii="Times New Roman;sans-serif" w:hAnsi="Times New Roman;sans-serif"/>
                  <w:b w:val="false"/>
                  <w:color w:val="3051F2"/>
                  <w:sz w:val="18"/>
                  <w:u w:val="single"/>
                </w:rPr>
                <w:t>5</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31">
              <w:r>
                <w:rPr>
                  <w:rStyle w:val="InternetLink"/>
                  <w:rFonts w:ascii="Times New Roman;sans-serif" w:hAnsi="Times New Roman;sans-serif"/>
                  <w:b w:val="false"/>
                  <w:color w:val="3051F2"/>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31">
              <w:r>
                <w:rPr>
                  <w:rStyle w:val="InternetLink"/>
                  <w:rFonts w:ascii="Times New Roman;sans-serif" w:hAnsi="Times New Roman;sans-serif"/>
                  <w:b w:val="false"/>
                  <w:color w:val="3051F2"/>
                  <w:sz w:val="18"/>
                  <w:u w:val="single"/>
                </w:rPr>
                <w:t>7</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34">
              <w:r>
                <w:rPr>
                  <w:rStyle w:val="InternetLink"/>
                  <w:rFonts w:ascii="Times New Roman;sans-serif" w:hAnsi="Times New Roman;sans-serif"/>
                  <w:b w:val="false"/>
                  <w:color w:val="3051F2"/>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34">
              <w:r>
                <w:rPr>
                  <w:rStyle w:val="InternetLink"/>
                  <w:rFonts w:ascii="Times New Roman;sans-serif" w:hAnsi="Times New Roman;sans-serif"/>
                  <w:b w:val="false"/>
                  <w:color w:val="3051F2"/>
                  <w:sz w:val="18"/>
                  <w:u w:val="single"/>
                </w:rPr>
                <w:t>8</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64">
              <w:r>
                <w:rPr>
                  <w:rStyle w:val="InternetLink"/>
                  <w:rFonts w:ascii="Times New Roman;sans-serif" w:hAnsi="Times New Roman;sans-serif"/>
                  <w:b w:val="false"/>
                  <w:strike w:val="false"/>
                  <w:dstrike w:val="false"/>
                  <w:color w:val="000000"/>
                  <w:sz w:val="20"/>
                  <w:u w:val="none"/>
                  <w:effect w:val="none"/>
                </w:rPr>
                <w:t>Item 2</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64">
              <w:r>
                <w:rPr>
                  <w:rStyle w:val="InternetLink"/>
                  <w:rFonts w:ascii="Times New Roman;sans-serif" w:hAnsi="Times New Roman;sans-serif"/>
                  <w:b w:val="false"/>
                  <w:color w:val="3051F2"/>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64">
              <w:r>
                <w:rPr>
                  <w:rStyle w:val="InternetLink"/>
                  <w:rFonts w:ascii="Times New Roman;sans-serif" w:hAnsi="Times New Roman;sans-serif"/>
                  <w:b w:val="false"/>
                  <w:color w:val="3051F2"/>
                  <w:sz w:val="18"/>
                  <w:u w:val="single"/>
                </w:rPr>
                <w:t>20</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67">
              <w:r>
                <w:rPr>
                  <w:rStyle w:val="InternetLink"/>
                  <w:rFonts w:ascii="Times New Roman;sans-serif" w:hAnsi="Times New Roman;sans-serif"/>
                  <w:b w:val="false"/>
                  <w:color w:val="3051F2"/>
                  <w:sz w:val="20"/>
                  <w:u w:val="singl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67">
              <w:r>
                <w:rPr>
                  <w:rStyle w:val="InternetLink"/>
                  <w:rFonts w:ascii="Times New Roman;sans-serif" w:hAnsi="Times New Roman;sans-serif"/>
                  <w:b w:val="false"/>
                  <w:color w:val="3051F2"/>
                  <w:sz w:val="18"/>
                  <w:u w:val="single"/>
                </w:rPr>
                <w:t>20</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70">
              <w:r>
                <w:rPr>
                  <w:rStyle w:val="InternetLink"/>
                  <w:rFonts w:ascii="Times New Roman;sans-serif" w:hAnsi="Times New Roman;sans-serif"/>
                  <w:b w:val="false"/>
                  <w:color w:val="3051F2"/>
                  <w:sz w:val="20"/>
                  <w:u w:val="singl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70">
              <w:r>
                <w:rPr>
                  <w:rStyle w:val="InternetLink"/>
                  <w:rFonts w:ascii="Times New Roman;sans-serif" w:hAnsi="Times New Roman;sans-serif"/>
                  <w:b w:val="false"/>
                  <w:color w:val="3051F2"/>
                  <w:sz w:val="18"/>
                  <w:u w:val="single"/>
                </w:rPr>
                <w:t>23</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73">
              <w:r>
                <w:rPr>
                  <w:rStyle w:val="InternetLink"/>
                  <w:rFonts w:ascii="Times New Roman;sans-serif" w:hAnsi="Times New Roman;sans-serif"/>
                  <w:b w:val="false"/>
                  <w:color w:val="3051F2"/>
                  <w:sz w:val="20"/>
                  <w:u w:val="singl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73">
              <w:r>
                <w:rPr>
                  <w:rStyle w:val="InternetLink"/>
                  <w:rFonts w:ascii="Times New Roman;sans-serif" w:hAnsi="Times New Roman;sans-serif"/>
                  <w:b w:val="false"/>
                  <w:color w:val="3051F2"/>
                  <w:sz w:val="18"/>
                  <w:u w:val="single"/>
                </w:rPr>
                <w:t>30</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76">
              <w:r>
                <w:rPr>
                  <w:rStyle w:val="InternetLink"/>
                  <w:rFonts w:ascii="Times New Roman;sans-serif" w:hAnsi="Times New Roman;sans-serif"/>
                  <w:b w:val="false"/>
                  <w:color w:val="3051F2"/>
                  <w:sz w:val="20"/>
                  <w:u w:val="single"/>
                </w:rPr>
                <w:t>Critical Accounting Policies and Estimates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76">
              <w:r>
                <w:rPr>
                  <w:rStyle w:val="InternetLink"/>
                  <w:rFonts w:ascii="Times New Roman;sans-serif" w:hAnsi="Times New Roman;sans-serif"/>
                  <w:b w:val="false"/>
                  <w:color w:val="3051F2"/>
                  <w:sz w:val="18"/>
                  <w:u w:val="single"/>
                </w:rPr>
                <w:t>32</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79">
              <w:r>
                <w:rPr>
                  <w:rStyle w:val="InternetLink"/>
                  <w:rFonts w:ascii="Times New Roman;sans-serif" w:hAnsi="Times New Roman;sans-serif"/>
                  <w:b w:val="false"/>
                  <w:color w:val="3051F2"/>
                  <w:sz w:val="20"/>
                  <w:u w:val="single"/>
                </w:rPr>
                <w:t>Recent Accounting Pronouncements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79">
              <w:r>
                <w:rPr>
                  <w:rStyle w:val="InternetLink"/>
                  <w:rFonts w:ascii="Times New Roman;sans-serif" w:hAnsi="Times New Roman;sans-serif"/>
                  <w:b w:val="false"/>
                  <w:color w:val="3051F2"/>
                  <w:sz w:val="18"/>
                  <w:u w:val="single"/>
                </w:rPr>
                <w:t>32</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82">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82">
              <w:r>
                <w:rPr>
                  <w:rStyle w:val="InternetLink"/>
                  <w:rFonts w:ascii="Times New Roman;sans-serif" w:hAnsi="Times New Roman;sans-serif"/>
                  <w:b w:val="false"/>
                  <w:color w:val="3051F2"/>
                  <w:sz w:val="20"/>
                  <w:u w:val="single"/>
                </w:rPr>
                <w:t>Quantitative and Qualitative Disclosure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82">
              <w:r>
                <w:rPr>
                  <w:rStyle w:val="InternetLink"/>
                  <w:rFonts w:ascii="Times New Roman;sans-serif" w:hAnsi="Times New Roman;sans-serif"/>
                  <w:b w:val="false"/>
                  <w:color w:val="3051F2"/>
                  <w:sz w:val="18"/>
                  <w:u w:val="single"/>
                </w:rPr>
                <w:t>33</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85">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85">
              <w:r>
                <w:rPr>
                  <w:rStyle w:val="InternetLink"/>
                  <w:rFonts w:ascii="Times New Roman;sans-serif" w:hAnsi="Times New Roman;sans-serif"/>
                  <w:b w:val="false"/>
                  <w:color w:val="3051F2"/>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85">
              <w:r>
                <w:rPr>
                  <w:rStyle w:val="InternetLink"/>
                  <w:rFonts w:ascii="Times New Roman;sans-serif" w:hAnsi="Times New Roman;sans-serif"/>
                  <w:b w:val="false"/>
                  <w:color w:val="3051F2"/>
                  <w:sz w:val="18"/>
                  <w:u w:val="single"/>
                </w:rPr>
                <w:t>34</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88">
              <w:r>
                <w:rPr>
                  <w:rStyle w:val="InternetLink"/>
                  <w:rFonts w:ascii="Times New Roman;sans-serif" w:hAnsi="Times New Roman;sans-serif"/>
                  <w:b/>
                  <w:strike w:val="false"/>
                  <w:dstrike w:val="false"/>
                  <w:color w:val="000080"/>
                  <w:sz w:val="20"/>
                  <w:u w:val="single"/>
                  <w:effect w:val="none"/>
                </w:rPr>
                <w:t xml:space="preserve">PART II. </w:t>
              </w:r>
            </w:hyperlink>
            <w:hyperlink w:anchor="i31c04b3a102b4297b0ffe4e16d96fafd_88">
              <w:r>
                <w:rPr>
                  <w:rStyle w:val="InternetLink"/>
                  <w:rFonts w:ascii="Times New Roman;sans-serif" w:hAnsi="Times New Roman;sans-serif"/>
                  <w:b/>
                  <w:strike w:val="false"/>
                  <w:dstrike w:val="false"/>
                  <w:color w:val="000080"/>
                  <w:sz w:val="20"/>
                  <w:u w:val="singl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91">
              <w:r>
                <w:rPr>
                  <w:rStyle w:val="InternetLink"/>
                  <w:rFonts w:ascii="Times New Roman;sans-serif" w:hAnsi="Times New Roman;sans-serif"/>
                  <w:b w:val="false"/>
                  <w:strike w:val="false"/>
                  <w:dstrike w:val="false"/>
                  <w:color w:val="000000"/>
                  <w:sz w:val="20"/>
                  <w:u w:val="none"/>
                  <w:effect w:val="none"/>
                </w:rPr>
                <w:t>Item 1</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91">
              <w:r>
                <w:rPr>
                  <w:rStyle w:val="InternetLink"/>
                  <w:rFonts w:ascii="Times New Roman;sans-serif" w:hAnsi="Times New Roman;sans-serif"/>
                  <w:b w:val="false"/>
                  <w:color w:val="3051F2"/>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91">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94">
              <w:r>
                <w:rPr>
                  <w:rStyle w:val="InternetLink"/>
                  <w:rFonts w:ascii="Times New Roman;sans-serif" w:hAnsi="Times New Roman;sans-serif"/>
                  <w:b w:val="false"/>
                  <w:strike w:val="false"/>
                  <w:dstrike w:val="false"/>
                  <w:color w:val="000000"/>
                  <w:sz w:val="20"/>
                  <w:u w:val="none"/>
                  <w:effect w:val="none"/>
                </w:rPr>
                <w:t>Item 1A</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94">
              <w:r>
                <w:rPr>
                  <w:rStyle w:val="InternetLink"/>
                  <w:rFonts w:ascii="Times New Roman;sans-serif" w:hAnsi="Times New Roman;sans-serif"/>
                  <w:b w:val="false"/>
                  <w:color w:val="3051F2"/>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94">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97">
              <w:r>
                <w:rPr>
                  <w:rStyle w:val="InternetLink"/>
                  <w:rFonts w:ascii="Times New Roman;sans-serif" w:hAnsi="Times New Roman;sans-serif"/>
                  <w:b w:val="false"/>
                  <w:color w:val="3051F2"/>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97">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0">
              <w:r>
                <w:rPr>
                  <w:rStyle w:val="InternetLink"/>
                  <w:rFonts w:ascii="Times New Roman;sans-serif" w:hAnsi="Times New Roman;sans-serif"/>
                  <w:b w:val="false"/>
                  <w:strike w:val="false"/>
                  <w:dstrike w:val="false"/>
                  <w:color w:val="000000"/>
                  <w:sz w:val="20"/>
                  <w:u w:val="none"/>
                  <w:effect w:val="none"/>
                </w:rPr>
                <w:t>Item 3</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0">
              <w:r>
                <w:rPr>
                  <w:rStyle w:val="InternetLink"/>
                  <w:rFonts w:ascii="Times New Roman;sans-serif" w:hAnsi="Times New Roman;sans-serif"/>
                  <w:b w:val="false"/>
                  <w:color w:val="3051F2"/>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00">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3">
              <w:r>
                <w:rPr>
                  <w:rStyle w:val="InternetLink"/>
                  <w:rFonts w:ascii="Times New Roman;sans-serif" w:hAnsi="Times New Roman;sans-serif"/>
                  <w:b w:val="false"/>
                  <w:color w:val="3051F2"/>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03">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6">
              <w:r>
                <w:rPr>
                  <w:rStyle w:val="InternetLink"/>
                  <w:rFonts w:ascii="Times New Roman;sans-serif" w:hAnsi="Times New Roman;sans-serif"/>
                  <w:b w:val="false"/>
                  <w:strike w:val="false"/>
                  <w:dstrike w:val="false"/>
                  <w:color w:val="000000"/>
                  <w:sz w:val="20"/>
                  <w:u w:val="none"/>
                  <w:effect w:val="none"/>
                </w:rPr>
                <w:t>Item 5</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6">
              <w:r>
                <w:rPr>
                  <w:rStyle w:val="InternetLink"/>
                  <w:rFonts w:ascii="Times New Roman;sans-serif" w:hAnsi="Times New Roman;sans-serif"/>
                  <w:b w:val="false"/>
                  <w:color w:val="3051F2"/>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06">
              <w:r>
                <w:rPr>
                  <w:rStyle w:val="InternetLink"/>
                  <w:rFonts w:ascii="Times New Roman;sans-serif" w:hAnsi="Times New Roman;sans-serif"/>
                  <w:b w:val="false"/>
                  <w:color w:val="3051F2"/>
                  <w:sz w:val="18"/>
                  <w:u w:val="single"/>
                </w:rPr>
                <w:t>35</w:t>
              </w:r>
            </w:hyperlink>
          </w:p>
        </w:tc>
      </w:tr>
      <w:tr>
        <w:trPr/>
        <w:tc>
          <w:tcPr>
            <w:tcW w:w="22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9">
              <w:r>
                <w:rPr>
                  <w:rStyle w:val="InternetLink"/>
                  <w:rFonts w:ascii="Times New Roman;sans-serif" w:hAnsi="Times New Roman;sans-serif"/>
                  <w:b w:val="false"/>
                  <w:strike w:val="false"/>
                  <w:dstrike w:val="false"/>
                  <w:color w:val="000000"/>
                  <w:sz w:val="20"/>
                  <w:u w:val="none"/>
                  <w:effect w:val="none"/>
                </w:rPr>
                <w:t>Item 6</w:t>
              </w:r>
            </w:hyperlink>
            <w:r>
              <w:rPr>
                <w:rFonts w:ascii="Times New Roman;sans-serif" w:hAnsi="Times New Roman;sans-serif"/>
                <w:b w:val="false"/>
                <w:color w:val="000000"/>
                <w:sz w:val="20"/>
              </w:rPr>
              <w:t>.</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09">
              <w:r>
                <w:rPr>
                  <w:rStyle w:val="InternetLink"/>
                  <w:rFonts w:ascii="Times New Roman;sans-serif" w:hAnsi="Times New Roman;sans-serif"/>
                  <w:b w:val="false"/>
                  <w:color w:val="3051F2"/>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09">
              <w:r>
                <w:rPr>
                  <w:rStyle w:val="InternetLink"/>
                  <w:rFonts w:ascii="Times New Roman;sans-serif" w:hAnsi="Times New Roman;sans-serif"/>
                  <w:b w:val="false"/>
                  <w:color w:val="3051F2"/>
                  <w:sz w:val="18"/>
                  <w:u w:val="single"/>
                </w:rPr>
                <w:t>36</w:t>
              </w:r>
            </w:hyperlink>
          </w:p>
        </w:tc>
      </w:tr>
      <w:tr>
        <w:trPr/>
        <w:tc>
          <w:tcPr>
            <w:tcW w:w="2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c04b3a102b4297b0ffe4e16d96fafd_112">
              <w:r>
                <w:rPr>
                  <w:rStyle w:val="InternetLink"/>
                  <w:rFonts w:ascii="Times New Roman;sans-serif" w:hAnsi="Times New Roman;sans-serif"/>
                  <w:b w:val="false"/>
                  <w:color w:val="0E32E1"/>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c04b3a102b4297b0ffe4e16d96fafd_112">
              <w:r>
                <w:rPr>
                  <w:rStyle w:val="InternetLink"/>
                  <w:rFonts w:ascii="Times New Roman;sans-serif" w:hAnsi="Times New Roman;sans-serif"/>
                  <w:b w:val="false"/>
                  <w:color w:val="3051F2"/>
                  <w:sz w:val="18"/>
                  <w:u w:val="singl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December 31, 2022,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and new risks emerge from time to time.</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"registrant," "we," "us" and "our," refer to Grocery Outlet Holding Corp. and its consolidated subsidiaries unless otherwise indicated or the context requires otherwise.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Website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statements for our annual meetings of stockholders are available, free of charge, on our website as soon as practicable after the we file the reports with the SEC.</w:t>
      </w:r>
    </w:p>
    <w:p>
      <w:pPr>
        <w:pStyle w:val="TextBody"/>
        <w:bidi w:val="0"/>
        <w:spacing w:before="200" w:after="283"/>
        <w:ind w:left="0" w:right="0" w:firstLine="58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06"/>
        <w:gridCol w:w="2281"/>
        <w:gridCol w:w="2253"/>
        <w:gridCol w:w="211"/>
        <w:gridCol w:w="976"/>
        <w:gridCol w:w="109"/>
        <w:gridCol w:w="109"/>
        <w:gridCol w:w="109"/>
        <w:gridCol w:w="109"/>
        <w:gridCol w:w="211"/>
        <w:gridCol w:w="976"/>
        <w:gridCol w:w="155"/>
      </w:tblGrid>
      <w:tr>
        <w:trPr/>
        <w:tc>
          <w:tcPr>
            <w:tcW w:w="270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 and current portion of independent operator notes, net of allowance $5,603 and $2,238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accounts receivable, net of allowance $51 and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 and receivables, net of allowance $10,792 and $12,509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and other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8)</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 500,000,000 shares authorized; 98,773,249 and 97,674,356 shares issued and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 par value $0.001 per share, 50,000,000 shares authorized; no shares issued and outstanding</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2,772,404 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975" w:type="dxa"/>
        <w:jc w:val="center"/>
        <w:tblInd w:w="0" w:type="dxa"/>
        <w:tblLayout w:type="fixed"/>
        <w:tblCellMar>
          <w:top w:w="28" w:type="dxa"/>
          <w:left w:w="28" w:type="dxa"/>
          <w:bottom w:w="28" w:type="dxa"/>
          <w:right w:w="28" w:type="dxa"/>
        </w:tblCellMar>
      </w:tblPr>
      <w:tblGrid>
        <w:gridCol w:w="1677"/>
        <w:gridCol w:w="1110"/>
        <w:gridCol w:w="1128"/>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7"/>
        <w:gridCol w:w="523"/>
        <w:gridCol w:w="524"/>
        <w:gridCol w:w="540"/>
        <w:gridCol w:w="541"/>
        <w:gridCol w:w="196"/>
        <w:gridCol w:w="109"/>
        <w:gridCol w:w="109"/>
        <w:gridCol w:w="109"/>
        <w:gridCol w:w="214"/>
        <w:gridCol w:w="366"/>
        <w:gridCol w:w="111"/>
        <w:gridCol w:w="109"/>
        <w:gridCol w:w="109"/>
        <w:gridCol w:w="109"/>
        <w:gridCol w:w="910"/>
        <w:gridCol w:w="109"/>
        <w:gridCol w:w="109"/>
        <w:gridCol w:w="109"/>
        <w:gridCol w:w="216"/>
        <w:gridCol w:w="849"/>
        <w:gridCol w:w="112"/>
        <w:gridCol w:w="109"/>
        <w:gridCol w:w="109"/>
        <w:gridCol w:w="109"/>
        <w:gridCol w:w="220"/>
        <w:gridCol w:w="862"/>
        <w:gridCol w:w="113"/>
        <w:gridCol w:w="109"/>
        <w:gridCol w:w="109"/>
        <w:gridCol w:w="109"/>
        <w:gridCol w:w="211"/>
        <w:gridCol w:w="976"/>
        <w:gridCol w:w="159"/>
      </w:tblGrid>
      <w:tr>
        <w:trPr/>
        <w:tc>
          <w:tcPr>
            <w:tcW w:w="92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3" w:type="dxa"/>
            <w:gridSpan w:val="6"/>
            <w:tcBorders/>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97,674,356 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1,110,214 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(122,862)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1,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98,285,804 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1,127,539 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 net of shares withheld for employee taxes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487,445 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and comprehensive income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98,773,249 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863,997 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300,718 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1,164,814 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GROCERY OUTLET HOLDING CORP.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amounts)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22"/>
        <w:gridCol w:w="463"/>
        <w:gridCol w:w="465"/>
        <w:gridCol w:w="540"/>
        <w:gridCol w:w="541"/>
        <w:gridCol w:w="196"/>
        <w:gridCol w:w="109"/>
        <w:gridCol w:w="109"/>
        <w:gridCol w:w="109"/>
        <w:gridCol w:w="214"/>
        <w:gridCol w:w="366"/>
        <w:gridCol w:w="111"/>
        <w:gridCol w:w="109"/>
        <w:gridCol w:w="109"/>
        <w:gridCol w:w="109"/>
        <w:gridCol w:w="951"/>
        <w:gridCol w:w="109"/>
        <w:gridCol w:w="109"/>
        <w:gridCol w:w="109"/>
        <w:gridCol w:w="223"/>
        <w:gridCol w:w="873"/>
        <w:gridCol w:w="115"/>
        <w:gridCol w:w="109"/>
        <w:gridCol w:w="109"/>
        <w:gridCol w:w="109"/>
        <w:gridCol w:w="229"/>
        <w:gridCol w:w="899"/>
        <w:gridCol w:w="118"/>
        <w:gridCol w:w="109"/>
        <w:gridCol w:w="109"/>
        <w:gridCol w:w="109"/>
        <w:gridCol w:w="211"/>
        <w:gridCol w:w="976"/>
        <w:gridCol w:w="157"/>
      </w:tblGrid>
      <w:tr>
        <w:trPr/>
        <w:tc>
          <w:tcPr>
            <w:tcW w:w="9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671" w:type="dxa"/>
            <w:gridSpan w:val="6"/>
            <w:tcBorders/>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96,144,433 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April 2,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96,281,188 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814,925 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1,024,070 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and vesting of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July 2,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96,846,980 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827,451 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229,143 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1,056,691 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850"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73" w:type="dxa"/>
        <w:jc w:val="center"/>
        <w:tblInd w:w="0" w:type="dxa"/>
        <w:tblLayout w:type="fixed"/>
        <w:tblCellMar>
          <w:top w:w="28" w:type="dxa"/>
          <w:left w:w="28" w:type="dxa"/>
          <w:bottom w:w="28" w:type="dxa"/>
          <w:right w:w="28" w:type="dxa"/>
        </w:tblCellMar>
      </w:tblPr>
      <w:tblGrid>
        <w:gridCol w:w="2429"/>
        <w:gridCol w:w="2138"/>
        <w:gridCol w:w="2152"/>
        <w:gridCol w:w="211"/>
        <w:gridCol w:w="721"/>
        <w:gridCol w:w="109"/>
        <w:gridCol w:w="109"/>
        <w:gridCol w:w="109"/>
        <w:gridCol w:w="109"/>
        <w:gridCol w:w="211"/>
        <w:gridCol w:w="72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debt issuance costs and debt discounts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debt extinguishment and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accounts receivable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Independent operator and other 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Merchandise 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and other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 accrued compensation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Advances to independent operators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advances from independent operators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intangible assets and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insurance recoveries -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related to net settlement of employee share-based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senior term loan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senior term loan due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senior term loan due 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issuance costs paid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(75,174)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(55,825)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87,570 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84,260 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GROCERY OUTLET HOLDING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Summary of Significant Accounting Policies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Description of Business </w:t>
      </w:r>
      <w:r>
        <w:rPr>
          <w:color w:val="000000"/>
        </w:rPr>
        <w:t xml:space="preserve">— </w:t>
      </w:r>
      <w:r>
        <w:rPr>
          <w:rFonts w:ascii="Times New Roman;sans-serif" w:hAnsi="Times New Roman;sans-serif"/>
          <w:b w:val="false"/>
          <w:color w:val="000000"/>
          <w:sz w:val="20"/>
        </w:rPr>
        <w:t>Based in Emeryville, California, and incorporated in Delaware in 2014, Grocery Outlet Holding Corp. (together with its wholly owned subsidiaries, collectively, "Grocery Outlet," "we," or the "Company") is a high-growth, extreme value retailer of quality, name-brand consumables and fresh products sold through a network of independently operated stores. As of July 1, 2023, we had 447 stores throughout California, Washington, Oregon, Pennsylvania, Idaho, Nevada, Maryland and New Jersey.</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Basis of Presentation </w:t>
      </w:r>
      <w:r>
        <w:rPr>
          <w:color w:val="000000"/>
        </w:rPr>
        <w:t>— </w:t>
      </w:r>
      <w:r>
        <w:rPr>
          <w:rFonts w:ascii="Times New Roman;sans-serif" w:hAnsi="Times New Roman;sans-serif"/>
          <w:b w:val="false"/>
          <w:color w:val="000000"/>
          <w:sz w:val="20"/>
        </w:rPr>
        <w:t xml:space="preserve">The accompanying unaudited condensed consolidated financial statements have been prepared in accordance with 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December 31, 2022 (the "2022 Form 10-K"). The condensed consolidated balance sheet as of December 31, 2022 included herein has been derived from those audited consolidated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Beginning with the first quarter of fiscal 2022, certain prior period amounts in the condensed consolidated statements of operations and comprehensive income have been reclassified to conform to the current period presentation. Specifically, in order to enhance the comparability of our results with our peers, depreciation and amortization expenses and share-based compensation expenses are now included in selling, general and administrative expenses. The reclassification of these items had no impact on net income, earnings per share, or retained earnings in the current or prior periods.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Use of Estimates </w:t>
      </w:r>
      <w:r>
        <w:rPr>
          <w:color w:val="000000"/>
        </w:rPr>
        <w:t xml:space="preserve">— </w:t>
      </w:r>
      <w:r>
        <w:rPr>
          <w:rFonts w:ascii="Times New Roman;sans-serif" w:hAnsi="Times New Roman;sans-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management's estimate and judgment.</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We manage our business as one operating segment. In addition, all of our sales were made to customers located in the U.S. and all property and equipment is located in the U.S. </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Merchandise Inventories </w:t>
      </w:r>
      <w:r>
        <w:rPr>
          <w:color w:val="000000"/>
        </w:rPr>
        <w:t xml:space="preserve">— </w:t>
      </w:r>
      <w:r>
        <w:rPr>
          <w:rFonts w:ascii="Times New Roman;sans-serif" w:hAnsi="Times New Roman;sans-serif"/>
          <w:b w:val="false"/>
          <w:color w:val="000000"/>
          <w:sz w:val="20"/>
        </w:rPr>
        <w:t>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Leases </w:t>
      </w:r>
      <w:r>
        <w:rPr>
          <w:color w:val="000000"/>
        </w:rPr>
        <w:t xml:space="preserve">— </w:t>
      </w:r>
      <w:r>
        <w:rPr>
          <w:rFonts w:ascii="Times New Roman;sans-serif" w:hAnsi="Times New Roman;sans-serif"/>
          <w:b w:val="false"/>
          <w:color w:val="000000"/>
          <w:sz w:val="20"/>
        </w:rPr>
        <w:t>We determine if an arrangement is a lease at inception. Operating leases are included in operating lease right-of-use assets, current lease liabilities, and long-term lease liabilities in our condensed consolidated balance sheets. Finance leases are included in other assets, current lease liabilities, and long-term lease liabilities in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Fair Value Measurements </w:t>
      </w:r>
      <w:r>
        <w:rPr>
          <w:color w:val="000000"/>
        </w:rPr>
        <w:t xml:space="preserve">— </w:t>
      </w:r>
      <w:r>
        <w:rPr>
          <w:rFonts w:ascii="Times New Roman;sans-serif" w:hAnsi="Times New Roman;sans-serif"/>
          <w:b w:val="false"/>
          <w:color w:val="000000"/>
          <w:sz w:val="20"/>
        </w:rPr>
        <w:t xml:space="preserve">Fair value is defined as the exchange price, or exit price, representing the amount that would be received to sell an 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 </w:t>
      </w:r>
    </w:p>
    <w:p>
      <w:pPr>
        <w:pStyle w:val="TextBody"/>
        <w:bidi w:val="0"/>
        <w:spacing w:lineRule="auto" w:line="288" w:before="120" w:after="283"/>
        <w:ind w:left="0" w:right="0" w:hanging="360"/>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60" w:after="283"/>
        <w:ind w:left="0" w:right="0" w:hanging="360"/>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Quoted prices for similar assets and liabilities in active markets or inputs that are observable</w:t>
      </w:r>
    </w:p>
    <w:p>
      <w:pPr>
        <w:pStyle w:val="TextBody"/>
        <w:bidi w:val="0"/>
        <w:spacing w:lineRule="auto" w:line="288" w:before="60" w:after="283"/>
        <w:ind w:left="0" w:right="0" w:hanging="990"/>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in which there is little or no market data, which requires us to develop our own assumptions when pricing the financial instruments, such as cash flow modeling assumptions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assets or liabilities measured at fair value on a recurring or non-recurring basis as of July 1, 2023 or December 31, 2022. Generally, assets are recorded at fair value on a non-recurring basis as a result of impairment charges. There were no transfers of assets or liabilities between levels within the fair value hierarchy during the 26 weeks ended July 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assets and liabilities are carried at cost, which generally approximates their fair value, as described below:</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Cash and cash equivalents, independent operator ("IO") receivables, other accounts receivable and accounts payable </w:t>
      </w:r>
      <w:r>
        <w:rPr>
          <w:color w:val="000000"/>
        </w:rPr>
        <w:t xml:space="preserve">— </w:t>
      </w:r>
      <w:r>
        <w:rPr>
          <w:rFonts w:ascii="Times New Roman;sans-serif" w:hAnsi="Times New Roman;sans-serif"/>
          <w:b w:val="false"/>
          <w:color w:val="000000"/>
          <w:sz w:val="20"/>
        </w:rPr>
        <w:t>The carrying value of such financial instruments approximates their fair value due to factors such as their short-term nature, their variable interest rates or the effect of the related allowance for expected credit losses.</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 xml:space="preserve">Independent operator notes receivable (net) </w:t>
      </w:r>
      <w:r>
        <w:rPr>
          <w:color w:val="000000"/>
        </w:rPr>
        <w:t xml:space="preserve">— </w:t>
      </w:r>
      <w:r>
        <w:rPr>
          <w:rFonts w:ascii="Times New Roman;sans-serif" w:hAnsi="Times New Roman;sans-serif"/>
          <w:b w:val="false"/>
          <w:color w:val="000000"/>
          <w:sz w:val="20"/>
        </w:rPr>
        <w:t>The carrying value of such financial instruments approximates their fair value due to the effect of the related allowance for expected credit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the carrying amounts and estimated fair values of our significant financial liabilities that are not recorded at fair value on the condensed consolidated balance sheets (amounts in thousands):</w:t>
      </w:r>
    </w:p>
    <w:tbl>
      <w:tblPr>
        <w:tblW w:w="10205" w:type="dxa"/>
        <w:jc w:val="left"/>
        <w:tblInd w:w="0" w:type="dxa"/>
        <w:tblLayout w:type="fixed"/>
        <w:tblCellMar>
          <w:top w:w="28" w:type="dxa"/>
          <w:left w:w="28" w:type="dxa"/>
          <w:bottom w:w="28" w:type="dxa"/>
          <w:right w:w="28" w:type="dxa"/>
        </w:tblCellMar>
      </w:tblPr>
      <w:tblGrid>
        <w:gridCol w:w="825"/>
        <w:gridCol w:w="723"/>
        <w:gridCol w:w="728"/>
        <w:gridCol w:w="295"/>
        <w:gridCol w:w="1159"/>
        <w:gridCol w:w="152"/>
        <w:gridCol w:w="109"/>
        <w:gridCol w:w="109"/>
        <w:gridCol w:w="109"/>
        <w:gridCol w:w="338"/>
        <w:gridCol w:w="1328"/>
        <w:gridCol w:w="175"/>
        <w:gridCol w:w="109"/>
        <w:gridCol w:w="109"/>
        <w:gridCol w:w="109"/>
        <w:gridCol w:w="295"/>
        <w:gridCol w:w="1159"/>
        <w:gridCol w:w="152"/>
        <w:gridCol w:w="109"/>
        <w:gridCol w:w="109"/>
        <w:gridCol w:w="109"/>
        <w:gridCol w:w="333"/>
        <w:gridCol w:w="1308"/>
        <w:gridCol w:w="254"/>
      </w:tblGrid>
      <w:tr>
        <w:trPr/>
        <w:tc>
          <w:tcPr>
            <w:tcW w:w="82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Carrying Amount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Estimated Fair Value </w:t>
            </w:r>
            <w:r>
              <w:rPr>
                <w:rFonts w:ascii="Times New Roman;sans-serif" w:hAnsi="Times New Roman;sans-serif"/>
                <w:b/>
                <w:color w:val="000000"/>
                <w:sz w:val="13"/>
              </w:rPr>
              <w:t>(3)</w:t>
            </w:r>
          </w:p>
        </w:tc>
      </w:tr>
      <w:tr>
        <w:trPr/>
        <w:tc>
          <w:tcPr>
            <w:tcW w:w="2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loans (Level 2)</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383,075 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6"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(1)The carrying amounts of our senior term loans as of July 1, 2023 and December 31, 2022 were net of unamortized debt discounts of zero and $0.6 million, respectively, and debt issuance costs of $1.8 million and $4.7 million, respectively.</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(2)The estimated fair value of our current senior term loan borrowings under our 2023 Credit Agreement, as defined in Note 3, was deemed to approximate the carrying value, excluding unamortized debt issuance costs, because the interest rate is variable with short reset periods and is reflective of the current market rate.</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(3)The estimated fair value of our prior senior term loan, as defined in Note 3, was determined based on the average quoted bid-ask prices for the prior senior term loan in an over-the-counter market on the last trading day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Net Sales</w:t>
      </w:r>
      <w:r>
        <w:rPr>
          <w:color w:val="000000"/>
        </w:rPr>
        <w:t xml:space="preserve"> — </w:t>
      </w:r>
      <w:r>
        <w:rPr>
          <w:rFonts w:ascii="Times New Roman;sans-serif" w:hAnsi="Times New Roman;sans-serif"/>
          <w:b w:val="false"/>
          <w:color w:val="000000"/>
          <w:sz w:val="20"/>
        </w:rPr>
        <w:t xml:space="preserve">We recognize revenue from the sale of products at the point of sale, net of any taxes or deposits collected and remitted to governmental 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July 1, 2023 and December 31,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Gift Cards</w:t>
      </w:r>
      <w:r>
        <w:rPr>
          <w:color w:val="000000"/>
        </w:rPr>
        <w:t xml:space="preserve"> — </w:t>
      </w:r>
      <w:r>
        <w:rPr>
          <w:rFonts w:ascii="Times New Roman;sans-serif" w:hAnsi="Times New Roman;sans-serif"/>
          <w:b w:val="false"/>
          <w:color w:val="000000"/>
          <w:sz w:val="20"/>
        </w:rPr>
        <w:t>We record a deferred revenue liability when a Grocery Outlet gift card is sold. Revenue related to gift cards is recognized as the gift 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$2.8 million and $3.6 million as of July 1, 2023 and December 31, 2022, respectively. Breakage amounts were immaterial for the 13 and 26 weeks ended July 1, 2023 and July 2, 2022.</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Disaggregated Revenues</w:t>
      </w:r>
      <w:r>
        <w:rPr>
          <w:color w:val="000000"/>
        </w:rPr>
        <w:t xml:space="preserve"> — </w:t>
      </w:r>
      <w:r>
        <w:rPr>
          <w:rFonts w:ascii="Times New Roman;sans-serif" w:hAnsi="Times New Roman;sans-serif"/>
          <w:b w:val="false"/>
          <w:color w:val="000000"/>
          <w:sz w:val="20"/>
        </w:rPr>
        <w:t>The following table presents net sales revenue by type of product for the periods indicated (amounts in thousands):</w:t>
      </w:r>
    </w:p>
    <w:tbl>
      <w:tblPr>
        <w:tblW w:w="7634" w:type="dxa"/>
        <w:jc w:val="left"/>
        <w:tblInd w:w="0" w:type="dxa"/>
        <w:tblLayout w:type="fixed"/>
        <w:tblCellMar>
          <w:top w:w="28" w:type="dxa"/>
          <w:left w:w="28" w:type="dxa"/>
          <w:bottom w:w="28" w:type="dxa"/>
          <w:right w:w="28" w:type="dxa"/>
        </w:tblCellMar>
      </w:tblPr>
      <w:tblGrid>
        <w:gridCol w:w="569"/>
        <w:gridCol w:w="500"/>
        <w:gridCol w:w="50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Perishable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Non-perishable </w:t>
            </w:r>
            <w:r>
              <w:rPr>
                <w:rFonts w:ascii="Times New Roman;sans-serif" w:hAnsi="Times New Roman;sans-serif"/>
                <w:b w:val="false"/>
                <w:color w:val="000000"/>
                <w:sz w:val="16"/>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    Perishable departments include dairy and deli; produce and floral; and fresh meat and seafood. </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    Non-perishable departments include non-perishable grocery; general merchandise; health and beauty care; frozen foods; and beer and wine. </w:t>
      </w:r>
    </w:p>
    <w:p>
      <w:pPr>
        <w:pStyle w:val="TextBody"/>
        <w:bidi w:val="0"/>
        <w:spacing w:lineRule="auto" w:line="288" w:before="120" w:after="283"/>
        <w:ind w:left="0" w:right="0" w:firstLine="540"/>
        <w:jc w:val="both"/>
        <w:rPr/>
      </w:pPr>
      <w:r>
        <w:rPr>
          <w:rFonts w:ascii="Times New Roman;sans-serif" w:hAnsi="Times New Roman;sans-serif"/>
          <w:b/>
          <w:color w:val="000000"/>
          <w:sz w:val="20"/>
        </w:rPr>
        <w:t xml:space="preserve">Variable Interest Entities </w:t>
      </w:r>
      <w:r>
        <w:rPr>
          <w:color w:val="000000"/>
        </w:rPr>
        <w:t xml:space="preserve">— </w:t>
      </w:r>
      <w:r>
        <w:rPr>
          <w:rFonts w:ascii="Times New Roman;sans-serif" w:hAnsi="Times New Roman;sans-serif"/>
          <w:b w:val="false"/>
          <w:color w:val="000000"/>
          <w:sz w:val="20"/>
        </w:rPr>
        <w:t xml:space="preserve">In accordance with the variable interest entities sub-section of Accounting Standards Codification ("ASC") Topic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xml:space="preserve">, we assess at each reporting period whether we, or any consolidated entity, are considered the primary beneficiary of a variable interest entity ("VIE") and therefore required to consolidate the financial results of the VIE in our condensed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had 445, 438 and 421 stores operated by IOs as of July 1, 2023, December 31, 2022 and July 2, 2022,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consignor of all merchandise to each IO, the aggregate net sales proceeds from merchandise sales belongs to us. Net sales related to IO stores were $997.2 million and $883.0 million for the 13 weeks ended July 1, 2023 and July 2, 2022, respectively, and $1.95 billion and $1.70 billion for the 26 weeks ended July 1, 2023 and July 2, 2022,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$158.2 million and $136.5 million for the 13 weeks ended July 1, 2023 and July 2, 2022, respectively, and $303.4 million and $259.2 million for the 26 weeks ended July 1, 2023 and July 2, 2022, respectively. IO commissions of $15.5 million and $6.2 million were included in accrued and other current liabilities as of July 1, 2023 and December 31,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An IO may fund its initial store investment from existing capital, a third-party loan or most commonly through a loan from us, as further discussed in Note 2.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the Company is not the primary beneficiary of these VIEs.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maximum exposure, in accordance with ASC Topic 810, to the IOs is generally limited to the IO notes and IO receivables due from these entities, which was $50.6 million and $48.1 million as of July 1, 2023 and December 31, 2022, respectively. See Note 2 for additional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Standards </w:t>
      </w:r>
    </w:p>
    <w:p>
      <w:pPr>
        <w:pStyle w:val="TextBody"/>
        <w:bidi w:val="0"/>
        <w:spacing w:lineRule="auto" w:line="288" w:before="120" w:after="283"/>
        <w:ind w:left="0" w:right="0" w:firstLine="540"/>
        <w:jc w:val="both"/>
        <w:rPr/>
      </w:pPr>
      <w:r>
        <w:rPr>
          <w:rFonts w:ascii="Times New Roman;sans-serif" w:hAnsi="Times New Roman;sans-serif"/>
          <w:b/>
          <w:i/>
          <w:color w:val="000000"/>
          <w:sz w:val="20"/>
        </w:rPr>
        <w:t>Accounting Standards Update ("ASU") No. 2022-02</w:t>
      </w:r>
      <w:r>
        <w:rPr>
          <w:color w:val="000000"/>
        </w:rPr>
        <w:t xml:space="preserve"> — </w:t>
      </w:r>
      <w:r>
        <w:rPr>
          <w:rFonts w:ascii="Times New Roman;sans-serif" w:hAnsi="Times New Roman;sans-serif"/>
          <w:b w:val="false"/>
          <w:color w:val="000000"/>
          <w:sz w:val="20"/>
        </w:rPr>
        <w:t>In March 2022, the Financial Accounting Standards Board issued ASU No. 2022-02, Troubled Debt Restructurings and 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We adopted ASU 2022-02 beginning in the first quarter of fiscal 2023. The adoption of ASU 2022-02 had no material impact on our condensed consolidated financial statements.</w:t>
      </w:r>
    </w:p>
    <w:p>
      <w:pPr>
        <w:pStyle w:val="TextBody"/>
        <w:bidi w:val="0"/>
        <w:spacing w:lineRule="auto" w:line="288" w:before="18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Recently Issued Accounting Pronouncements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pronouncements are expected to have a material effect in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2. Independent Operator Notes and Independent Operator Receivables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included in IO notes and IO receivables consist primarily of funds we loaned to IOs, net of estimated uncollectible amounts. IO notes, which are payable on demand and have no maturity date,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$1.2 million and $0.9 million as of July 1, 2023 and December 31, 2022, respectively. There were no IO notes that were past due or on a non-accrual status due to delinquency as of July 1, 2023 or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Notes and receivables from our IOs participating in our TCAP, as defined below, are not considered to be past due or on a non-accrual status due to delinquency and are excluded from such measures.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Non-TCAP </w:t>
      </w:r>
      <w:r>
        <w:rPr>
          <w:color w:val="000000"/>
        </w:rPr>
        <w:t xml:space="preserve">— </w:t>
      </w:r>
      <w:r>
        <w:rPr>
          <w:rFonts w:ascii="Times New Roman;sans-serif" w:hAnsi="Times New Roman;sans-serif"/>
          <w:b w:val="false"/>
          <w:color w:val="000000"/>
          <w:sz w:val="20"/>
        </w:rPr>
        <w:t>Includes the notes and receivables from IOs with stores that have been open for more than 18 months that are not participating in TCAP as of the end of each reporting period.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New store </w:t>
      </w:r>
      <w:r>
        <w:rPr>
          <w:color w:val="000000"/>
        </w:rPr>
        <w:t xml:space="preserve">— </w:t>
      </w:r>
      <w:r>
        <w:rPr>
          <w:rFonts w:ascii="Times New Roman;sans-serif" w:hAnsi="Times New Roman;sans-serif"/>
          <w:b w:val="false"/>
          <w:color w:val="000000"/>
          <w:sz w:val="20"/>
        </w:rPr>
        <w:t>Includes the notes and receivables from IOs with stores that have been open for less than 18 months as of the end of each reporting period, and may or may not be participating in TCAP.</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without such shared risk characteristics or credit quality indicators, such as assets with unique circumstances or with delinquencies and historical losses in excess of their TCAP, non-TCAP or new store peers are evaluated on an individual basis.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Amounts due from IOs and the related allowances as of July 1, 2023 and December 31, 2022 consisted of the following (amounts in thousands)</w:t>
      </w:r>
      <w:r>
        <w:rPr>
          <w:rFonts w:ascii="Times New Roman;sans-serif" w:hAnsi="Times New Roman;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661"/>
        <w:gridCol w:w="583"/>
        <w:gridCol w:w="578"/>
        <w:gridCol w:w="211"/>
        <w:gridCol w:w="721"/>
        <w:gridCol w:w="109"/>
        <w:gridCol w:w="109"/>
        <w:gridCol w:w="109"/>
        <w:gridCol w:w="109"/>
        <w:gridCol w:w="234"/>
        <w:gridCol w:w="732"/>
        <w:gridCol w:w="121"/>
        <w:gridCol w:w="109"/>
        <w:gridCol w:w="109"/>
        <w:gridCol w:w="109"/>
        <w:gridCol w:w="239"/>
        <w:gridCol w:w="867"/>
        <w:gridCol w:w="123"/>
        <w:gridCol w:w="109"/>
        <w:gridCol w:w="109"/>
        <w:gridCol w:w="109"/>
        <w:gridCol w:w="211"/>
        <w:gridCol w:w="721"/>
        <w:gridCol w:w="109"/>
        <w:gridCol w:w="109"/>
        <w:gridCol w:w="109"/>
        <w:gridCol w:w="109"/>
        <w:gridCol w:w="243"/>
        <w:gridCol w:w="710"/>
        <w:gridCol w:w="125"/>
        <w:gridCol w:w="109"/>
        <w:gridCol w:w="109"/>
        <w:gridCol w:w="109"/>
        <w:gridCol w:w="245"/>
        <w:gridCol w:w="840"/>
        <w:gridCol w:w="187"/>
      </w:tblGrid>
      <w:tr>
        <w:trPr/>
        <w:tc>
          <w:tcPr>
            <w:tcW w:w="6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July 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11"/>
        <w:gridCol w:w="537"/>
        <w:gridCol w:w="539"/>
        <w:gridCol w:w="211"/>
        <w:gridCol w:w="721"/>
        <w:gridCol w:w="109"/>
        <w:gridCol w:w="109"/>
        <w:gridCol w:w="109"/>
        <w:gridCol w:w="109"/>
        <w:gridCol w:w="233"/>
        <w:gridCol w:w="727"/>
        <w:gridCol w:w="120"/>
        <w:gridCol w:w="109"/>
        <w:gridCol w:w="109"/>
        <w:gridCol w:w="109"/>
        <w:gridCol w:w="237"/>
        <w:gridCol w:w="860"/>
        <w:gridCol w:w="122"/>
        <w:gridCol w:w="109"/>
        <w:gridCol w:w="109"/>
        <w:gridCol w:w="109"/>
        <w:gridCol w:w="211"/>
        <w:gridCol w:w="721"/>
        <w:gridCol w:w="109"/>
        <w:gridCol w:w="109"/>
        <w:gridCol w:w="109"/>
        <w:gridCol w:w="109"/>
        <w:gridCol w:w="230"/>
        <w:gridCol w:w="787"/>
        <w:gridCol w:w="119"/>
        <w:gridCol w:w="109"/>
        <w:gridCol w:w="109"/>
        <w:gridCol w:w="109"/>
        <w:gridCol w:w="244"/>
        <w:gridCol w:w="834"/>
        <w:gridCol w:w="188"/>
      </w:tblGrid>
      <w:tr>
        <w:trPr/>
        <w:tc>
          <w:tcPr>
            <w:tcW w:w="7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r>
      <w:tr>
        <w:trPr/>
        <w:tc>
          <w:tcPr>
            <w:tcW w:w="1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 Portion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Independent operator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the IO notes and IO receivables allowance was as follows (amounts in thousands):</w:t>
      </w:r>
    </w:p>
    <w:tbl>
      <w:tblPr>
        <w:tblW w:w="9615" w:type="dxa"/>
        <w:jc w:val="left"/>
        <w:tblInd w:w="0" w:type="dxa"/>
        <w:tblLayout w:type="fixed"/>
        <w:tblCellMar>
          <w:top w:w="28" w:type="dxa"/>
          <w:left w:w="28" w:type="dxa"/>
          <w:bottom w:w="28" w:type="dxa"/>
          <w:right w:w="28" w:type="dxa"/>
        </w:tblCellMar>
      </w:tblPr>
      <w:tblGrid>
        <w:gridCol w:w="1604"/>
        <w:gridCol w:w="1406"/>
        <w:gridCol w:w="14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IO notes and IO receivables reserves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of provision for IO notes and IO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outstanding gross balance of IO notes by fiscal year of origination and credit quality indicator as of July 1, 2023 (amounts in thousands):</w:t>
      </w:r>
    </w:p>
    <w:tbl>
      <w:tblPr>
        <w:tblW w:w="10205" w:type="dxa"/>
        <w:jc w:val="left"/>
        <w:tblInd w:w="0" w:type="dxa"/>
        <w:tblLayout w:type="fixed"/>
        <w:tblCellMar>
          <w:top w:w="28" w:type="dxa"/>
          <w:left w:w="28" w:type="dxa"/>
          <w:bottom w:w="28" w:type="dxa"/>
          <w:right w:w="28" w:type="dxa"/>
        </w:tblCellMar>
      </w:tblPr>
      <w:tblGrid>
        <w:gridCol w:w="592"/>
        <w:gridCol w:w="411"/>
        <w:gridCol w:w="414"/>
        <w:gridCol w:w="215"/>
        <w:gridCol w:w="627"/>
        <w:gridCol w:w="110"/>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of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Credit Quality Indicator</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(YTD)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TCAP</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Non-TCAP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store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37,429 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TCAP IO Notes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Notes of IOs participating in our TCAP represented 52.0% and 49.7% of total IO notes balances as of July 1, 2023 and December 31, 2022, respectively.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$1.9 million of IO notes were added into our TCAP during the 13 weeks ended July 1, 2023. The weighted average contractual interest rate of such IO notes was reduced from 9.95% to 3.00%. In addition, $1.1 million of IO notes were transferred from TCAP to Non-TCAP during the 13 weeks ended July 1, 2023.</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total of $3.7 million of IO notes were added into our TCAP during the 26 weeks ended July 1, 2023. The weighted average contractual interest rate of such IO notes was reduced from 9.95% to 3.00%. In addition, $2.1 million of IO notes were transferred from TCAP to Non-TCAP during the 26 weeks ended July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3. Long-term Debt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(amounts in thousands):</w:t>
      </w:r>
    </w:p>
    <w:tbl>
      <w:tblPr>
        <w:tblW w:w="8663" w:type="dxa"/>
        <w:jc w:val="left"/>
        <w:tblInd w:w="0" w:type="dxa"/>
        <w:tblLayout w:type="fixed"/>
        <w:tblCellMar>
          <w:top w:w="28" w:type="dxa"/>
          <w:left w:w="28" w:type="dxa"/>
          <w:bottom w:w="28" w:type="dxa"/>
          <w:right w:w="28" w:type="dxa"/>
        </w:tblCellMar>
      </w:tblPr>
      <w:tblGrid>
        <w:gridCol w:w="2172"/>
        <w:gridCol w:w="1905"/>
        <w:gridCol w:w="1922"/>
        <w:gridCol w:w="211"/>
        <w:gridCol w:w="826"/>
        <w:gridCol w:w="109"/>
        <w:gridCol w:w="109"/>
        <w:gridCol w:w="109"/>
        <w:gridCol w:w="109"/>
        <w:gridCol w:w="211"/>
        <w:gridCol w:w="826"/>
        <w:gridCol w:w="154"/>
      </w:tblGrid>
      <w:tr>
        <w:trPr/>
        <w:tc>
          <w:tcPr>
            <w:tcW w:w="2172"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term loan due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debt discounts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unamortized debt discounts and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2023 Credit Agreement</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a credit agreement with Bank of America, N.A., as administrative agent and collateral agent, and the other parties party thereto (the "2023 Credit Agreement"). The 2023 Credit Agreement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revolving credit facility includes sub-commitments for $50.0 million letters of credit and $25.0 million of swingline loans. The senior term loan was borrowed in full at closing, and $25.0 million of the revolving credit facility was borrowed at closing.</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Also on February 21, 2023, we repaid all of the outstanding indebtedness under our Prior First Lien Credit Agreement, defined below, as well as fees and expenses in connection therewith. All obligations of the Company’s subsidiaries under the Prior First Lien Credit Agreement were discharged as of such date. In connection with the closing of the 2023 Credit Agreement and repayment of the Prior First Lien Credit Agreement and in accordance with ASC Topic 470-50, Debt-Modifications and Extinguishments, we wrote off $5.1 million of previously unamortized debt issuance costs and debt discounts and incurred $0.2 million in debt modification costs, which were recorded within loss on debt extinguishment and modification for the 26 weeks ended July 1, 2023. Furthermore, a total of $4.6 million of creditor and third-party debt issuance costs were capitalized or carried over from the prior credit facilities, as defined below, and will be amortized over the term of the new credit facilities.</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2023 Credit Agreement bear interest at a rate equal to, at our option, either (a) the base rate, which is defined as a fluctuating rate per annum equal to the greatest of (i) the federal funds rate then in effect, plus 0.50%,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the prime rate then in effect and (iii) a specified Term SOFR (as defined in the 2023 Credit Agreement) rate plus 1.00%, subject to the interest rate floors set forth therein, plus an applicable margin ranging from 0.75% to 1.75% based on our Total Net Leverage Ratio (as defined in the 2023 Credit Agreement); and (b) an adjusted Term SOFR rate determined on the basis of a one, three or six month interest period, plus 0.10%, subject to the interest rate floors set forth therein, plus an applicable margin ranging from 1.75% to 2.75% based on our Total Net Leverage Ratio. As of July 1, 2023, interest on borrowings under the new credit facilities was based on one-month Term SOFR with an applicable margin of 2.25%.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new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new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under the 2023 Credit Agreement are unconditionally guaranteed by all of the Company’s wholly owned direct and indirect restricted subsidiaries, subject to certain exceptions. All obligations under the 2023 Credit Agreement, and the guarantees of such obligations, are secured, subject to permitted liens and other exceptions, by substantially all of the Company’s assets and those of each subsidiary guarantor.</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amortization payments of the senior term loan. We may voluntarily prepay the new credit facilities, in whole or in part, at any time without premium or penalty, subject to reimbursement of the lenders’ breakage and redeployment costs in applicable cases.</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Senior Term Loan due 2028</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term loan under our 2023 Credit Agreement matures on February 21, 2028 and had an interest rate of 7.43% as of July 1, 2023.</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$4.2 million of outstanding letters of credit and $395.8 million of remaining borrowing capacity available under the revolving credit facility, which matures on February 21, 2028. The interest rate on the revolving credit facility was 7.43% as of July 1, 2023. As discussed above, $25.0 million of the revolving credit facility was borrowed at closing. On April 21, 2023, we repaid the $25.0 million of principal on our revolving credit facility. No amounts were outstanding under the revolving credit facility as of July 1,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pay a quarterly commitment fee ranging from 0.15% to 0.30% on the daily unused amount of the commitment under the revolving credit facility based upon our Total Net Leverage Ratio. We are also required to pay fronting fees and other customary fees for letters of credit issued under the revolving credit facility.</w:t>
      </w:r>
    </w:p>
    <w:p>
      <w:pPr>
        <w:pStyle w:val="TextBody"/>
        <w:bidi w:val="0"/>
        <w:spacing w:lineRule="auto" w:line="288" w:before="240" w:after="283"/>
        <w:jc w:val="both"/>
        <w:rPr/>
      </w:pPr>
      <w:r>
        <w:rPr>
          <w:rFonts w:ascii="Times New Roman;sans-serif" w:hAnsi="Times New Roman;sans-serif"/>
          <w:b/>
          <w:i/>
          <w:color w:val="000000"/>
          <w:sz w:val="20"/>
        </w:rPr>
        <w:t>Prior First Lien Credit Agreement</w:t>
      </w:r>
      <w:r>
        <w:rPr>
          <w:color w:val="000000"/>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GOBP Holdings, Inc., our wholly owned subsidiary, was the borrower under a first lien credit agreement (the "Prior First Lien Credit Agreement") with a syndicate of lenders that consisted of a $385.0 million senior term loan (the "prior senior term loan") and a revolving credit facility (the "prior revolving credit facility" and, together with the prior senior term loan, the "prior credit facilities") for an amount up to $100.0 million.</w:t>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Senior Term Loan due 2025</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senior term loan under our Prior First Lien Credit Agreement had a maturity of October 22, 2025 and had an applicable margin of 2.75% for Eurodollar loans and 1.75% for base rate loans.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we prepaid $75.0 million of principal on the prior senior term loan outstanding under our Prior First Lien Credit Agreement. In connection with the payment, we wrote off $1.3 million of previously unamortized debt issuance costs and debt discounts.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on February 21, 2023, in connection with the closing of the 2023 Credit Agreement, we repaid the remaining $385.0 million of principal on the prior senior term loan outstanding under our Prior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Prior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prior revolving credit facility under our Prior First Lien Credit Agreement had a maturity of October 23, 2023. No amounts were outstanding under the prior revolving credit facility as of December 31, 2022 and no amounts were outstanding as of final repayment of the Prior First Lien Credit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were required to pay a quarterly commitment fee ranging from 0.25% to 0.50% on the daily unused amount of the commitment under the prior revolving credit facility based upon the leverage ratio defined in the agreement and certain criteria specified in the agreement. We were also required to pay fronting fees and other customary fees for letters of credit issued under the prior revolving credit facility.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were in compliance with all applicable financial covenant requirements for our 2023 Credit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Schedule of Principal Maturities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Principal maturities of debt as of July 1, 2023 are as follows (amounts in thousands):</w:t>
      </w:r>
    </w:p>
    <w:tbl>
      <w:tblPr>
        <w:tblW w:w="3350" w:type="dxa"/>
        <w:jc w:val="left"/>
        <w:tblInd w:w="0" w:type="dxa"/>
        <w:tblLayout w:type="fixed"/>
        <w:tblCellMar>
          <w:top w:w="28" w:type="dxa"/>
          <w:left w:w="28" w:type="dxa"/>
          <w:bottom w:w="28" w:type="dxa"/>
          <w:right w:w="28" w:type="dxa"/>
        </w:tblCellMar>
      </w:tblPr>
      <w:tblGrid>
        <w:gridCol w:w="781"/>
        <w:gridCol w:w="687"/>
        <w:gridCol w:w="691"/>
        <w:gridCol w:w="211"/>
        <w:gridCol w:w="82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consisted of the following (amounts in thousands):</w:t>
      </w:r>
    </w:p>
    <w:tbl>
      <w:tblPr>
        <w:tblW w:w="9449" w:type="dxa"/>
        <w:jc w:val="left"/>
        <w:tblInd w:w="0" w:type="dxa"/>
        <w:tblLayout w:type="fixed"/>
        <w:tblCellMar>
          <w:top w:w="28" w:type="dxa"/>
          <w:left w:w="28" w:type="dxa"/>
          <w:bottom w:w="28" w:type="dxa"/>
          <w:right w:w="28" w:type="dxa"/>
        </w:tblCellMar>
      </w:tblPr>
      <w:tblGrid>
        <w:gridCol w:w="1657"/>
        <w:gridCol w:w="1452"/>
        <w:gridCol w:w="1465"/>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debt discounts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 consisted of the following (amounts in thousands):</w:t>
      </w:r>
    </w:p>
    <w:tbl>
      <w:tblPr>
        <w:tblW w:w="8475" w:type="dxa"/>
        <w:jc w:val="left"/>
        <w:tblInd w:w="0" w:type="dxa"/>
        <w:tblLayout w:type="fixed"/>
        <w:tblCellMar>
          <w:top w:w="28" w:type="dxa"/>
          <w:left w:w="28" w:type="dxa"/>
          <w:bottom w:w="28" w:type="dxa"/>
          <w:right w:w="28" w:type="dxa"/>
        </w:tblCellMar>
      </w:tblPr>
      <w:tblGrid>
        <w:gridCol w:w="1419"/>
        <w:gridCol w:w="1246"/>
        <w:gridCol w:w="1250"/>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issuance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off of debt discounts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modification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Stockholders' Equity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repurchases under a Rule 10b5-1 plan (which would permit shares to be repurchased when the Company might otherwise be precluded from doing so under securities laws). Any repurchased shares are constructively retired and returned to an unissued status.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July 1, 2023, we did not repurchase any shares of common stock under the share repurchase program. During the 26 weeks ended July 1, 2023, we repurchased 122,862 shares of common stock under the share repurchase program totaling $3.3 million at an average price of $26.66 per share in open-market transactions pursuant to a Rule 10b5-1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13 weeks ended July 2, 2022, we did not repurchase any shares of common stock under the share repurchase program. During the 26 weeks ended July 2, 2022, we repurchased 139,718 shares of common stock under the share repurchase program totaling $3.5 million at an average price of $24.70 per share in open-market transactions pursuant to a Rule 10b5-1 plan.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$93.3 million of repurchase authority remaining under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5. Share-based Awards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share-based incentive plans, refer to Note 8 of our 2022 Form 10-K.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Share-based Award Activity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under all equity incentive plans during the 26 weeks ended July 1, 2023:</w:t>
      </w:r>
    </w:p>
    <w:tbl>
      <w:tblPr>
        <w:tblW w:w="10205" w:type="dxa"/>
        <w:jc w:val="left"/>
        <w:tblInd w:w="0" w:type="dxa"/>
        <w:tblLayout w:type="fixed"/>
        <w:tblCellMar>
          <w:top w:w="28" w:type="dxa"/>
          <w:left w:w="28" w:type="dxa"/>
          <w:bottom w:w="28" w:type="dxa"/>
          <w:right w:w="28" w:type="dxa"/>
        </w:tblCellMar>
      </w:tblPr>
      <w:tblGrid>
        <w:gridCol w:w="1123"/>
        <w:gridCol w:w="987"/>
        <w:gridCol w:w="990"/>
        <w:gridCol w:w="488"/>
        <w:gridCol w:w="404"/>
        <w:gridCol w:w="406"/>
        <w:gridCol w:w="169"/>
        <w:gridCol w:w="169"/>
        <w:gridCol w:w="169"/>
        <w:gridCol w:w="737"/>
        <w:gridCol w:w="380"/>
        <w:gridCol w:w="382"/>
        <w:gridCol w:w="109"/>
        <w:gridCol w:w="109"/>
        <w:gridCol w:w="109"/>
        <w:gridCol w:w="466"/>
        <w:gridCol w:w="413"/>
        <w:gridCol w:w="389"/>
        <w:gridCol w:w="218"/>
        <w:gridCol w:w="218"/>
        <w:gridCol w:w="218"/>
        <w:gridCol w:w="683"/>
        <w:gridCol w:w="353"/>
        <w:gridCol w:w="516"/>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Time-Based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Stock Options</w:t>
            </w:r>
          </w:p>
        </w:tc>
      </w:tr>
      <w:tr>
        <w:trPr/>
        <w:tc>
          <w:tcPr>
            <w:tcW w:w="3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Exercise Price</w:t>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1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2,562,774</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801,635</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r>
        <w:trPr/>
        <w:tc>
          <w:tcPr>
            <w:tcW w:w="3100"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(83,907)</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(376,030)</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July 1, 2023</w:t>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2,470,628</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425,605</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r>
      <w:tr>
        <w:trPr/>
        <w:tc>
          <w:tcPr>
            <w:tcW w:w="3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as of July 1, 2023</w:t>
            </w:r>
          </w:p>
        </w:tc>
        <w:tc>
          <w:tcPr>
            <w:tcW w:w="129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2,433,916</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425,605</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activity under all equity incentive plans during the 26 weeks ended July 1, 2023:</w:t>
      </w:r>
    </w:p>
    <w:tbl>
      <w:tblPr>
        <w:tblW w:w="7150" w:type="dxa"/>
        <w:jc w:val="left"/>
        <w:tblInd w:w="0" w:type="dxa"/>
        <w:tblLayout w:type="fixed"/>
        <w:tblCellMar>
          <w:top w:w="28" w:type="dxa"/>
          <w:left w:w="28" w:type="dxa"/>
          <w:bottom w:w="28" w:type="dxa"/>
          <w:right w:w="28" w:type="dxa"/>
        </w:tblCellMar>
      </w:tblPr>
      <w:tblGrid>
        <w:gridCol w:w="1304"/>
        <w:gridCol w:w="1146"/>
        <w:gridCol w:w="1149"/>
        <w:gridCol w:w="469"/>
        <w:gridCol w:w="469"/>
        <w:gridCol w:w="471"/>
        <w:gridCol w:w="109"/>
        <w:gridCol w:w="109"/>
        <w:gridCol w:w="109"/>
        <w:gridCol w:w="390"/>
        <w:gridCol w:w="1139"/>
        <w:gridCol w:w="286"/>
      </w:tblGrid>
      <w:tr>
        <w:trPr/>
        <w:tc>
          <w:tcPr>
            <w:tcW w:w="130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690,354 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525,467 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(340,516)</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July 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848,391 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performance-based restricted stock unit ("PSU") activity under the Grocery Outlet Holding Corp. 2019 Incentive Plan during the 26 weeks ended July 1, 2023:</w:t>
      </w:r>
    </w:p>
    <w:tbl>
      <w:tblPr>
        <w:tblW w:w="8043" w:type="dxa"/>
        <w:jc w:val="left"/>
        <w:tblInd w:w="0" w:type="dxa"/>
        <w:tblLayout w:type="fixed"/>
        <w:tblCellMar>
          <w:top w:w="28" w:type="dxa"/>
          <w:left w:w="28" w:type="dxa"/>
          <w:bottom w:w="28" w:type="dxa"/>
          <w:right w:w="28" w:type="dxa"/>
        </w:tblCellMar>
      </w:tblPr>
      <w:tblGrid>
        <w:gridCol w:w="1614"/>
        <w:gridCol w:w="1418"/>
        <w:gridCol w:w="1422"/>
        <w:gridCol w:w="488"/>
        <w:gridCol w:w="488"/>
        <w:gridCol w:w="471"/>
        <w:gridCol w:w="109"/>
        <w:gridCol w:w="109"/>
        <w:gridCol w:w="109"/>
        <w:gridCol w:w="390"/>
        <w:gridCol w:w="1139"/>
        <w:gridCol w:w="286"/>
      </w:tblGrid>
      <w:tr>
        <w:trPr/>
        <w:tc>
          <w:tcPr>
            <w:tcW w:w="16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 Date Fair Value</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as of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1,331,803 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Granted </w:t>
            </w:r>
            <w:r>
              <w:rPr>
                <w:rFonts w:ascii="Times New Roman;sans-serif" w:hAnsi="Times New Roman;sans-serif"/>
                <w:b w:val="false"/>
                <w:color w:val="000000"/>
                <w:sz w:val="13"/>
              </w:rPr>
              <w:t>(1)</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445,809 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 for expected performance achievement </w:t>
            </w:r>
            <w:r>
              <w:rPr>
                <w:rFonts w:ascii="Times New Roman;sans-serif" w:hAnsi="Times New Roman;sans-serif"/>
                <w:b w:val="false"/>
                <w:color w:val="000000"/>
                <w:sz w:val="13"/>
              </w:rPr>
              <w:t>(2)</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383,785 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(436,522)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Unvested balance as of July 1, 2023 </w:t>
            </w:r>
            <w:r>
              <w:rPr>
                <w:rFonts w:ascii="Times New Roman;sans-serif" w:hAnsi="Times New Roman;sans-serif"/>
                <w:b w:val="false"/>
                <w:color w:val="000000"/>
                <w:sz w:val="13"/>
              </w:rPr>
              <w:t>(3)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1,712,884 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initial grant of PSUs based on performance target level achievement of 100%.</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year-to-date adjustment to previously granted PSUs based on performance expectations as of July 1, 2023.</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(3)An additional 476,582 PSUs could potentially be included if the maximum performance level of 200% is reached for all PSUs outstanding as of July 1, 2023.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Share-based Compensation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consisted of the following (amounts in thousands):</w:t>
      </w:r>
    </w:p>
    <w:tbl>
      <w:tblPr>
        <w:tblW w:w="8070" w:type="dxa"/>
        <w:jc w:val="left"/>
        <w:tblInd w:w="0" w:type="dxa"/>
        <w:tblLayout w:type="fixed"/>
        <w:tblCellMar>
          <w:top w:w="28" w:type="dxa"/>
          <w:left w:w="28" w:type="dxa"/>
          <w:bottom w:w="28" w:type="dxa"/>
          <w:right w:w="28" w:type="dxa"/>
        </w:tblCellMar>
      </w:tblPr>
      <w:tblGrid>
        <w:gridCol w:w="1081"/>
        <w:gridCol w:w="949"/>
        <w:gridCol w:w="955"/>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Time-based 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Dividends</w:t>
            </w:r>
            <w:r>
              <w:rPr>
                <w:color w:val="000000"/>
              </w:rPr>
              <w:t xml:space="preserve">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000000"/>
          <w:sz w:val="18"/>
          <w:shd w:fill="FFFFFF" w:val="clear"/>
        </w:rPr>
        <w:t>(1)</w:t>
      </w:r>
      <w:r>
        <w:rPr>
          <w:rFonts w:ascii="Times New Roman;sans-serif" w:hAnsi="Times New Roman;sans-serif"/>
          <w:b w:val="false"/>
          <w:color w:val="000000"/>
          <w:sz w:val="18"/>
        </w:rPr>
        <w:t>Represents cash dividends paid upon vesting of share-based awards as a result of dividends declared in connection with a recapitalization that occurred in fiscal 2018.</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 xml:space="preserve">Note 6. </w:t>
      </w:r>
      <w:r>
        <w:rPr>
          <w:rFonts w:ascii="Times New Roman;sans-serif" w:hAnsi="Times New Roman;sans-serif"/>
          <w:b/>
          <w:color w:val="000000"/>
          <w:sz w:val="20"/>
          <w:shd w:fill="FFFFFF" w:val="clear"/>
        </w:rPr>
        <w:t xml:space="preserve">Income Taxes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expense and effective income tax rate were as follows (amounts in thousands, except percentages):</w:t>
      </w:r>
    </w:p>
    <w:tbl>
      <w:tblPr>
        <w:tblW w:w="7667" w:type="dxa"/>
        <w:jc w:val="left"/>
        <w:tblInd w:w="0" w:type="dxa"/>
        <w:tblLayout w:type="fixed"/>
        <w:tblCellMar>
          <w:top w:w="28" w:type="dxa"/>
          <w:left w:w="28" w:type="dxa"/>
          <w:bottom w:w="28" w:type="dxa"/>
          <w:right w:w="28" w:type="dxa"/>
        </w:tblCellMar>
      </w:tblPr>
      <w:tblGrid>
        <w:gridCol w:w="777"/>
        <w:gridCol w:w="681"/>
        <w:gridCol w:w="686"/>
        <w:gridCol w:w="211"/>
        <w:gridCol w:w="616"/>
        <w:gridCol w:w="271"/>
        <w:gridCol w:w="109"/>
        <w:gridCol w:w="109"/>
        <w:gridCol w:w="109"/>
        <w:gridCol w:w="211"/>
        <w:gridCol w:w="616"/>
        <w:gridCol w:w="271"/>
        <w:gridCol w:w="109"/>
        <w:gridCol w:w="109"/>
        <w:gridCol w:w="109"/>
        <w:gridCol w:w="211"/>
        <w:gridCol w:w="721"/>
        <w:gridCol w:w="271"/>
        <w:gridCol w:w="109"/>
        <w:gridCol w:w="109"/>
        <w:gridCol w:w="109"/>
        <w:gridCol w:w="211"/>
        <w:gridCol w:w="616"/>
        <w:gridCol w:w="3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Company's tax provision for interim periods is determined using an estimated annual effective tax rate, adjusted for discrete events arising in each respective quarter. During each interim period, the Company updates the estimated annual effective tax rate. </w:t>
      </w:r>
      <w:r>
        <w:rPr>
          <w:rFonts w:ascii="Times New Roman;sans-serif" w:hAnsi="Times New Roman;sans-serif"/>
          <w:b w:val="false"/>
          <w:color w:val="000000"/>
          <w:sz w:val="20"/>
        </w:rPr>
        <w:t>Our effective income tax rate for the 13 weeks ended July 1, 2023 was lower than the combined U.S. federal and state statutory income tax rate primarily due to excess tax benefits related to the exercise of stock options. Our effective income tax rate for the 26 weeks ended July 1, 2023 was higher than the combined U.S. federal and state statutory income tax rate primarily due to non-deductible executive compensation under Internal Revenue Code Section 162(m). The increase in our effective income tax rate for the 13 and 26 weeks ended July 1, 2023 compared to the 13 and 26 weeks ended July 2, 2022 was primarily driven by lower excess tax benefits related to the exercise of stock options as well as non-deductible executive compensation under Internal Revenue Code Section 162(m) during the 13 and 26 weeks ended July 1, 2023, which was not applicable during the 13 and 26 weeks ended July 2,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recognize interest and penalties associated with uncertain tax positions as part of the income tax provision in our condensed consolidated statements of operations and comprehensive income and include accrued interest and penalties with the related income tax liability on our condensed consolidated balance sheets. To date, we have not recognized any interest and penalties, nor have we accrued for or made payments for interest and penalties. We had no uncertain tax positions as of July 1, 2023 and December 31, 2022, respectively, and do not anticipate any changes to our uncertain tax positions within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7. Related Party Transactions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Related Party Leases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and July 2, 2022, we leased 14 and 15 store locations, respectively, and one warehouse location from entities in which Eric Lindberg, Jr., Chairman of our Board of Directors (and formerly our Chief Executive Officer until December 31, 2022), and MacGregor Read, Jr., who served as Vice Chairman of our Board of Directors until September 1, 2022, or their respective families, had a direct or indirect financial interest. As of July 1, 2023, the right-of-use assets and lease liabilities related to these properties was $36.4 million and $41.3 million, respectively. As of December 31, 2022, the right-of-use assets and lease liabilities related to these properties was $40.5 million and $45.5 million, respectively. These related parties received aggregate lease payments from us of $1.7 million and $1.8 million for the 13 weeks ended July 1, 2023 and July 2, 2022, respectively, and $3.4 million for each of the 26 weeks ended July 1, 2023 and July 2, 2022.</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Independent Operator Notes and Independent Operator Receivables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offer interest-bearing notes to IOs and the gross amount of IO operating notes and IO receivables due was $50.6 million and $48.1 million as of July 1, 2023 and December 31, 2022, respectively. See Note 2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8. Commitments and Contingencies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pPr>
      <w:r>
        <w:rPr>
          <w:rFonts w:ascii="Times New Roman;sans-serif" w:hAnsi="Times New Roman;sans-serif"/>
          <w:b/>
          <w:color w:val="000000"/>
          <w:sz w:val="20"/>
        </w:rPr>
        <w:t xml:space="preserve">Note 9. </w:t>
      </w:r>
      <w:r>
        <w:rPr>
          <w:rFonts w:ascii="Times New Roman;sans-serif" w:hAnsi="Times New Roman;sans-serif"/>
          <w:b/>
          <w:color w:val="000000"/>
          <w:sz w:val="20"/>
          <w:shd w:fill="FFFFFF" w:val="clear"/>
        </w:rPr>
        <w:t>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calculation of basic and diluted earnings per share (amounts in thousands, except per share data):</w:t>
      </w:r>
    </w:p>
    <w:tbl>
      <w:tblPr>
        <w:tblW w:w="9135" w:type="dxa"/>
        <w:jc w:val="left"/>
        <w:tblInd w:w="0" w:type="dxa"/>
        <w:tblLayout w:type="fixed"/>
        <w:tblCellMar>
          <w:top w:w="28" w:type="dxa"/>
          <w:left w:w="28" w:type="dxa"/>
          <w:bottom w:w="28" w:type="dxa"/>
          <w:right w:w="28" w:type="dxa"/>
        </w:tblCellMar>
      </w:tblPr>
      <w:tblGrid>
        <w:gridCol w:w="1429"/>
        <w:gridCol w:w="1252"/>
        <w:gridCol w:w="126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Effect of dilutive RSUs and PSUs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We are required to include in diluted weighted-average shares outstanding contingently issuable shares that would be issued assuming the end of our reporting period was the end of the relevant PSU award contingency period.</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common share equivalents were excluded from the calculation of diluted earnings per share because their effect would have been anti-dilutive (amounts in thousands):</w:t>
      </w:r>
    </w:p>
    <w:tbl>
      <w:tblPr>
        <w:tblW w:w="4192" w:type="dxa"/>
        <w:jc w:val="left"/>
        <w:tblInd w:w="0" w:type="dxa"/>
        <w:tblLayout w:type="fixed"/>
        <w:tblCellMar>
          <w:top w:w="28" w:type="dxa"/>
          <w:left w:w="28" w:type="dxa"/>
          <w:bottom w:w="28" w:type="dxa"/>
          <w:right w:w="28" w:type="dxa"/>
        </w:tblCellMar>
      </w:tblPr>
      <w:tblGrid>
        <w:gridCol w:w="207"/>
        <w:gridCol w:w="181"/>
        <w:gridCol w:w="183"/>
        <w:gridCol w:w="199"/>
        <w:gridCol w:w="199"/>
        <w:gridCol w:w="201"/>
        <w:gridCol w:w="143"/>
        <w:gridCol w:w="143"/>
        <w:gridCol w:w="143"/>
        <w:gridCol w:w="199"/>
        <w:gridCol w:w="199"/>
        <w:gridCol w:w="201"/>
        <w:gridCol w:w="109"/>
        <w:gridCol w:w="109"/>
        <w:gridCol w:w="109"/>
        <w:gridCol w:w="199"/>
        <w:gridCol w:w="199"/>
        <w:gridCol w:w="201"/>
        <w:gridCol w:w="141"/>
        <w:gridCol w:w="141"/>
        <w:gridCol w:w="141"/>
        <w:gridCol w:w="188"/>
        <w:gridCol w:w="188"/>
        <w:gridCol w:w="26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571"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rPr>
        <w:t>You should read the following discussion of our financial condition and results of operations in conjunction with the unaudited condensed consolidated financial statements and related notes thereto included elsewhere</w:t>
      </w:r>
      <w:r>
        <w:rPr>
          <w:color w:val="231F20"/>
        </w:rPr>
        <w:t xml:space="preserve"> </w:t>
      </w:r>
      <w:r>
        <w:rPr>
          <w:rFonts w:ascii="Times New Roman;sans-serif" w:hAnsi="Times New Roman;sans-serif"/>
          <w:b w:val="false"/>
          <w:i/>
          <w:color w:val="231F20"/>
          <w:sz w:val="20"/>
        </w:rPr>
        <w:t>in this report,</w:t>
      </w:r>
      <w:r>
        <w:rPr>
          <w:color w:val="000000"/>
        </w:rPr>
        <w:t xml:space="preserve"> </w:t>
      </w:r>
      <w:r>
        <w:rPr>
          <w:rFonts w:ascii="Times New Roman;sans-serif" w:hAnsi="Times New Roman;sans-serif"/>
          <w:b w:val="false"/>
          <w:i/>
          <w:color w:val="000000"/>
          <w:sz w:val="20"/>
        </w:rPr>
        <w:t xml:space="preserve">and the audited consolidated financial statements and related notes thereto and management's discussion and analysis of financial condition and results of operations included in our Annual Report on Form 10-K for the fiscal year ended December 31, 2022 ("2022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 </w:t>
      </w:r>
    </w:p>
    <w:p>
      <w:pPr>
        <w:pStyle w:val="TextBody"/>
        <w:bidi w:val="0"/>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operate on a fiscal year that ends on the Saturday closest to December 31st each year. References to the second quarter of fiscal 2023 and the second quarter of fiscal 2022 refer to the 13 weeks ended July 1, 2023 and July 2, 2022, respectively. </w:t>
      </w:r>
    </w:p>
    <w:p>
      <w:pPr>
        <w:pStyle w:val="TextBody"/>
        <w:bidi w:val="0"/>
        <w:spacing w:lineRule="auto" w:line="288" w:before="120" w:after="283"/>
        <w:ind w:left="0" w:right="0" w:firstLine="540"/>
        <w:jc w:val="both"/>
        <w:rPr>
          <w:rFonts w:ascii="Times New Roman;sans-serif" w:hAnsi="Times New Roman;sans-serif"/>
          <w:b w:val="false"/>
          <w:i/>
          <w:color w:val="231F20"/>
          <w:sz w:val="20"/>
        </w:rPr>
      </w:pPr>
      <w:r>
        <w:rPr>
          <w:rFonts w:ascii="Times New Roman;sans-serif" w:hAnsi="Times New Roman;sans-serif"/>
          <w:b w:val="false"/>
          <w:i/>
          <w:color w:val="231F20"/>
          <w:sz w:val="20"/>
        </w:rPr>
        <w:t>As used in this report, references to "Grocery Outlet," "the Company," "the registrant," "we," "us" and "our," refer to Grocery Outlet Holding Corp. and its consolidated subsidiaries unless otherwise indicated or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July 1, 2023, we had 447 stores in California, Washington, Oregon, Pennsylvania, Idaho, Nevada, Maryland and New Jersey.</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Macroeconomic Conditions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and to a lesser extent recently, our business has been and continues to be impacted by current macroeconomic conditions including supply chain and labor challenges, inflation, and changes in consumer behavior, and our IOs have been impacted by staffing challenges and increased labor costs and utility costs within their businesses. The extent of the continuing impact of these factors on our operational and financial performance will depend on many factors, including certain factors outside of our control.</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utilize our unique buying model, our strong vendor relationships and our agile approach to inventory management to offer customers a compelling assortment at a deep value. While product costs have largely stabilized for us during the recent fiscal quarter, we continue to incur greater selling, general and administrative expenses ("SG&amp;A") related to personnel, travel, and other third party and operational costs due to the aforementioned factors. Further, planned construction and opening of new stores has been, and may continue to be, negatively impacted due to both increased lead times to acquire materials, obtain permits and licenses as well as higher construction and development related costs.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Factors and Measures We Use to Evaluate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 variety of financial and operating measures in assessing the performance of our business. The key generally accepted accounting principles ("GAAP") financial measures we use are net sales, gross profit and gross margin, SG&amp;A and operating income. The key operational metrics and non-GAAP financial measures we use are number of new stores, comparable store sales, EBITDA, adjusted EBITDA, adjusted net income and adjusted earnings per share.</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Second Quarter of Fiscal 2023 Overview</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Key financial and operating performance results for the second quarter of fiscal 2023 compared to the second quarter of fiscal 2022 were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sales increased 12.5% to $1.01 billion from $897.7 million in the second quarter of fiscal 2022; comparable store sales increased by 9.2%.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opened four new stores and closed one store, ending the second quarter of fiscal 2023 with 447 stores in eight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income increased 21.8% to $24.5 million, or $0.24 per diluted share, compared to net income of $20.1 million, or $0.20 per diluted share, in the second quarter of fiscal 2022.</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increased 22.7% to $70.5 million compared to $57.5 million in the second quarter of fiscal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Adjusted net income</w:t>
      </w: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increased 18.5% to $31.9 million, or $0.32 per adjusted diluted share</w:t>
      </w:r>
      <w:r>
        <w:rPr>
          <w:rFonts w:ascii="Times New Roman;sans-serif" w:hAnsi="Times New Roman;sans-serif"/>
          <w:b w:val="false"/>
          <w:color w:val="000000"/>
          <w:sz w:val="13"/>
        </w:rPr>
        <w:t>(1)</w:t>
      </w:r>
      <w:r>
        <w:rPr>
          <w:rFonts w:ascii="Times New Roman;sans-serif" w:hAnsi="Times New Roman;sans-serif"/>
          <w:b w:val="false"/>
          <w:color w:val="000000"/>
          <w:sz w:val="20"/>
        </w:rPr>
        <w:t>, compared to $26.9 million, or $0.27 per adjusted diluted share, in the second quarter of fiscal 2022.</w:t>
      </w:r>
    </w:p>
    <w:p>
      <w:pPr>
        <w:pStyle w:val="TextBody"/>
        <w:bidi w:val="0"/>
        <w:spacing w:lineRule="auto" w:line="288" w:before="4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120" w:after="283"/>
        <w:ind w:left="0" w:right="0" w:hanging="36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and 26 weeks ended July 2, 2022 have been recast to reflect these changes. See the "Operating Metrics and Non-GAAP Financial Measures" section of our 2022 Form 10-K, for additional information. Furthermore, see the "Operating Metrics and Non-GAAP Financial Measures" section below for additional information about these items, including their definitions, how the non-GAAP measures provide useful information to investors and how management utilizes them, and reconciliations of the non-GAAP measures and the most directly comparable GAAP measures.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governmental benefit programs such as the Supplemental Nutrition Assistance Program and discretionary income. Our customers' discretionary income is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 higher variability to our gross margins. The components of our cost of sales, as well as our gross profit and gross margin, may not be comparable to the same or similar measures of our competitors and other retailers.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are comprised of both store-related expenses and corporate expenses. Our store-related expenses include commissions paid to IOs, occupancy and our portion of maintenance costs, depreciation and amortization of store-related assets and the cost of opening new IO stores. Company-operated store-related expenses also include payroll, benefits, supplies and utilities. Corporate expenses include payroll and benefits for corporate and field support, share-based compensation, marketing and advertising, insurance and professional services, depreciation and amortization of corporate assets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fiscal 2023, in order to enhance the comparability of our results with our peers, we updated our presentation of the condensed consolidated statements of operations and comprehensive income to include depreciation and amortization expenses and share-based compensation expenses within selling, general and administrative expenses. Prior period amounts have been reclassified to conform to current period presentation. The reclassification of these items had no impact on net income, earnings per share, or retained earnings in the current or prior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Operating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income is gross profit less SG&amp;A. Operating income excludes interest expense, net, loss on debt extinguishment and modification and income tax expense. We use operating income as an indicator of the productivity of our business and our ability to manage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20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key components of our results of operations both in dollars and as a percentage of net sales (amounts in thousands, except for percentages):</w:t>
      </w:r>
    </w:p>
    <w:tbl>
      <w:tblPr>
        <w:tblW w:w="9975" w:type="dxa"/>
        <w:jc w:val="left"/>
        <w:tblInd w:w="0" w:type="dxa"/>
        <w:tblLayout w:type="fixed"/>
        <w:tblCellMar>
          <w:top w:w="28" w:type="dxa"/>
          <w:left w:w="28" w:type="dxa"/>
          <w:bottom w:w="28" w:type="dxa"/>
          <w:right w:w="28" w:type="dxa"/>
        </w:tblCellMar>
      </w:tblPr>
      <w:tblGrid>
        <w:gridCol w:w="1677"/>
        <w:gridCol w:w="1110"/>
        <w:gridCol w:w="1128"/>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tbl>
      <w:tblPr>
        <w:tblW w:w="8740" w:type="dxa"/>
        <w:jc w:val="left"/>
        <w:tblInd w:w="0" w:type="dxa"/>
        <w:tblLayout w:type="fixed"/>
        <w:tblCellMar>
          <w:top w:w="28" w:type="dxa"/>
          <w:left w:w="28" w:type="dxa"/>
          <w:bottom w:w="28" w:type="dxa"/>
          <w:right w:w="28" w:type="dxa"/>
        </w:tblCellMar>
      </w:tblPr>
      <w:tblGrid>
        <w:gridCol w:w="1417"/>
        <w:gridCol w:w="1245"/>
        <w:gridCol w:w="1252"/>
        <w:gridCol w:w="308"/>
        <w:gridCol w:w="308"/>
        <w:gridCol w:w="333"/>
        <w:gridCol w:w="109"/>
        <w:gridCol w:w="109"/>
        <w:gridCol w:w="109"/>
        <w:gridCol w:w="308"/>
        <w:gridCol w:w="308"/>
        <w:gridCol w:w="333"/>
        <w:gridCol w:w="109"/>
        <w:gridCol w:w="109"/>
        <w:gridCol w:w="109"/>
        <w:gridCol w:w="308"/>
        <w:gridCol w:w="308"/>
        <w:gridCol w:w="333"/>
        <w:gridCol w:w="109"/>
        <w:gridCol w:w="109"/>
        <w:gridCol w:w="109"/>
        <w:gridCol w:w="308"/>
        <w:gridCol w:w="308"/>
        <w:gridCol w:w="382"/>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Percentage of net sales </w:t>
            </w:r>
            <w:r>
              <w:rPr>
                <w:rFonts w:ascii="Times New Roman;sans-serif" w:hAnsi="Times New Roman;sans-serif"/>
                <w:b/>
                <w:color w:val="000000"/>
                <w:sz w:val="13"/>
              </w:rPr>
              <w:t>(1)</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 and modification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and comprehensive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(1)Components may not sum to totals due to rounding.</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Operating Metrics and Non-GAAP Financial Measures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Number of New Stores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Comparable Store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w:t>
      </w:r>
      <w:r>
        <w:rPr>
          <w:rFonts w:ascii="Times New Roman;sans-serif" w:hAnsi="Times New Roman;sans-serif"/>
          <w:b w:val="false"/>
          <w:color w:val="000000"/>
          <w:sz w:val="20"/>
          <w:shd w:fill="FFFFFF" w:val="clear"/>
        </w:rPr>
        <w:t>es we use to assess the success of our growth strategy.</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EBITDA, Adjusted EBITDA, Adjusted Net Income and Adjusted Earnings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Management believes it is useful to investors and analysts to evaluate these non-GAAP measures on the same basis as management uses to evaluate our operating results.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define EBITDA as net income before net interest expense, income taxes and depreciation and amortization expenses. Adjusted EBITDA represents EBITDA adjusted to exclude share-based compensation expense, loss on debt extinguishment and modification, asset impairment and gain or loss on disposition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Beginning with the fourth quarter of fiscal 2022, we updated our definitions of adjusted EBITDA, adjusted net income and adjusted earnings per share to no longer exclude the impact of non-cash rent expense and the provision for accounts receivable reserves. The presentation for adjusted EBITDA, adjusted net income and adjusted earnings per share for the 13 and 26 weeks ended July 2, 2022 has been recast to reflect these changes.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key operating metrics and non-GAAP financial measures for the periods presented (amounts in thousands, except for percentages and store counts):</w:t>
      </w:r>
    </w:p>
    <w:tbl>
      <w:tblPr>
        <w:tblW w:w="9318" w:type="dxa"/>
        <w:jc w:val="left"/>
        <w:tblInd w:w="0" w:type="dxa"/>
        <w:tblLayout w:type="fixed"/>
        <w:tblCellMar>
          <w:top w:w="28" w:type="dxa"/>
          <w:left w:w="28" w:type="dxa"/>
          <w:bottom w:w="28" w:type="dxa"/>
          <w:right w:w="28" w:type="dxa"/>
        </w:tblCellMar>
      </w:tblPr>
      <w:tblGrid>
        <w:gridCol w:w="1184"/>
        <w:gridCol w:w="1040"/>
        <w:gridCol w:w="1046"/>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Financial and Operations Data</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new stores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stores open at end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Comparable store sales increase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EBITDA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6"/>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income </w:t>
            </w:r>
            <w:r>
              <w:rPr>
                <w:rFonts w:ascii="Times New Roman;sans-serif" w:hAnsi="Times New Roman;sans-serif"/>
                <w:b w:val="false"/>
                <w:color w:val="000000"/>
                <w:sz w:val="16"/>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_______________________</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(1)Comparable store sales consist of net sales from our stores beginning on the first day of the fourteenth full fiscal month following the store's opening, which is when we believe comparability is achieved.</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(2)See "GAAP to Non-GAAP Reconciliations" section below for the applicable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GAAP to Non-GAAP Reconciliations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tbl>
      <w:tblPr>
        <w:tblW w:w="9675" w:type="dxa"/>
        <w:jc w:val="left"/>
        <w:tblInd w:w="0" w:type="dxa"/>
        <w:tblLayout w:type="fixed"/>
        <w:tblCellMar>
          <w:top w:w="28" w:type="dxa"/>
          <w:left w:w="28" w:type="dxa"/>
          <w:bottom w:w="28" w:type="dxa"/>
          <w:right w:w="28" w:type="dxa"/>
        </w:tblCellMar>
      </w:tblPr>
      <w:tblGrid>
        <w:gridCol w:w="1549"/>
        <w:gridCol w:w="1357"/>
        <w:gridCol w:w="136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833"/>
        <w:gridCol w:w="1580"/>
        <w:gridCol w:w="16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3"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expenses </w:t>
            </w:r>
            <w:r>
              <w:rPr>
                <w:rFonts w:ascii="Times New Roman;sans-serif" w:hAnsi="Times New Roman;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debt extinguishment and modification </w:t>
            </w:r>
            <w:r>
              <w:rPr>
                <w:rFonts w:ascii="Times New Roman;sans-serif" w:hAnsi="Times New Roman;sans-serif"/>
                <w:b w:val="false"/>
                <w:color w:val="000000"/>
                <w:sz w:val="16"/>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impairment and gain or loss on disposition </w:t>
            </w:r>
            <w:r>
              <w:rPr>
                <w:rFonts w:ascii="Times New Roman;sans-serif" w:hAnsi="Times New Roman;sans-serif"/>
                <w:b w:val="false"/>
                <w:color w:val="000000"/>
                <w:sz w:val="16"/>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of purchase accounting assets and deferred financing costs </w:t>
            </w:r>
            <w:r>
              <w:rPr>
                <w:rFonts w:ascii="Times New Roman;sans-serif" w:hAnsi="Times New Roman;sans-serif"/>
                <w:b w:val="false"/>
                <w:color w:val="000000"/>
                <w:sz w:val="16"/>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adjustment to normalize effective tax rate </w:t>
            </w:r>
            <w:r>
              <w:rPr>
                <w:rFonts w:ascii="Times New Roman;sans-serif" w:hAnsi="Times New Roman;sans-serif"/>
                <w:b w:val="false"/>
                <w:color w:val="000000"/>
                <w:sz w:val="16"/>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Tax effect of total adjustments </w:t>
            </w:r>
            <w:r>
              <w:rPr>
                <w:rFonts w:ascii="Times New Roman;sans-serif" w:hAnsi="Times New Roman;sans-serif"/>
                <w:b w:val="false"/>
                <w:color w:val="000000"/>
                <w:sz w:val="16"/>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5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w:t>
      </w:r>
    </w:p>
    <w:p>
      <w:pPr>
        <w:pStyle w:val="TextBody"/>
        <w:bidi w:val="0"/>
        <w:spacing w:lineRule="auto" w:line="288" w:before="60" w:after="283"/>
        <w:ind w:left="0" w:right="0" w:hanging="540"/>
        <w:jc w:val="both"/>
        <w:rPr/>
      </w:pPr>
      <w:r>
        <w:rPr>
          <w:rFonts w:ascii="Times New Roman;sans-serif" w:hAnsi="Times New Roman;sans-serif"/>
          <w:b w:val="false"/>
          <w:color w:val="231F20"/>
          <w:sz w:val="18"/>
          <w:shd w:fill="FFFFFF" w:val="clear"/>
        </w:rPr>
        <w:t>(1)</w:t>
      </w:r>
      <w:r>
        <w:rPr>
          <w:rFonts w:ascii="Times New Roman;sans-serif" w:hAnsi="Times New Roman;sans-serif"/>
          <w:b w:val="false"/>
          <w:color w:val="000000"/>
          <w:sz w:val="18"/>
        </w:rPr>
        <w:t>Includes non-cash share-based compensation expense and cash dividends paid on vested share-based awards as a result of dividends declared in connection with a recapitalization that occurred in fiscal 2018. See "Share-based Compensation Expense" in the "Comparison of the 13 and 26 weeks ended July 1, 2023 and July 2, 2022" section below for additional information.</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the write-off of debt issuance costs and debt discounts as well as debt modification costs related to refinancing and/or repayment of our credit facilities. See Note 3 to the condensed consolidated financial statements for additional information.</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asset impairment charges and gains or losses on dispositions of assets.</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other non-recurring, non-cash or non-operational items, such as technology upgrade implementation costs, costs related to employer payroll taxes associated with equity awards, legal settlements and other legal expenses, certain personnel-related costs, store closing costs and miscellaneous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(5)Represents the amortization of debt issuance costs as well as the incremental amortization of an asset step-up resulting from purchase price accounting related to our acquisition in 2014 by an investment fund affiliated with Hellman &amp; Friedman LLC, which included trademarks, customer lists, and below-market leases.</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(6)Represents adjustments to normalize the effective tax rate for the impact of unusual or infrequent tax items that we do not consider in our evaluation of ongoing performance, including excess tax expenses or benefits related to stock option exercises and vesting of restricted stock units ("RSUs") that are recorded in earnings as discrete items in the reporting period in which they occur.</w:t>
      </w:r>
    </w:p>
    <w:p>
      <w:pPr>
        <w:pStyle w:val="TextBody"/>
        <w:bidi w:val="0"/>
        <w:spacing w:lineRule="auto" w:line="288" w:before="60" w:after="283"/>
        <w:ind w:left="0" w:right="0" w:hanging="540"/>
        <w:jc w:val="both"/>
        <w:rPr>
          <w:rFonts w:ascii="Times New Roman;sans-serif" w:hAnsi="Times New Roman;sans-serif"/>
          <w:b w:val="false"/>
          <w:color w:val="000000"/>
          <w:sz w:val="18"/>
        </w:rPr>
      </w:pPr>
      <w:r>
        <w:rPr>
          <w:rFonts w:ascii="Times New Roman;sans-serif" w:hAnsi="Times New Roman;sans-serif"/>
          <w:b w:val="false"/>
          <w:color w:val="000000"/>
          <w:sz w:val="18"/>
        </w:rPr>
        <w:t>(7)Represents the tax effect of the total adjustments. We calculate the tax effect of the total adjustments on a discrete basis excluding any non-recurring and unusual tax items.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Comparison of the 13 and 26 weeks ended July 1, 2023 and July 2, 2022 (amounts in thousands, except percentages)</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Net Sales </w:t>
      </w:r>
    </w:p>
    <w:tbl>
      <w:tblPr>
        <w:tblW w:w="12175" w:type="dxa"/>
        <w:jc w:val="left"/>
        <w:tblInd w:w="0" w:type="dxa"/>
        <w:tblLayout w:type="fixed"/>
        <w:tblCellMar>
          <w:top w:w="28" w:type="dxa"/>
          <w:left w:w="28" w:type="dxa"/>
          <w:bottom w:w="28" w:type="dxa"/>
          <w:right w:w="28" w:type="dxa"/>
        </w:tblCellMar>
      </w:tblPr>
      <w:tblGrid>
        <w:gridCol w:w="185"/>
        <w:gridCol w:w="162"/>
        <w:gridCol w:w="164"/>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55"/>
        <w:gridCol w:w="256"/>
        <w:gridCol w:w="483"/>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1,975,722 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sales for the 13 and 26 weeks ended July 1, 2023 compared to the same periods in fiscal 2022 was primarily attributable to an increase in comparable store sales as well as non-comparable store net sales growth primarily from the 22 net new stores opened over the last 12 months.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Comparable store sales increased 9.2% for the 13 weeks ended July 1, 2023 and 10.6% for the 26 weeks ended July 1, 2023 compared to the same periods in fiscal 2022. The increase in comparable store sales for the 13 weeks ended July 1, 2023 was driven by a 9.1% increase in the number of transactions while average transaction size was flat. The increase in comparable store sales for the 26 weeks ended July 1, 2023 was driven by an 8.6% increase in the number of transactions and a 1.9% increase in average transaction size.</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Cost of Sales</w:t>
      </w:r>
    </w:p>
    <w:tbl>
      <w:tblPr>
        <w:tblW w:w="12568" w:type="dxa"/>
        <w:jc w:val="left"/>
        <w:tblInd w:w="0" w:type="dxa"/>
        <w:tblLayout w:type="fixed"/>
        <w:tblCellMar>
          <w:top w:w="28" w:type="dxa"/>
          <w:left w:w="28" w:type="dxa"/>
          <w:bottom w:w="28" w:type="dxa"/>
          <w:right w:w="28" w:type="dxa"/>
        </w:tblCellMar>
      </w:tblPr>
      <w:tblGrid>
        <w:gridCol w:w="185"/>
        <w:gridCol w:w="162"/>
        <w:gridCol w:w="16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211"/>
        <w:gridCol w:w="976"/>
        <w:gridCol w:w="271"/>
        <w:gridCol w:w="109"/>
        <w:gridCol w:w="109"/>
        <w:gridCol w:w="109"/>
        <w:gridCol w:w="211"/>
        <w:gridCol w:w="976"/>
        <w:gridCol w:w="271"/>
        <w:gridCol w:w="109"/>
        <w:gridCol w:w="109"/>
        <w:gridCol w:w="109"/>
        <w:gridCol w:w="211"/>
        <w:gridCol w:w="826"/>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683,685 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1,348,609 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1,198,786 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sales for the 13 and 26 weeks ended July 1, 2023 compared to the same periods in fiscal 2022 was primarily the result of an increase in comparable store sales combined with non-comparable net sales from 22 net new stores opened over the last 12 months.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as a percentage of net sales decreased for the 13 and 26 weeks ended July 1, 2023 compared to the same periods in fiscal 2022 primarily due to our changing assortment along with strong purchasing and inventory management. </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tbl>
      <w:tblPr>
        <w:tblW w:w="12343" w:type="dxa"/>
        <w:jc w:val="left"/>
        <w:tblInd w:w="0" w:type="dxa"/>
        <w:tblLayout w:type="fixed"/>
        <w:tblCellMar>
          <w:top w:w="28" w:type="dxa"/>
          <w:left w:w="28" w:type="dxa"/>
          <w:bottom w:w="28" w:type="dxa"/>
          <w:right w:w="28" w:type="dxa"/>
        </w:tblCellMar>
      </w:tblPr>
      <w:tblGrid>
        <w:gridCol w:w="327"/>
        <w:gridCol w:w="181"/>
        <w:gridCol w:w="18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44"/>
      </w:tblGrid>
      <w:tr>
        <w:trPr/>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326,570 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279,411 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627,113 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530,300 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the 13 and 26 weeks ended July 1, 2023 compared to the same periods in fiscal 2022 was primarily the result of an increase in comparable store sales combined with non-comparable sales from 22 net new stores opened over the last 12 months. </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increased for the 13 and 26 weeks ended July 1, 2023 compared to the same periods in fiscal 2022 primarily due to our changing assortment along with strong purchasing and inventory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tbl>
      <w:tblPr>
        <w:tblW w:w="12163" w:type="dxa"/>
        <w:jc w:val="left"/>
        <w:tblInd w:w="0" w:type="dxa"/>
        <w:tblLayout w:type="fixed"/>
        <w:tblCellMar>
          <w:top w:w="28" w:type="dxa"/>
          <w:left w:w="28" w:type="dxa"/>
          <w:bottom w:w="28" w:type="dxa"/>
          <w:right w:w="28" w:type="dxa"/>
        </w:tblCellMar>
      </w:tblPr>
      <w:tblGrid>
        <w:gridCol w:w="185"/>
        <w:gridCol w:w="162"/>
        <w:gridCol w:w="16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483"/>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54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SG&amp;A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290,089 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252,500 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14.9 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557,814 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483,961 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for the 13 weeks ended July 1, 2023 compared to the same period in fiscal 2022 was driven by $26.5 million in higher store-related expenses and $11.1 million in higher corporate-related expenses. Store-related expenses primarily increased as a result of higher commission payments to IOs, reflecting gross profit growth, as well as higher store occupancy costs due to 22 net new stores opened over the last 12 months. Corporate-related expenses increased largely due to increased personnel costs primarily related to higher incentive compensation expense, reflecting strong performance for the 13 weeks ended July 1, 2023.</w:t>
      </w:r>
    </w:p>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SG&amp;A for the 26 weeks ended July 1, 2023 compared to the same period in fiscal 2022 was driven by $53.7 million in higher store-related expenses and $20.1 million in higher corporate-related expenses. Store-related expenses primarily increased as a result of higher commission payments to IOs, reflecting gross profit growth, as well as higher store occupancy costs due to 22 net new stores opened over the last 12 months. Corporate-related expenses increased largely due to increased personnel costs primarily related to higher incentive compensation expense, reflecting strong performance performance for the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net sales, SG&amp;A increased for the 13 and 26 weeks ended July 1, 2023 compared to the same periods in fiscal 2022 primarily due to variable IO commission expense resulting from higher gross margin rates as well as higher incentive compensation expense due to strong performance during the 13 and 26 weeks ended July 1, 2023.</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Net </w:t>
      </w:r>
    </w:p>
    <w:tbl>
      <w:tblPr>
        <w:tblW w:w="11393" w:type="dxa"/>
        <w:jc w:val="left"/>
        <w:tblInd w:w="0" w:type="dxa"/>
        <w:tblLayout w:type="fixed"/>
        <w:tblCellMar>
          <w:top w:w="28" w:type="dxa"/>
          <w:left w:w="28" w:type="dxa"/>
          <w:bottom w:w="28" w:type="dxa"/>
          <w:right w:w="28" w:type="dxa"/>
        </w:tblCellMar>
      </w:tblPr>
      <w:tblGrid>
        <w:gridCol w:w="299"/>
        <w:gridCol w:w="263"/>
        <w:gridCol w:w="264"/>
        <w:gridCol w:w="211"/>
        <w:gridCol w:w="616"/>
        <w:gridCol w:w="271"/>
        <w:gridCol w:w="109"/>
        <w:gridCol w:w="109"/>
        <w:gridCol w:w="109"/>
        <w:gridCol w:w="211"/>
        <w:gridCol w:w="616"/>
        <w:gridCol w:w="271"/>
        <w:gridCol w:w="109"/>
        <w:gridCol w:w="109"/>
        <w:gridCol w:w="109"/>
        <w:gridCol w:w="213"/>
        <w:gridCol w:w="471"/>
        <w:gridCol w:w="112"/>
        <w:gridCol w:w="109"/>
        <w:gridCol w:w="109"/>
        <w:gridCol w:w="109"/>
        <w:gridCol w:w="255"/>
        <w:gridCol w:w="256"/>
        <w:gridCol w:w="483"/>
        <w:gridCol w:w="109"/>
        <w:gridCol w:w="109"/>
        <w:gridCol w:w="109"/>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54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expense for the 13 and 26 weeks ended July 1, 2023 compared to the same periods in fiscal 2022 was primarily driven by increases in the effective borrowing rate, partially offset by a decrease in principal debt outstanding over the last 12 months combined with increased interest income from IO notes and cash and cash equivalents. See Note 3 to the condensed consolidated financial statements for additional information.</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 and Modification</w:t>
      </w:r>
    </w:p>
    <w:tbl>
      <w:tblPr>
        <w:tblW w:w="12028" w:type="dxa"/>
        <w:jc w:val="left"/>
        <w:tblInd w:w="0" w:type="dxa"/>
        <w:tblLayout w:type="fixed"/>
        <w:tblCellMar>
          <w:top w:w="28" w:type="dxa"/>
          <w:left w:w="28" w:type="dxa"/>
          <w:bottom w:w="28" w:type="dxa"/>
          <w:right w:w="28" w:type="dxa"/>
        </w:tblCellMar>
      </w:tblPr>
      <w:tblGrid>
        <w:gridCol w:w="506"/>
        <w:gridCol w:w="444"/>
        <w:gridCol w:w="446"/>
        <w:gridCol w:w="211"/>
        <w:gridCol w:w="406"/>
        <w:gridCol w:w="271"/>
        <w:gridCol w:w="109"/>
        <w:gridCol w:w="109"/>
        <w:gridCol w:w="109"/>
        <w:gridCol w:w="211"/>
        <w:gridCol w:w="616"/>
        <w:gridCol w:w="271"/>
        <w:gridCol w:w="109"/>
        <w:gridCol w:w="109"/>
        <w:gridCol w:w="109"/>
        <w:gridCol w:w="211"/>
        <w:gridCol w:w="631"/>
        <w:gridCol w:w="109"/>
        <w:gridCol w:w="109"/>
        <w:gridCol w:w="109"/>
        <w:gridCol w:w="109"/>
        <w:gridCol w:w="315"/>
        <w:gridCol w:w="316"/>
        <w:gridCol w:w="483"/>
        <w:gridCol w:w="109"/>
        <w:gridCol w:w="109"/>
        <w:gridCol w:w="109"/>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544"/>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debt extinguishment and modification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319.2 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26 weeks ended July 1, 2023, we recorded a $5.3 million loss on debt extinguishment related to the payoff of $385.0 million of principal on the senior term loan outstanding under our prior credit facilities. During the 26 weeks ended July 2, 2022, we recorded a $1.3 million loss on debt extinguishment related to the prepayment of $75.0 million of principal on the senior term loan outstanding under our prior credit facilities. See Note 3 to the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tbl>
      <w:tblPr>
        <w:tblW w:w="11773" w:type="dxa"/>
        <w:jc w:val="left"/>
        <w:tblInd w:w="0" w:type="dxa"/>
        <w:tblLayout w:type="fixed"/>
        <w:tblCellMar>
          <w:top w:w="28" w:type="dxa"/>
          <w:left w:w="28" w:type="dxa"/>
          <w:bottom w:w="28" w:type="dxa"/>
          <w:right w:w="28" w:type="dxa"/>
        </w:tblCellMar>
      </w:tblPr>
      <w:tblGrid>
        <w:gridCol w:w="358"/>
        <w:gridCol w:w="248"/>
        <w:gridCol w:w="250"/>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483"/>
        <w:gridCol w:w="109"/>
        <w:gridCol w:w="109"/>
        <w:gridCol w:w="109"/>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308"/>
        <w:gridCol w:w="308"/>
        <w:gridCol w:w="544"/>
      </w:tblGrid>
      <w:tr>
        <w:trPr/>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158.3 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Effective tax rate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income tax expense for the 13 and 26 weeks ended July 1, 2023 compared to the same periods in fiscal 2022 was primarily due to higher pretax income combined with lower excess tax benefits from the exercise of stock options compared to the same periods in fiscal 2022.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effective income tax rate for the 13 and 26 weeks ended July 1, 2023 compared to the 13 and 26 weeks ended July 2, 2022 was primarily driven by lower excess tax benefits related to the exercise of stock options as well as non-deductible executive compensation under Internal Revenue Code Section 162(m) during the 13 and 26 weeks ended July 1, 2023, which was not applicable during the 13 and 26 weeks ended July 2, 2022.</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Net Income</w:t>
      </w:r>
    </w:p>
    <w:tbl>
      <w:tblPr>
        <w:tblW w:w="11743" w:type="dxa"/>
        <w:jc w:val="left"/>
        <w:tblInd w:w="0" w:type="dxa"/>
        <w:tblLayout w:type="fixed"/>
        <w:tblCellMar>
          <w:top w:w="28" w:type="dxa"/>
          <w:left w:w="28" w:type="dxa"/>
          <w:bottom w:w="28" w:type="dxa"/>
          <w:right w:w="28" w:type="dxa"/>
        </w:tblCellMar>
      </w:tblPr>
      <w:tblGrid>
        <w:gridCol w:w="261"/>
        <w:gridCol w:w="229"/>
        <w:gridCol w:w="231"/>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483"/>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44"/>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31,668 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r>
        <w:trPr/>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of net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foregoing factors, net income increased for the 13 and 26 weeks ended July 1, 2023 compared to the same periods in fiscal 2022. </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tbl>
      <w:tblPr>
        <w:tblW w:w="11650"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483"/>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EBITDA for the 13 and 26 weeks ended July 1, 2023 compared to the same periods in fiscal 2022 was primarily due to an increase in comparable store sales of 9.2% for the 13 weeks ended July 1, 2023 and 10.6% for the 26 weeks ended July 1, 2023, as well as higher net sales resulting from new store growth, combined with increased gross margin.</w:t>
      </w:r>
    </w:p>
    <w:p>
      <w:pPr>
        <w:pStyle w:val="TextBody"/>
        <w:bidi w:val="0"/>
        <w:spacing w:lineRule="auto" w:line="288" w:before="120" w:after="60"/>
        <w:jc w:val="both"/>
        <w:rPr>
          <w:rFonts w:ascii="Times New Roman;sans-serif" w:hAnsi="Times New Roman;sans-serif"/>
          <w:b/>
          <w:i/>
          <w:color w:val="000000"/>
          <w:sz w:val="20"/>
        </w:rPr>
      </w:pPr>
      <w:r>
        <w:rPr>
          <w:rFonts w:ascii="Times New Roman;sans-serif" w:hAnsi="Times New Roman;sans-serif"/>
          <w:b/>
          <w:i/>
          <w:color w:val="000000"/>
          <w:sz w:val="20"/>
        </w:rPr>
        <w:t xml:space="preserve">Adjusted Net Income </w:t>
      </w:r>
    </w:p>
    <w:tbl>
      <w:tblPr>
        <w:tblW w:w="11335" w:type="dxa"/>
        <w:jc w:val="left"/>
        <w:tblInd w:w="0" w:type="dxa"/>
        <w:tblLayout w:type="fixed"/>
        <w:tblCellMar>
          <w:top w:w="28" w:type="dxa"/>
          <w:left w:w="28" w:type="dxa"/>
          <w:bottom w:w="28" w:type="dxa"/>
          <w:right w:w="28" w:type="dxa"/>
        </w:tblCellMar>
      </w:tblPr>
      <w:tblGrid>
        <w:gridCol w:w="310"/>
        <w:gridCol w:w="272"/>
        <w:gridCol w:w="27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55"/>
        <w:gridCol w:w="256"/>
        <w:gridCol w:w="48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4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w:t>
              <w:b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27.8 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w:t>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adjusted net income for the 13 and 26 weeks ended July 1, 2023 compared to the same periods in fiscal 2022 was primarily due to an increase in comparable store sales of 9.2% for the 13 weeks ended July 1, 2023 and 10.6% for the 26 weeks ended July 1, 2023, as well as higher net sales resulting from new store growth, combined with increased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as of February 21, 2023 (the "2023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had cash and cash equivalents of $87.6 million, which consisted primarily of cash held in checking and money market accounts with financial institutions. In addition, we have a revolving credit facility with $400.0 million in borrowing capacity under our 2023 Credit Agreement. As of July 1, 2023, we had no borrowings outstanding under the revolving credit facility and $4.2 million of outstanding standby letters of credit, resulting in $395.8 million of remaining borrowing capacity available under this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the 2023 Credit Agreement, which provides for senior secured credit facilities consisting of (i) a senior secured term loan facility (the "senior term loan") in an original aggregate principal amount of $300.0 million and (ii) a senior secured revolving credit facility (the "revolving credit facility" and, together with the senior term loan, the "new credit facilities") in an aggregate principal amount of $400.0 million. The senior term loan was borrowed in full on such date, and $25.0 million of the revolving credit facility was borrowed on such date. See Note 3 to our condensed consolidated financial statements for additional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from time to time, at our sole discretion, prepay or retire all or a portion of our outstanding debt. On April 21, 2023, we repaid the $25.0 million of principal on our revolving credit facility.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of the 2023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2023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(as defined in the 2023 Credit Agreement) of 3.00 to 1.00.</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update to debt obligation payments noted below, there has been no material change in our material cash requirements since the end of fiscal 2022. See our 2022 Form 10-K for additional information.</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 purchases of capital assets such as property and equipment as well as intangible assets and licenses. Capital expenditures for the 26 weeks ended July 1, 2023, before the impact of tenant improvement allowances, were $78.3 million, and, net of tenant improvement allowances, were $73.9 million. We continue to expect total capital expenditures, net of tenant improvement allowances, to be approximately $155.0 million for fiscal 2023.</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Obligations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requires us to make scheduled quarterly amortization payments of the senior term loan. Such payments total $54.4 million over the remaining term of the senior term loan, with $1.9 million payable over the remainder of fiscal 2023. The remaining senior term loan principal balance will become due in February 2028 at maturity. See Note 3 to our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Debt Covenants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2023 Credit Agreement contains certain customary representations and warranties, subject to limitations and exceptions, and affirmative and customary covenants. The 2023 Credit Agreement contains certain covenants that, among other things, limit the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2023 Credit Agreement also contains financial performance covenants requiring us to satisfy a maximum total net leverage ratio test and a minimum interest coverage ratio test as of the last day of each fiscal quarter. The maximum total net leverage ratio test requires us to be in compliance with a Total Net Leverage Ratio no greater than 3.50 to 1.00 as of the last day of each test period ending prior to the test period ending on or about December 31, 2025, and no greater than 3.25 to 1.00 as of the last day of each test period ending thereafter, subject to certain adjustments set forth in the 2023 Credit Agreement. The minimum interest coverage ratio test requires us to be in compliance with a Consolidated Interest Coverage Ratio (as defined in the 2023 Credit Agreement) no less than 1.75 to 1.00 as of the last day of each test period.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July 1, 2023, we were in compliance with all applicable financial covenant requirements for our 2023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cash flows for the periods presented (amounts in thousands, except percentages):</w:t>
      </w:r>
    </w:p>
    <w:tbl>
      <w:tblPr>
        <w:tblW w:w="8907" w:type="dxa"/>
        <w:jc w:val="left"/>
        <w:tblInd w:w="0" w:type="dxa"/>
        <w:tblLayout w:type="fixed"/>
        <w:tblCellMar>
          <w:top w:w="28" w:type="dxa"/>
          <w:left w:w="28" w:type="dxa"/>
          <w:bottom w:w="28" w:type="dxa"/>
          <w:right w:w="28" w:type="dxa"/>
        </w:tblCellMar>
      </w:tblPr>
      <w:tblGrid>
        <w:gridCol w:w="1265"/>
        <w:gridCol w:w="1113"/>
        <w:gridCol w:w="1116"/>
        <w:gridCol w:w="211"/>
        <w:gridCol w:w="826"/>
        <w:gridCol w:w="109"/>
        <w:gridCol w:w="109"/>
        <w:gridCol w:w="109"/>
        <w:gridCol w:w="109"/>
        <w:gridCol w:w="211"/>
        <w:gridCol w:w="796"/>
        <w:gridCol w:w="109"/>
        <w:gridCol w:w="109"/>
        <w:gridCol w:w="109"/>
        <w:gridCol w:w="109"/>
        <w:gridCol w:w="211"/>
        <w:gridCol w:w="721"/>
        <w:gridCol w:w="109"/>
        <w:gridCol w:w="109"/>
        <w:gridCol w:w="109"/>
        <w:gridCol w:w="109"/>
        <w:gridCol w:w="291"/>
        <w:gridCol w:w="294"/>
        <w:gridCol w:w="544"/>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 Weeks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2,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Provided by Operating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$157.1 million for the 26 weeks ended July 1, 2023 compared to $84.7 million for the same period in fiscal 2022. The increase in net cash provided by operating activities of $72.4 million for the 26 weeks ended July 1, 2023 compared to the same period in fiscal 2022 was primarily driven by changes in merchandise inventory levels combined with increased net sales driven by comparable stores sales and new store growth.</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Used in Investing Activities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26 weeks ended July 1, 2023 and July 2, 2022 was primarily for capital expenditures and loans to IOs.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$78.1 million for the 26 weeks ended July 1, 2023 compared to $65.4 million for the same period in fiscal 2022. The increase in net cash used in investing activities of $12.7 million for the 26 weeks ended July 1, 2023 compared to the same period in fiscal 2022 was primarily due to increased spending on property and equipment due to higher store count as well as increased investments in computer software intangible assets, partially offset by a decrease in loans made to IOs.</w:t>
      </w:r>
    </w:p>
    <w:p>
      <w:pPr>
        <w:pStyle w:val="TextBody"/>
        <w:bidi w:val="0"/>
        <w:spacing w:lineRule="auto" w:line="288" w:before="18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Financing Activities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of $94.2 million for the 26 weeks ended July 1, 2023 was primarily due to the payoff of $385.0 million of principal on the prior senior term loan outstanding under our prior credit facilities, repayment of the $25.0 million of principal on our revolving credit facility, $4.5 million in debt issuance costs paid and the repurchase of $3.3 million worth of common stock, partially offset by $325.0 million in proceeds from the new credit facilities. Net cash used in financing activities of $75.2 million for the 26 weeks ended July 2, 2022 was primarily due to the prepayment of $75.0 million of principal on the senior term loan outstanding under our prior credit facilities as well as the repurchase of $3.5 million worth of common stock, partially offset by $4.0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and the applicable rules and regulations of the SEC for interim reporting. The preparation of our condensed consolidated financial statements requires us to make judgments and estimates that affect the reported amounts of assets, liabilities, revenues, expenses and related disclosures. We evaluate our estimates and assumptions on an ongoing basis. Our judgments and estimates are based on historical experience and other factors believed to be reasonable under the circumstances. With respect to critical accounting policies, even a relatively minor variance between actual and expected results can potentially have a materially favorable or unfavorable impact on subsequent results of operations.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during the 26 weeks ended July 1, 2023 from those disclosed in our 2022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to the condensed consolidated financial statements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Interest Rate Risk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Our operating results are subject to market risk from interest rate fluctuations on our credit facilities, which bear variable interest rates. As of July 1, 2023, our outstanding borrowings</w:t>
      </w:r>
      <w:r>
        <w:rPr>
          <w:color w:val="000000"/>
        </w:rPr>
        <w:t xml:space="preserve"> </w:t>
      </w:r>
      <w:r>
        <w:rPr>
          <w:rFonts w:ascii="Times New Roman;sans-serif" w:hAnsi="Times New Roman;sans-serif"/>
          <w:b w:val="false"/>
          <w:color w:val="000000"/>
          <w:sz w:val="20"/>
        </w:rPr>
        <w:t xml:space="preserve">included $298.1 million from our senior term loan under the 2023 Credit Agreement. As of July 1, 2023, the interest rate on the senior term loan was 7.43% (See Note 3 to our condensed consolidated financial statements for additional information). Based on the outstanding balance and interest rate of our senior term loan as of July 1, 2023, a hypothetical 10% relative increase or decrease in the interest rate would cause an increase or decrease in interest expense of approximately $2.2 million over the next </w:t>
      </w:r>
      <w:r>
        <w:rPr>
          <w:rFonts w:ascii="Times New Roman;sans-serif" w:hAnsi="Times New Roman;sans-serif"/>
          <w:b w:val="false"/>
          <w:color w:val="000000"/>
          <w:sz w:val="20"/>
          <w:shd w:fill="FFFFFF" w:val="clear"/>
        </w:rPr>
        <w:t>12 months.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use derivative financial instruments for speculative or trading purposes, but this does not preclude our adoption of specific hedging strategies in the future.</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Impact of Inflation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financial condition are presented based on historical cost. While it is difficult to accurately measure the impact of inflation due to the imprecise nature of the estimates required, we have experienced over the last several years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current macroeconomic environment. Similarly, our IOs have been impacted by staffing challenges and increased labor costs and utility costs within their businesses. Furthermore, our results of operations and financial condition may be materially impacted by inflation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Chief Executive Officer and Chief Financial Officer have concluded that our disclosure controls and procedures were effective at a reasonable assurance level as of July 1, 2023.</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July 1, 2023,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Legal Proceedings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July 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 regulations require us to disclose information about certain environmental proceedings if we reasonably believe that such proceedings may result in monetary sanctions above a stated threshold. Pursuant to SEC regulations, we use a threshold of $1.0 million for purposes of determining whether disclosure of any such proceedings is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 xml:space="preserve">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w:t>
      </w:r>
      <w:r>
        <w:rPr>
          <w:rFonts w:ascii="Times New Roman;sans-serif" w:hAnsi="Times New Roman;sans-serif"/>
          <w:b w:val="false"/>
          <w:color w:val="000000"/>
          <w:sz w:val="20"/>
          <w:shd w:fill="FFFFFF" w:val="clear"/>
        </w:rPr>
        <w:t>2022</w:t>
      </w:r>
      <w:r>
        <w:rPr>
          <w:color w:val="000000"/>
        </w:rPr>
        <w:t xml:space="preserve"> </w:t>
      </w:r>
      <w:r>
        <w:rPr>
          <w:rFonts w:ascii="Times New Roman;sans-serif" w:hAnsi="Times New Roman;sans-serif"/>
          <w:b w:val="false"/>
          <w:color w:val="000000"/>
          <w:sz w:val="20"/>
        </w:rPr>
        <w:t>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the 13 weeks ended July 1, 2023, we did not repurchase any shares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Default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Rule 10b5-1 Trading Plans - Directors and Section 16 Officers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13 weeks ended July 1, 2023,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1807"/>
        <w:gridCol w:w="1681"/>
        <w:gridCol w:w="1697"/>
        <w:gridCol w:w="109"/>
        <w:gridCol w:w="109"/>
        <w:gridCol w:w="109"/>
        <w:gridCol w:w="175"/>
        <w:gridCol w:w="175"/>
        <w:gridCol w:w="176"/>
        <w:gridCol w:w="109"/>
        <w:gridCol w:w="109"/>
        <w:gridCol w:w="109"/>
        <w:gridCol w:w="238"/>
        <w:gridCol w:w="238"/>
        <w:gridCol w:w="242"/>
        <w:gridCol w:w="109"/>
        <w:gridCol w:w="109"/>
        <w:gridCol w:w="109"/>
        <w:gridCol w:w="212"/>
        <w:gridCol w:w="212"/>
        <w:gridCol w:w="214"/>
        <w:gridCol w:w="109"/>
        <w:gridCol w:w="109"/>
        <w:gridCol w:w="109"/>
        <w:gridCol w:w="214"/>
        <w:gridCol w:w="214"/>
        <w:gridCol w:w="312"/>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File </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Filing </w:t>
              <w:b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Exhibit </w:t>
              <w:br/>
              <w:t>No.</w:t>
            </w:r>
          </w:p>
        </w:tc>
      </w:tr>
      <w:tr>
        <w:trPr/>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Restated Certificate of Incorporation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Bylaws of Grocery Outlet Holding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2q2exhibit101.htm">
              <w:r>
                <w:rPr>
                  <w:rStyle w:val="InternetLink"/>
                  <w:rFonts w:ascii="Times New Roman;sans-serif" w:hAnsi="Times New Roman;sans-serif"/>
                  <w:b w:val="false"/>
                  <w:color w:val="0000FF"/>
                  <w:sz w:val="20"/>
                  <w:u w:val="single"/>
                </w:rPr>
                <w:t>Form of Restricted Stock Unit Grant and Agreement for Non-Employee Directors (Grocery Outlet Holding Corp. 2019 Stock Incentive Plan) (effective June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2exhibit311.htm">
              <w:r>
                <w:rPr>
                  <w:rStyle w:val="InternetLink"/>
                  <w:rFonts w:ascii="Times New Roman;sans-serif" w:hAnsi="Times New Roman;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2exhibit312.htm">
              <w:r>
                <w:rPr>
                  <w:rStyle w:val="InternetLink"/>
                  <w:rFonts w:ascii="Times New Roman;sans-serif" w:hAnsi="Times New Roman;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2exhibit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o2023q2exhibit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 and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8"/>
        </w:rPr>
      </w:pPr>
      <w:r>
        <w:rPr>
          <w:rFonts w:ascii="Times New Roman;sans-serif" w:hAnsi="Times New Roman;sans-serif"/>
          <w:b w:val="false"/>
          <w:color w:val="000000"/>
          <w:sz w:val="8"/>
        </w:rPr>
        <w:t>____________________________________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1c04b3a102b4297b0ffe4e16d96fafd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574"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860"/>
        <w:gridCol w:w="860"/>
        <w:gridCol w:w="121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Grocery Outlet Holding Corp.</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br/>
              <w:t>Chief Financial Officer</w:t>
              <w:b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Lindsay E. Gray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Lindsay E. Gray</w:t>
              <w:br/>
              <w:t>Senior Vice President, Accounting</w:t>
              <w:b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10.1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GRANT NOTICE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UNDER THE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GROCERY OUTLET HOLDING CORP.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2019 INCENTIVE PLAN</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Grocery Outlet Holding Corp.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pursuant to its 2019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8"/>
        <w:gridCol w:w="595"/>
        <w:gridCol w:w="601"/>
        <w:gridCol w:w="2555"/>
        <w:gridCol w:w="2465"/>
        <w:gridCol w:w="3311"/>
      </w:tblGrid>
      <w:tr>
        <w:trPr/>
        <w:tc>
          <w:tcPr>
            <w:tcW w:w="67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Participant: </w:t>
            </w:r>
          </w:p>
        </w:tc>
        <w:tc>
          <w:tcPr>
            <w:tcW w:w="8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[Participant Name]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Date of Grant: </w:t>
            </w:r>
          </w:p>
        </w:tc>
        <w:tc>
          <w:tcPr>
            <w:tcW w:w="8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[Date of Grant]</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Vesting Commencement Date: </w:t>
            </w:r>
          </w:p>
        </w:tc>
        <w:tc>
          <w:tcPr>
            <w:tcW w:w="8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[Vesting Commencement Date]</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Number of </w:t>
              <w:br/>
              <w:t>Restricted Stock Units:</w:t>
            </w:r>
          </w:p>
        </w:tc>
        <w:tc>
          <w:tcPr>
            <w:tcW w:w="833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[Number of RSUs]</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Vesting Schedule: </w:t>
            </w:r>
          </w:p>
        </w:tc>
        <w:tc>
          <w:tcPr>
            <w:tcW w:w="833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2"/>
              </w:rPr>
              <w:t xml:space="preserve">Provided the Participant has not undergone a Termination prior to the vesting date (or event), 100% of the Restricted Stock Units will vest on the earlier to occur of (i) the date of the next annual meeting of the shareholders of the Company following the Date of Grant, or (ii) the first anniversary of the Vesting Commencement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Restricted Stock Units will, to the extent not vested, become fully vested if the Participant undergoes a Termination by the Service Recipient without Cause following a Change in Control.</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Dividend Equivalents: </w:t>
            </w:r>
          </w:p>
        </w:tc>
        <w:tc>
          <w:tcPr>
            <w:tcW w:w="83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Restricted Stock Units shall be credited with dividend equivalent payments, as provided in Section 13(c)(iii) of the Plan.</w:t>
            </w:r>
          </w:p>
        </w:tc>
      </w:tr>
    </w:tbl>
    <w:p>
      <w:pPr>
        <w:pStyle w:val="TextBody"/>
        <w:bidi w:val="0"/>
        <w:spacing w:before="0" w:after="0"/>
        <w:jc w:val="both"/>
        <w:rPr/>
      </w:pPr>
      <w:r>
        <w:rPr/>
      </w:r>
    </w:p>
    <w:p>
      <w:pPr>
        <w:pStyle w:val="TextBody"/>
        <w:bidi w:val="0"/>
        <w:spacing w:lineRule="auto" w:line="288"/>
        <w:jc w:val="center"/>
        <w:rPr/>
      </w:pP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r>
        <w:rPr>
          <w:color w:val="000000"/>
        </w:rPr>
        <w:t xml:space="preserve"> </w:t>
      </w:r>
      <w:r>
        <w:rPr>
          <w:rFonts w:ascii="Times New Roman;sans-serif" w:hAnsi="Times New Roman;sans-serif"/>
          <w:b/>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GROCERY OUTLET HOLDING CORP.</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___________________________________</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2"/>
        </w:rPr>
        <w:t>PARTICIPANT</w:t>
      </w:r>
      <w:r>
        <w:rPr>
          <w:rFonts w:ascii="Times New Roman;sans-serif" w:hAnsi="Times New Roman;sans-serif"/>
          <w:b w:val="false"/>
          <w:color w:val="000000"/>
          <w:sz w:val="14"/>
        </w:rPr>
        <w:t>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bidi w:val="0"/>
        <w:spacing w:lineRule="auto" w:line="268" w:before="0" w:after="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1To the extent that the Company has established, either itself or through a third-party plan administrator, the ability to accept this award electronically, such acceptance shall constitute the Participant's signature hereto.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AGREEMENT</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UNDER THE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GROCERY OUTLET HOLDING CORP.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2019 INCENTIVE PLAN</w:t>
      </w:r>
    </w:p>
    <w:p>
      <w:pPr>
        <w:pStyle w:val="TextBody"/>
        <w:bidi w:val="0"/>
        <w:spacing w:before="0" w:after="0"/>
        <w:jc w:val="center"/>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Pursuant to the Restricted Stock Unit Grant Notice (the “</w:t>
      </w:r>
      <w:r>
        <w:rPr>
          <w:rFonts w:ascii="Times New Roman;sans-serif" w:hAnsi="Times New Roman;sans-serif"/>
          <w:b w:val="false"/>
          <w:color w:val="000000"/>
          <w:sz w:val="22"/>
          <w:u w:val="single"/>
        </w:rPr>
        <w:t>Grant Notice</w:t>
      </w:r>
      <w:r>
        <w:rPr>
          <w:color w:val="000000"/>
        </w:rPr>
        <w:t>”</w:t>
      </w:r>
      <w:r>
        <w:rPr>
          <w:rFonts w:ascii="Times New Roman;sans-serif" w:hAnsi="Times New Roman;sans-serif"/>
          <w:b w:val="false"/>
          <w:color w:val="000000"/>
          <w:sz w:val="22"/>
        </w:rPr>
        <w:t>) delivered to the Participant (as defined in the Grant Notice), and subject to the terms of this Restricted Stock Unit Agreement (this “</w:t>
      </w:r>
      <w:r>
        <w:rPr>
          <w:rFonts w:ascii="Times New Roman;sans-serif" w:hAnsi="Times New Roman;sans-serif"/>
          <w:b w:val="false"/>
          <w:color w:val="000000"/>
          <w:sz w:val="22"/>
          <w:u w:val="single"/>
        </w:rPr>
        <w:t>Restricted Stock Unit Agreement</w:t>
      </w:r>
      <w:r>
        <w:rPr>
          <w:color w:val="000000"/>
        </w:rPr>
        <w:t>”</w:t>
      </w:r>
      <w:r>
        <w:rPr>
          <w:rFonts w:ascii="Times New Roman;sans-serif" w:hAnsi="Times New Roman;sans-serif"/>
          <w:b w:val="false"/>
          <w:color w:val="000000"/>
          <w:sz w:val="22"/>
        </w:rPr>
        <w:t>) and the Grocery Outlet Holding Corp. 2019 Incentive Plan, as it may be amended and restated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Grocery Outlet Holding Corp.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and the Participant agree as follows. Capitalized terms not otherwise defined herein shall have the same meaning as set forth in the Plan.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 </w:t>
      </w:r>
      <w:r>
        <w:rPr>
          <w:rFonts w:ascii="Times New Roman;sans-serif" w:hAnsi="Times New Roman;sans-serif"/>
          <w:b/>
          <w:color w:val="000000"/>
          <w:sz w:val="22"/>
          <w:u w:val="single"/>
        </w:rPr>
        <w:t>Grant of Restricted Stock Units</w:t>
      </w:r>
      <w:r>
        <w:rPr>
          <w:rFonts w:ascii="Times New Roman;sans-serif" w:hAnsi="Times New Roman;sans-serif"/>
          <w:b w:val="false"/>
          <w:color w:val="000000"/>
          <w:sz w:val="22"/>
        </w:rPr>
        <w:t>. Subject to the terms and conditions set forth herein and in the Plan, the Company 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2. </w:t>
      </w:r>
      <w:r>
        <w:rPr>
          <w:rFonts w:ascii="Times New Roman;sans-serif" w:hAnsi="Times New Roman;sans-serif"/>
          <w:b/>
          <w:color w:val="000000"/>
          <w:sz w:val="22"/>
          <w:u w:val="single"/>
        </w:rPr>
        <w:t>Vesting</w:t>
      </w:r>
      <w:r>
        <w:rPr>
          <w:rFonts w:ascii="Times New Roman;sans-serif" w:hAnsi="Times New Roman;sans-serif"/>
          <w:b w:val="false"/>
          <w:color w:val="000000"/>
          <w:sz w:val="22"/>
        </w:rPr>
        <w:t>. Subject to the conditions contained herein and in the Plan, the Restricted Stock Units shall vest as provided in the Grant Notice.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3. </w:t>
      </w:r>
      <w:r>
        <w:rPr>
          <w:rFonts w:ascii="Times New Roman;sans-serif" w:hAnsi="Times New Roman;sans-serif"/>
          <w:b/>
          <w:color w:val="000000"/>
          <w:sz w:val="22"/>
          <w:u w:val="single"/>
        </w:rPr>
        <w:t>Settlement of Restricted Stock Units</w:t>
      </w:r>
      <w:r>
        <w:rPr>
          <w:rFonts w:ascii="Times New Roman;sans-serif" w:hAnsi="Times New Roman;sans-serif"/>
          <w:b w:val="false"/>
          <w:color w:val="000000"/>
          <w:sz w:val="22"/>
        </w:rPr>
        <w:t>. Subject to any election by the Committee pursuant to Section 8(d)(ii) of the Plan, and any effective election under the Company’s Directors Deferral Plan, as may be amended from time to time (the “</w:t>
      </w:r>
      <w:r>
        <w:rPr>
          <w:rFonts w:ascii="Times New Roman;sans-serif" w:hAnsi="Times New Roman;sans-serif"/>
          <w:b w:val="false"/>
          <w:color w:val="000000"/>
          <w:sz w:val="22"/>
          <w:u w:val="single"/>
        </w:rPr>
        <w:t>Deferral Plan Election</w:t>
      </w:r>
      <w:r>
        <w:rPr>
          <w:color w:val="000000"/>
        </w:rPr>
        <w:t>”</w:t>
      </w:r>
      <w:r>
        <w:rPr>
          <w:rFonts w:ascii="Times New Roman;sans-serif" w:hAnsi="Times New Roman;sans-serif"/>
          <w:b w:val="false"/>
          <w:color w:val="000000"/>
          <w:sz w:val="22"/>
        </w:rPr>
        <w:t>),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To the extent a Deferral Plan Election is in place, settlement of the Restricted Stock Units shall be governed by the Deferral Plan Election.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4. </w:t>
      </w:r>
      <w:r>
        <w:rPr>
          <w:rFonts w:ascii="Times New Roman;sans-serif" w:hAnsi="Times New Roman;sans-serif"/>
          <w:b/>
          <w:color w:val="000000"/>
          <w:sz w:val="22"/>
          <w:u w:val="single"/>
        </w:rPr>
        <w:t>Treatment of Restricted Stock Units Upon Termination</w:t>
      </w:r>
      <w:r>
        <w:rPr>
          <w:rFonts w:ascii="Times New Roman;sans-serif" w:hAnsi="Times New Roman;sans-serif"/>
          <w:b w:val="false"/>
          <w:color w:val="000000"/>
          <w:sz w:val="22"/>
        </w:rPr>
        <w:t>. The provisions of Section 8(c)(ii) of the Plan are incorporated herein by reference and made a part hereof.</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5. </w:t>
      </w:r>
      <w:r>
        <w:rPr>
          <w:rFonts w:ascii="Times New Roman;sans-serif" w:hAnsi="Times New Roman;sans-serif"/>
          <w:b/>
          <w:color w:val="000000"/>
          <w:sz w:val="22"/>
          <w:u w:val="single"/>
        </w:rPr>
        <w:t>Company; Participant</w:t>
      </w:r>
      <w:r>
        <w:rPr>
          <w:rFonts w:ascii="Times New Roman;sans-serif" w:hAnsi="Times New Roman;sans-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The term “Company” as used in this Restricted Stock Unit Agreement with reference to service shall include the Company and its Subsidiaries.</w:t>
      </w:r>
    </w:p>
    <w:p>
      <w:pPr>
        <w:pStyle w:val="TextBody"/>
        <w:bidi w:val="0"/>
        <w:spacing w:lineRule="auto" w:line="288"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 Whenever the word “Participant” is used in any provision of this Restricted Stock Unit Agreement under circumstances where the provision should logically be construed to apply to the executors,</w:t>
      </w:r>
    </w:p>
    <w:p>
      <w:pPr>
        <w:pStyle w:val="TextBody"/>
        <w:bidi w:val="0"/>
        <w:spacing w:lineRule="auto" w:line="288"/>
        <w:jc w:val="left"/>
        <w:rPr>
          <w:rFonts w:ascii="Times New Roman;sans-serif" w:hAnsi="Times New Roman;sans-serif"/>
          <w:b w:val="false"/>
          <w:color w:val="000000"/>
          <w:sz w:val="22"/>
        </w:rPr>
      </w:pPr>
      <w:r>
        <w:rPr>
          <w:rFonts w:ascii="Times New Roman;sans-serif" w:hAnsi="Times New Roman;sans-serif"/>
          <w:b w:val="false"/>
          <w:color w:val="000000"/>
          <w:sz w:val="22"/>
        </w:rPr>
        <w:t>the administrators, or the person or persons to whom the Restricted Stock Units may be transferred in accordance with Section 13(b) of the Plan, the word “Participant” shall be deemed to include such person or persons.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6. </w:t>
      </w:r>
      <w:r>
        <w:rPr>
          <w:rFonts w:ascii="Times New Roman;sans-serif" w:hAnsi="Times New Roman;sans-serif"/>
          <w:b/>
          <w:color w:val="000000"/>
          <w:sz w:val="22"/>
          <w:u w:val="single"/>
        </w:rPr>
        <w:t>Non-Transferability</w:t>
      </w:r>
      <w:r>
        <w:rPr>
          <w:rFonts w:ascii="Times New Roman;sans-serif" w:hAnsi="Times New Roman;sans-serif"/>
          <w:b w:val="false"/>
          <w:color w:val="000000"/>
          <w:sz w:val="22"/>
        </w:rPr>
        <w:t>. The Restricted Stock Units are not transferable by the Participant except to Permitted Transferees in 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7. </w:t>
      </w:r>
      <w:r>
        <w:rPr>
          <w:rFonts w:ascii="Times New Roman;sans-serif" w:hAnsi="Times New Roman;sans-serif"/>
          <w:b/>
          <w:color w:val="000000"/>
          <w:sz w:val="22"/>
          <w:u w:val="single"/>
        </w:rPr>
        <w:t>Rights as Shareholder</w:t>
      </w:r>
      <w:r>
        <w:rPr>
          <w:rFonts w:ascii="Times New Roman;sans-serif" w:hAnsi="Times New Roman;sans-serif"/>
          <w:b w:val="false"/>
          <w:color w:val="000000"/>
          <w:sz w:val="22"/>
        </w:rPr>
        <w:t>. The Participant or a Permitted Transferee of the Restricted Stock Units shall have no rights as a 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8. </w:t>
      </w:r>
      <w:r>
        <w:rPr>
          <w:rFonts w:ascii="Times New Roman;sans-serif" w:hAnsi="Times New Roman;sans-serif"/>
          <w:b/>
          <w:color w:val="000000"/>
          <w:sz w:val="22"/>
          <w:u w:val="single"/>
        </w:rPr>
        <w:t>Tax Withholding</w:t>
      </w:r>
      <w:r>
        <w:rPr>
          <w:rFonts w:ascii="Times New Roman;sans-serif" w:hAnsi="Times New Roman;sans-serif"/>
          <w:b w:val="false"/>
          <w:color w:val="000000"/>
          <w:sz w:val="22"/>
        </w:rPr>
        <w:t xml:space="preserve">. The provisions of Section 13(d) of the Plan are incorporated herein by reference and made a part hereof. The Participant shall satisfy such Participant’s withholding liability, if any, referred to in Section 13(d) of the Plan by having the Company withhold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number of such shares may not have a fair market value greater than the minimum required statutory withholding liability unless determined by the Committee not to result in adverse accounting consequences. Notwithstanding the foregoing, the Participant acknowledges and agrees that to the extent consistent with applicable law and the Participant’s status as an independent consultant for U.S. federal income tax purposes, the Company does not intend to withhold any amounts as federal income tax withholdings under any other state or federal laws, and the Participant hereby agrees to make adequate provision for any sums required to satisfy all applicable federal, state, local and foreign tax withholding obligations of the Company which may arise in connection with the grant of Restricted Stock Units.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9. </w:t>
      </w:r>
      <w:r>
        <w:rPr>
          <w:rFonts w:ascii="Times New Roman;sans-serif" w:hAnsi="Times New Roman;sans-serif"/>
          <w:b/>
          <w:color w:val="000000"/>
          <w:sz w:val="22"/>
          <w:u w:val="single"/>
        </w:rPr>
        <w:t>Notice</w:t>
      </w:r>
      <w:r>
        <w:rPr>
          <w:rFonts w:ascii="Times New Roman;sans-serif" w:hAnsi="Times New Roman;sans-serif"/>
          <w:b w:val="false"/>
          <w:color w:val="000000"/>
          <w:sz w:val="22"/>
        </w:rPr>
        <w:t xml:space="preserve">. Every notice or other communication relating to this Restricted Stock Unit Agreement between the Company and 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10. </w:t>
      </w:r>
      <w:r>
        <w:rPr>
          <w:rFonts w:ascii="Times New Roman;sans-serif" w:hAnsi="Times New Roman;sans-serif"/>
          <w:b/>
          <w:color w:val="000000"/>
          <w:sz w:val="22"/>
          <w:u w:val="single"/>
        </w:rPr>
        <w:t>No Right to Continued Service</w:t>
      </w:r>
      <w:r>
        <w:rPr>
          <w:rFonts w:ascii="Times New Roman;sans-serif" w:hAnsi="Times New Roman;sans-serif"/>
          <w:b w:val="false"/>
          <w:color w:val="000000"/>
          <w:sz w:val="22"/>
        </w:rPr>
        <w:t>. This Restricted Stock Unit Agreement does not confer upon the Participant any right to continue as a director or other service provider to the Company.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11. </w:t>
      </w:r>
      <w:r>
        <w:rPr>
          <w:rFonts w:ascii="Times New Roman;sans-serif" w:hAnsi="Times New Roman;sans-serif"/>
          <w:b/>
          <w:color w:val="000000"/>
          <w:sz w:val="22"/>
          <w:u w:val="single"/>
        </w:rPr>
        <w:t>Binding Effect</w:t>
      </w:r>
      <w:r>
        <w:rPr>
          <w:rFonts w:ascii="Times New Roman;sans-serif" w:hAnsi="Times New Roman;sans-serif"/>
          <w:b w:val="false"/>
          <w:color w:val="000000"/>
          <w:sz w:val="22"/>
        </w:rPr>
        <w:t>. This Restricted Stock Unit Agreement shall be binding upon the heirs, executors, administrators and successors of the parties hereto.</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2"/>
        </w:rPr>
        <w:t xml:space="preserve">12. </w:t>
      </w:r>
      <w:r>
        <w:rPr>
          <w:rFonts w:ascii="Times New Roman;sans-serif" w:hAnsi="Times New Roman;sans-serif"/>
          <w:b/>
          <w:color w:val="000000"/>
          <w:sz w:val="22"/>
          <w:u w:val="single"/>
        </w:rPr>
        <w:t>Waiver and Amendments</w:t>
      </w:r>
      <w:r>
        <w:rPr>
          <w:rFonts w:ascii="Times New Roman;sans-serif" w:hAnsi="Times New Roman;sans-serif"/>
          <w:b w:val="false"/>
          <w:color w:val="000000"/>
          <w:sz w:val="22"/>
        </w:rPr>
        <w:t xml:space="preserve">. Except as otherwise set forth in Section 12 of the Plan, any waiver, alteration, amendment or modification of any of the terms of this Restricted Stock Unit Agreement shall be valid only if made in writing and signed by the parties hereto;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any such waiver, alteration, amendment or modification is consented to on the Company’s behalf by the Committee. No waiver by either of the parties hereto of their rights hereunder shall be deemed to constitute a waiver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any subsequent occurrences or transactions hereunder unless such waiver specifically states that it is to be construed as a continuing waiver.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13. </w:t>
      </w:r>
      <w:r>
        <w:rPr>
          <w:rFonts w:ascii="Times New Roman;sans-serif" w:hAnsi="Times New Roman;sans-serif"/>
          <w:b/>
          <w:color w:val="000000"/>
          <w:sz w:val="22"/>
          <w:u w:val="single"/>
        </w:rPr>
        <w:t>Governing Law</w:t>
      </w:r>
      <w:r>
        <w:rPr>
          <w:rFonts w:ascii="Times New Roman;sans-serif" w:hAnsi="Times New Roman;sans-serif"/>
          <w:b w:val="false"/>
          <w:color w:val="000000"/>
          <w:sz w:val="22"/>
        </w:rPr>
        <w:t>. This Restricted Stock Unit Agreement shall be construed and interpreted in accordance 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14. </w:t>
      </w:r>
      <w:r>
        <w:rPr>
          <w:rFonts w:ascii="Times New Roman;sans-serif" w:hAnsi="Times New Roman;sans-serif"/>
          <w:b/>
          <w:color w:val="000000"/>
          <w:sz w:val="22"/>
          <w:u w:val="single"/>
        </w:rPr>
        <w:t>Plan</w:t>
      </w:r>
      <w:r>
        <w:rPr>
          <w:rFonts w:ascii="Times New Roman;sans-serif" w:hAnsi="Times New Roman;sans-serif"/>
          <w:b w:val="false"/>
          <w:color w:val="000000"/>
          <w:sz w:val="22"/>
        </w:rPr>
        <w:t>. The terms and provisions of the Plan are incorporated herein by reference. In the event of a conflict or inconsistency between the terms and provisions of the Plan and the provisions of this Restricted Stock Unit Agreement (including the Grant Notice), the Plan shall govern and control.</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15. </w:t>
      </w:r>
      <w:r>
        <w:rPr>
          <w:rFonts w:ascii="Times New Roman;sans-serif" w:hAnsi="Times New Roman;sans-serif"/>
          <w:b/>
          <w:color w:val="000000"/>
          <w:sz w:val="22"/>
          <w:u w:val="single"/>
        </w:rPr>
        <w:t>Section 409A</w:t>
      </w:r>
      <w:r>
        <w:rPr>
          <w:rFonts w:ascii="Times New Roman;sans-serif" w:hAnsi="Times New Roman;sans-serif"/>
          <w:b w:val="false"/>
          <w:color w:val="000000"/>
          <w:sz w:val="22"/>
        </w:rPr>
        <w:t>. It is intended that the Restricted Stock Units granted hereunder shall be exempt from Section 409A of the Code pursuant to the “short-term deferral” rule applicable to such section, as set forth in the regulations or other guidance published by the Internal Revenue Service thereunder.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16. </w:t>
      </w:r>
      <w:r>
        <w:rPr>
          <w:rFonts w:ascii="Times New Roman;sans-serif" w:hAnsi="Times New Roman;sans-serif"/>
          <w:b/>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 xml:space="preserve">17. </w:t>
      </w:r>
      <w:r>
        <w:rPr>
          <w:rFonts w:ascii="Times New Roman;sans-serif" w:hAnsi="Times New Roman;sans-serif"/>
          <w:b/>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before="0" w:after="0"/>
        <w:ind w:left="0" w:right="0" w:firstLine="1440"/>
        <w:jc w:val="both"/>
        <w:rPr/>
      </w:pPr>
      <w:r>
        <w:rPr/>
      </w:r>
    </w:p>
    <w:p>
      <w:pPr>
        <w:pStyle w:val="TextBody"/>
        <w:bidi w:val="0"/>
        <w:spacing w:lineRule="auto" w:line="288"/>
        <w:ind w:left="0" w:right="0" w:firstLine="1440"/>
        <w:jc w:val="both"/>
        <w:rPr/>
      </w:pPr>
      <w:r>
        <w:rPr>
          <w:rFonts w:ascii="Times New Roman;sans-serif" w:hAnsi="Times New Roman;sans-serif"/>
          <w:b w:val="false"/>
          <w:color w:val="000000"/>
          <w:sz w:val="22"/>
        </w:rPr>
        <w:t xml:space="preserve">18. </w:t>
      </w:r>
      <w:r>
        <w:rPr>
          <w:rFonts w:ascii="Times New Roman;sans-serif" w:hAnsi="Times New Roman;sans-serif"/>
          <w:b/>
          <w:color w:val="000000"/>
          <w:sz w:val="22"/>
          <w:u w:val="single"/>
        </w:rPr>
        <w:t>Entire Agreement</w:t>
      </w:r>
      <w:r>
        <w:rPr>
          <w:rFonts w:ascii="Times New Roman;sans-serif" w:hAnsi="Times New Roman;sans-serif"/>
          <w:b w:val="false"/>
          <w:color w:val="000000"/>
          <w:sz w:val="22"/>
        </w:rPr>
        <w:t>. This Restricted Stock Unit Agreement, the Grant Notice and the Plan constitute the entire agreement of the parties hereto in respect of the subject matter contained herein and supersede all prior agreements and understandings of the parties, oral and written, with respect to such subject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16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shd w:fill="FFFFFF" w:val="clear"/>
        </w:rPr>
        <w:t>Robert J. Sheedy, Jr.,</w:t>
      </w:r>
      <w:r>
        <w:rPr>
          <w:color w:val="000000"/>
        </w:rPr>
        <w:t xml:space="preserve"> </w:t>
      </w:r>
      <w:r>
        <w:rPr>
          <w:rFonts w:ascii="Times New Roman;sans-serif" w:hAnsi="Times New Roman;sans-serif"/>
          <w:b w:val="false"/>
          <w:color w:val="000000"/>
          <w:sz w:val="20"/>
        </w:rPr>
        <w:t>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1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40" w:after="283"/>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shd w:fill="FFFFFF" w:val="clear"/>
        </w:rPr>
        <w:t>Charles C. Bracher</w:t>
      </w:r>
      <w:r>
        <w:rPr>
          <w:rFonts w:ascii="Times New Roman;sans-serif" w:hAnsi="Times New Roman;sans-serif"/>
          <w:b w:val="false"/>
          <w:color w:val="000000"/>
          <w:sz w:val="20"/>
        </w:rPr>
        <w:t>, certify that: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Grocery Outlet Holding Corp.;</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July 1, 2023 as filed with the Securities and Exchange Commission on the date hereof (the "Report"), I, </w:t>
      </w:r>
      <w:r>
        <w:rPr>
          <w:rFonts w:ascii="Times New Roman;sans-serif" w:hAnsi="Times New Roman;sans-serif"/>
          <w:b w:val="false"/>
          <w:color w:val="000000"/>
          <w:sz w:val="20"/>
          <w:shd w:fill="FFFFFF" w:val="clear"/>
        </w:rPr>
        <w:t>Robert J. Sheedy, Jr.,</w:t>
      </w:r>
      <w:r>
        <w:rPr>
          <w:color w:val="000000"/>
        </w:rPr>
        <w:t xml:space="preserve"> </w:t>
      </w:r>
      <w:r>
        <w:rPr>
          <w:rFonts w:ascii="Times New Roman;sans-serif" w:hAnsi="Times New Roman;sans-serif"/>
          <w:b w:val="false"/>
          <w:color w:val="000000"/>
          <w:sz w:val="20"/>
        </w:rPr>
        <w:t>certify pursuant to 18 U.S.C. § 1350, as adopted pursuant to § 906 of the Sarbanes-Oxley Act of 2002, that:</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617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1053"/>
        <w:gridCol w:w="1053"/>
        <w:gridCol w:w="10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J. Sheedy, Jr.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lineRule="auto" w:line="288" w:before="240" w:after="160"/>
        <w:ind w:left="0" w:right="0" w:firstLine="720"/>
        <w:jc w:val="both"/>
        <w:rPr/>
      </w:pPr>
      <w:r>
        <w:rPr>
          <w:rFonts w:ascii="Times New Roman;sans-serif" w:hAnsi="Times New Roman;sans-serif"/>
          <w:b w:val="false"/>
          <w:color w:val="000000"/>
          <w:sz w:val="20"/>
        </w:rPr>
        <w:t xml:space="preserve">In connection with the Quarterly Report of Grocery Outlet Holding Corp. (the "Company") on Form 10-Q for the period ended July 1, 2023 as filed with the Securities and Exchange Commission on the date hereof (the "Report"), I, </w:t>
      </w:r>
      <w:r>
        <w:rPr>
          <w:rFonts w:ascii="Times New Roman;sans-serif" w:hAnsi="Times New Roman;sans-serif"/>
          <w:b w:val="false"/>
          <w:color w:val="000000"/>
          <w:sz w:val="20"/>
          <w:shd w:fill="FFFFFF" w:val="clear"/>
        </w:rPr>
        <w:t>Charles C. Bracher</w:t>
      </w:r>
      <w:r>
        <w:rPr>
          <w:rFonts w:ascii="Times New Roman;sans-serif" w:hAnsi="Times New Roman;sans-serif"/>
          <w:b w:val="false"/>
          <w:color w:val="000000"/>
          <w:sz w:val="20"/>
        </w:rPr>
        <w:t>, certify pursuant to 18 U.S.C. § 1350, as adopted pursuant to § 906 of the Sarbanes-Oxley Act of 2002, that:</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405"/>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160"/>
        <w:jc w:val="left"/>
        <w:rPr/>
      </w:pPr>
      <w:r>
        <w:rPr/>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Bracher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71515/000177151522000082/exhibit31.htm" TargetMode="External"/><Relationship Id="rId4" Type="http://schemas.openxmlformats.org/officeDocument/2006/relationships/hyperlink" Target="http://www.sec.gov/Archives/edgar/data/0001771515/000177151522000045/go4-6x22exhibit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21448</Words>
  <Characters>114846</Characters>
  <CharactersWithSpaces>134800</CharactersWithSpaces>
  <Paragraphs>2513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