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49530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198120</wp:posOffset>
            </wp:positionV>
            <wp:extent cx="327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360" w:hanging="294"/>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30,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360" w:hanging="29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Grocery Outlet Holding 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00" w:type="dxa"/>
            <w:vAlign w:val="bottom"/>
            <w:gridSpan w:val="2"/>
          </w:tcPr>
          <w:p>
            <w:pPr>
              <w:jc w:val="center"/>
              <w:ind w:left="81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815"/>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ind w:left="92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left="815"/>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center"/>
              <w:ind w:left="214"/>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6"/>
        </w:trPr>
        <w:tc>
          <w:tcPr>
            <w:tcW w:w="756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5650 Hollis Street, Emeryville, California</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12"/>
        </w:trPr>
        <w:tc>
          <w:tcPr>
            <w:tcW w:w="3700" w:type="dxa"/>
            <w:vAlign w:val="bottom"/>
            <w:gridSpan w:val="2"/>
          </w:tcPr>
          <w:p>
            <w:pPr>
              <w:jc w:val="center"/>
              <w:ind w:left="81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160" w:type="dxa"/>
            <w:vAlign w:val="bottom"/>
            <w:gridSpan w:val="3"/>
            <w:vMerge w:val="restart"/>
          </w:tcPr>
          <w:p>
            <w:pPr>
              <w:jc w:val="center"/>
              <w:ind w:left="597"/>
              <w:spacing w:after="0"/>
              <w:rPr>
                <w:sz w:val="20"/>
                <w:szCs w:val="20"/>
                <w:color w:val="auto"/>
              </w:rPr>
            </w:pPr>
            <w:r>
              <w:rPr>
                <w:rFonts w:ascii="Times New Roman" w:cs="Times New Roman" w:eastAsia="Times New Roman" w:hAnsi="Times New Roman"/>
                <w:sz w:val="18"/>
                <w:szCs w:val="18"/>
                <w:b w:val="1"/>
                <w:bCs w:val="1"/>
                <w:color w:val="auto"/>
                <w:w w:val="99"/>
              </w:rPr>
              <w:t>(510) 845-1999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jc w:val="center"/>
              <w:ind w:left="21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33"/>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00" w:type="dxa"/>
            <w:vAlign w:val="bottom"/>
            <w:gridSpan w:val="2"/>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80" w:type="dxa"/>
            <w:vAlign w:val="bottom"/>
            <w:gridSpan w:val="4"/>
          </w:tcPr>
          <w:p>
            <w:pPr>
              <w:jc w:val="center"/>
              <w:ind w:right="494"/>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3700" w:type="dxa"/>
            <w:vAlign w:val="bottom"/>
            <w:tcBorders>
              <w:top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gridSpan w:val="3"/>
          </w:tcPr>
          <w:p>
            <w:pPr>
              <w:jc w:val="center"/>
              <w:ind w:right="694"/>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437"/>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color w:val="auto"/>
              </w:rPr>
              <w:t>None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7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0"/>
        </w:trPr>
        <w:tc>
          <w:tcPr>
            <w:tcW w:w="7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28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115" w:lineRule="exact"/>
        <w:rPr>
          <w:sz w:val="24"/>
          <w:szCs w:val="24"/>
          <w:color w:val="auto"/>
        </w:rPr>
      </w:pPr>
    </w:p>
    <w:tbl>
      <w:tblPr>
        <w:tblLayout w:type="fixed"/>
        <w:tblInd w:w="60" w:type="dxa"/>
        <w:tblCellMar>
          <w:top w:w="0" w:type="dxa"/>
          <w:left w:w="0" w:type="dxa"/>
          <w:bottom w:w="0" w:type="dxa"/>
          <w:right w:w="0" w:type="dxa"/>
        </w:tblCellMar>
      </w:tblPr>
      <w:tr>
        <w:trPr>
          <w:trHeight w:val="304"/>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47"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ectPr>
          <w:pgSz w:w="11900" w:h="16838" w:orient="portrait"/>
          <w:cols w:equalWidth="0" w:num="1">
            <w:col w:w="11240"/>
          </w:cols>
          <w:pgMar w:left="320" w:top="857" w:right="339" w:bottom="0" w:gutter="0" w:footer="0" w:header="0"/>
        </w:sectPr>
      </w:pPr>
    </w:p>
    <w:bookmarkStart w:id="1" w:name="page2"/>
    <w:bookmarkEnd w:id="1"/>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spacing w:after="0" w:line="184" w:lineRule="exact"/>
        <w:tabs>
          <w:tab w:leader="none" w:pos="6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stock of the registrant as of June 30, 2023, the last business day of the second fiscal quarter (based on a closing price of $30.61 per share), held by non-affiliates was approximately $2.9 billion.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22, 2024, the registrant had 99,227,528 shares of common stock outstanding.</w:t>
      </w:r>
    </w:p>
    <w:p>
      <w:pPr>
        <w:spacing w:after="0" w:line="20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Information required in response to Part III of Form 10-K (Items 10, 11, 12, 13, and 14) is hereby incorporated by reference to portions of the registrant's Proxy Statement for the Annual Meeting of Stockholders to be held in 2024. The Proxy Statement will be filed by the registrant with the Securities and Exchange Commission no later than 120 days after the end of the registrant's fiscal year ended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195"/>
        </w:trPr>
        <w:tc>
          <w:tcPr>
            <w:tcW w:w="98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040" w:type="dxa"/>
            <w:vAlign w:val="bottom"/>
            <w:gridSpan w:val="2"/>
          </w:tcPr>
          <w:p>
            <w:pPr>
              <w:jc w:val="center"/>
              <w:ind w:left="870"/>
              <w:spacing w:after="0" w:line="195" w:lineRule="exact"/>
              <w:rPr>
                <w:sz w:val="20"/>
                <w:szCs w:val="20"/>
                <w:color w:val="auto"/>
              </w:rPr>
            </w:pPr>
            <w:r>
              <w:rPr>
                <w:rFonts w:ascii="Times New Roman" w:cs="Times New Roman" w:eastAsia="Times New Roman" w:hAnsi="Times New Roman"/>
                <w:sz w:val="18"/>
                <w:szCs w:val="18"/>
                <w:color w:val="3051F2"/>
                <w:w w:val="88"/>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6"/>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6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60" w:type="dxa"/>
            <w:vAlign w:val="bottom"/>
            <w:gridSpan w:val="20"/>
          </w:tcPr>
          <w:p>
            <w:pPr>
              <w:spacing w:after="0"/>
              <w:rPr>
                <w:sz w:val="24"/>
                <w:szCs w:val="24"/>
                <w:color w:val="auto"/>
              </w:rPr>
            </w:pPr>
          </w:p>
        </w:tc>
        <w:tc>
          <w:tcPr>
            <w:tcW w:w="10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3051F2"/>
                <w:w w:val="88"/>
              </w:rPr>
              <w:t>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60" w:type="dxa"/>
            <w:vAlign w:val="bottom"/>
            <w:gridSpan w:val="12"/>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00" w:type="dxa"/>
            <w:vAlign w:val="bottom"/>
            <w:gridSpan w:val="17"/>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560" w:type="dxa"/>
            <w:vAlign w:val="bottom"/>
            <w:gridSpan w:val="16"/>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6"/>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6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40" w:type="dxa"/>
            <w:vAlign w:val="bottom"/>
          </w:tcPr>
          <w:p>
            <w:pPr>
              <w:spacing w:after="0"/>
              <w:rPr>
                <w:sz w:val="24"/>
                <w:szCs w:val="24"/>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840" w:type="dxa"/>
            <w:vAlign w:val="bottom"/>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60" w:type="dxa"/>
            <w:vAlign w:val="bottom"/>
            <w:gridSpan w:val="3"/>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60" w:type="dxa"/>
            <w:vAlign w:val="bottom"/>
            <w:gridSpan w:val="3"/>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00" w:type="dxa"/>
            <w:vAlign w:val="bottom"/>
            <w:gridSpan w:val="6"/>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460" w:type="dxa"/>
            <w:vAlign w:val="bottom"/>
            <w:gridSpan w:val="3"/>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60" w:type="dxa"/>
            <w:vAlign w:val="bottom"/>
            <w:gridSpan w:val="3"/>
          </w:tcPr>
          <w:p>
            <w:pPr>
              <w:spacing w:after="0"/>
              <w:rPr>
                <w:sz w:val="18"/>
                <w:szCs w:val="18"/>
                <w:color w:val="auto"/>
              </w:rPr>
            </w:pPr>
          </w:p>
        </w:tc>
        <w:tc>
          <w:tcPr>
            <w:tcW w:w="10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3051F2"/>
                <w:w w:val="99"/>
              </w:rPr>
              <w:t>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gridSpan w:val="2"/>
          </w:tcPr>
          <w:p>
            <w:pPr>
              <w:spacing w:after="0"/>
              <w:rPr>
                <w:sz w:val="18"/>
                <w:szCs w:val="18"/>
                <w:color w:val="auto"/>
              </w:rPr>
            </w:pPr>
          </w:p>
        </w:tc>
        <w:tc>
          <w:tcPr>
            <w:tcW w:w="7140" w:type="dxa"/>
            <w:vAlign w:val="bottom"/>
            <w:gridSpan w:val="14"/>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100</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00" w:type="dxa"/>
            <w:vAlign w:val="bottom"/>
            <w:gridSpan w:val="5"/>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101</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6"/>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0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102</w:t>
            </w:r>
          </w:p>
        </w:tc>
        <w:tc>
          <w:tcPr>
            <w:tcW w:w="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3051F2"/>
              </w:rPr>
              <w:t>102</w:t>
            </w:r>
          </w:p>
        </w:tc>
      </w:tr>
      <w:tr>
        <w:trPr>
          <w:trHeight w:val="20"/>
        </w:trPr>
        <w:tc>
          <w:tcPr>
            <w:tcW w:w="9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3051F2"/>
              </w:rPr>
              <w:t>102</w:t>
            </w: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102</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460" w:type="dxa"/>
            <w:vAlign w:val="bottom"/>
            <w:gridSpan w:val="4"/>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102</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6"/>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6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4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103</w:t>
            </w:r>
          </w:p>
        </w:tc>
        <w:tc>
          <w:tcPr>
            <w:tcW w:w="20" w:type="dxa"/>
            <w:vAlign w:val="bottom"/>
          </w:tcPr>
          <w:p>
            <w:pPr>
              <w:spacing w:after="0"/>
              <w:rPr>
                <w:sz w:val="24"/>
                <w:szCs w:val="24"/>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3051F2"/>
              </w:rPr>
              <w:t>106</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139"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231F20"/>
        </w:rPr>
        <w:t>Certain statements contained in this Annual Report on Form 10-K ("Form 10-K"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may constitute forward-looking statements, including statements regarding our future operating results and financial position, our business strategy and plans, business and market trends, macroeconomic and geopolitical conditions,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in this report or as described in other subsequent reports we file with the United States ("U.S.") Securities and Exchange Commission (the "SEC"). We encourage you to read this report and our other filings with the SEC carefully. Moreover, we operate in a very competitive and rapidly changing environment and new risks emerge from time to time.</w:t>
      </w:r>
    </w:p>
    <w:p>
      <w:pPr>
        <w:spacing w:after="0" w:line="8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 "the Company," "registrant," "we," "us" and "our," refer to Grocery Outlet Holding Corp. and its consolidated subsidiary unless otherwise indicated or the context requires otherwise.</w:t>
      </w:r>
    </w:p>
    <w:p>
      <w:pPr>
        <w:spacing w:after="0" w:line="5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Our fiscal year ends on the Saturday closest to December 31st each year. References to fiscal 2023, fiscal 2022, and fiscal 2021 refer to the fiscal years ended December 30, 2023, December 31, 2022 and January 1, 2022, respectively. </w:t>
      </w:r>
      <w:r>
        <w:rPr>
          <w:rFonts w:ascii="Times New Roman" w:cs="Times New Roman" w:eastAsia="Times New Roman" w:hAnsi="Times New Roman"/>
          <w:sz w:val="18"/>
          <w:szCs w:val="18"/>
          <w:i w:val="1"/>
          <w:iCs w:val="1"/>
          <w:color w:val="000000"/>
        </w:rPr>
        <w:t>Our 2023, 2022 and 2021 fiscal years all consisted of 52 weeks.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Grocery Outlet is a high-growth, extreme value retailer of quality, name-brand consumables and fresh products sold through a network of independently operated stores. </w:t>
      </w:r>
      <w:r>
        <w:rPr>
          <w:rFonts w:ascii="Times New Roman" w:cs="Times New Roman" w:eastAsia="Times New Roman" w:hAnsi="Times New Roman"/>
          <w:sz w:val="18"/>
          <w:szCs w:val="18"/>
          <w:color w:val="000000"/>
        </w:rPr>
        <w:t>As of December 30, 2023, we had 468 stores in California, Washington, Oregon, Pennsylvania, Idaho, Nevada, Maryland,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New Jersey and Ohio. Our headquarters is in Emeryville, California.</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Each of our stores offers a fun, treasure hunt shopping experience in an easy-to-navigate, small-box format. An ever-changing assortment of "WOW!" deals, complemented by everyday staple products, generates customer excitement and encourages frequent visits from bargain-minded shoppers.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This differentiated approach has driven consistent comparable store sales growth and allowed us to produce positive comparable store sales in 20 of the last 21 years.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Our differentiated model for buying and selling delivers a "WOW!" shopping experience, which generates customer excitement, inspires loyalty and supports profitable sales growth:</w:t>
      </w:r>
    </w:p>
    <w:p>
      <w:pPr>
        <w:spacing w:after="0" w:line="50" w:lineRule="exact"/>
        <w:rPr>
          <w:sz w:val="20"/>
          <w:szCs w:val="20"/>
          <w:color w:val="auto"/>
        </w:rPr>
      </w:pPr>
    </w:p>
    <w:p>
      <w:pPr>
        <w:jc w:val="both"/>
        <w:ind w:left="660" w:firstLine="77"/>
        <w:spacing w:after="0" w:line="256" w:lineRule="auto"/>
        <w:tabs>
          <w:tab w:leader="none" w:pos="13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How we buy: </w:t>
      </w:r>
      <w:r>
        <w:rPr>
          <w:rFonts w:ascii="Times New Roman" w:cs="Times New Roman" w:eastAsia="Times New Roman" w:hAnsi="Times New Roman"/>
          <w:sz w:val="18"/>
          <w:szCs w:val="18"/>
          <w:color w:val="231F20"/>
        </w:rPr>
        <w:t>We source quality, name-brand consumables and fresh products opportunistically through a large, centralized purchasing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team that leverages long-standing and actively managed supplier relationships to acquire merchandise at significant discounts. Our speed and efficiency in responding to supplier needs, combined with our specialized supply chain capabilities and flexible merchandising strategy, enhance our access to discounted products and allow us to turn inventory quickly and profitably. Our buyers proactively source on-trend products based on changing consumer preferences, including a wide selection of Natural, Organic, Specialty and Healthy ("NOSH") products. We also source everyday staple products to complement our opportunistic offerings. Each store offers a curated and ever-changing assortment of items, creating a "buy now" sense of urgency that promotes return visits and fosters customer loyalty.</w:t>
      </w:r>
    </w:p>
    <w:p>
      <w:pPr>
        <w:spacing w:after="0" w:line="74" w:lineRule="exact"/>
        <w:rPr>
          <w:rFonts w:ascii="Times New Roman" w:cs="Times New Roman" w:eastAsia="Times New Roman" w:hAnsi="Times New Roman"/>
          <w:sz w:val="18"/>
          <w:szCs w:val="18"/>
          <w:color w:val="auto"/>
        </w:rPr>
      </w:pPr>
    </w:p>
    <w:p>
      <w:pPr>
        <w:jc w:val="both"/>
        <w:ind w:left="660" w:firstLine="77"/>
        <w:spacing w:after="0" w:line="256" w:lineRule="auto"/>
        <w:tabs>
          <w:tab w:leader="none" w:pos="1303" w:val="left"/>
        </w:tabs>
        <w:numPr>
          <w:ilvl w:val="0"/>
          <w:numId w:val="3"/>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 xml:space="preserve">How we sell: </w:t>
      </w:r>
      <w:r>
        <w:rPr>
          <w:rFonts w:ascii="Times New Roman" w:cs="Times New Roman" w:eastAsia="Times New Roman" w:hAnsi="Times New Roman"/>
          <w:sz w:val="18"/>
          <w:szCs w:val="18"/>
          <w:color w:val="231F20"/>
        </w:rPr>
        <w:t>Our stores are independently operated by entrepreneurial small business owners who have a relentless focus on selecting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the best products for their communities, providing personalized customer service and driving improved store performance. Unlike a store manager of a traditional retailer, IOs are independent businesses and are responsible for store operations, including ordering, merchandising and managing inventory, marketing locally and directly hiring, training and employing their store workers. IOs initially contribute capital to establish their business and share store-level gross profits with us. These factors both align our interests and incentivize IOs to grow their business profitably to realize financial upside. This combination of local decision-making supported by our purchasing scale and corporate resources results in a "small business at scale" model that we believe is difficult for competitors to replicate.</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value proposition has broad appeal with bargain-minded customers across a broad range of income levels, demographics and geographies. We believe that our sustained focus on delivering ever-changing "WOW!" deals within a fun, treasure hunt shopping environment has generated strong customer loyalty and brand affinity. We believe that our broad customer appeal supports significant new store growth opportunities, and we plan to continue to expand our reach to additional customers and geographies across the United States.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Our stores generally have performed well across all economic cycles, as demonstrated by our pattern of positive comparable store sales growth and healthy gross margin rates. Our comparable store sales decreased in fiscal 2021 (for the first time in 18 years) as we lapped heightened demand during the onset of the COVID-19 pandemic in 2020. Our business returned to have positive comparable store sales in fiscal 2022 and 2023. Our model also is somewhat insulated from store labor-related variability because IOs directly employ their store workers. The result is a highly scalable business with lower corporate fixed costs, providing further protection in the event of an economic downturn and growth opportunities in a strong economy.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As discussed below under "Acquisition of United Grocery Outlet" on February 14, 2024, Grocery Outlet Inc., our wholly owned subsidiary, entered into a stock purchase agreement to acquire BBGO Acquisition, Inc., a holding company that owns all of the outstanding capital stock of The Bargain Barn, Inc., which does business as United Grocery Outlet ("United Grocery Outlet"). The transaction is expected to close early in the second quarter of fiscal 2024 and remains subject to customary closing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founder, Jim Read, pioneered our opportunistic buying model in 1946 and subsequently developed the IO selling approach, which harnesses individual entrepreneurship and local decision-making to better serve our customers. Underlying this differentiated model was a mission that still guides us today: "Touching Lives for the Better." Since 2006, the third generation of Read family leadership, Eric Lindberg, Jr., Chairman of our Board of Directors and former Chief Executive Officer, has continued to advance this mission.</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Grocery Outlet Holding Corp. was incorporated in Delaware on September 11, 2014. In June 2019, we completed the initial public offering of our common stock. Our common stock trades on the Nasdaq Global Select Market under the symbol "GO".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Growth Strategies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We believe that our compelling WOW! shopping experience will continue to drive new and existing customers to shop our stores. Propelled by our strong business fundamentals, we believe we are well-positioned to expand our footprint and grow our customer base. We are executing a long-term growth strategy built on three primary pillars:</w:t>
      </w:r>
    </w:p>
    <w:p>
      <w:pPr>
        <w:spacing w:after="0" w:line="64" w:lineRule="exact"/>
        <w:rPr>
          <w:sz w:val="20"/>
          <w:szCs w:val="20"/>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Strengthen our core business model</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Our unique buying and selling approach has always been and will continue to be the growth engine of this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business. It differentiates us and provides a compelling value proposition to a wide range of customers. We remain focused on deepening our value, strengthening the treasure hunt shopping experience, elevating IO support, and increasing customer awareness, acquisition, and retention. We continually seek to strengthen supplier relationships and further develop opportunistic purchasing with new processes and investments.</w:t>
      </w:r>
    </w:p>
    <w:p>
      <w:pPr>
        <w:spacing w:after="0" w:line="68" w:lineRule="exact"/>
        <w:rPr>
          <w:rFonts w:ascii="Times New Roman" w:cs="Times New Roman" w:eastAsia="Times New Roman" w:hAnsi="Times New Roman"/>
          <w:sz w:val="18"/>
          <w:szCs w:val="18"/>
          <w:color w:val="231F20"/>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Evolve our business. </w:t>
      </w:r>
      <w:r>
        <w:rPr>
          <w:rFonts w:ascii="Times New Roman" w:cs="Times New Roman" w:eastAsia="Times New Roman" w:hAnsi="Times New Roman"/>
          <w:sz w:val="18"/>
          <w:szCs w:val="18"/>
          <w:color w:val="231F20"/>
        </w:rPr>
        <w:t>We are focused on advancing our model through expanding our assortment and digitizing our business with more integrated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end-to-end technology. We also continue to implement operational initiatives to support IOs in enhancing the customer experience.</w:t>
      </w:r>
    </w:p>
    <w:p>
      <w:pPr>
        <w:spacing w:after="0" w:line="46" w:lineRule="exact"/>
        <w:rPr>
          <w:rFonts w:ascii="Times New Roman" w:cs="Times New Roman" w:eastAsia="Times New Roman" w:hAnsi="Times New Roman"/>
          <w:sz w:val="18"/>
          <w:szCs w:val="18"/>
          <w:color w:val="231F20"/>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Expand our footprint. </w:t>
      </w:r>
      <w:r>
        <w:rPr>
          <w:rFonts w:ascii="Times New Roman" w:cs="Times New Roman" w:eastAsia="Times New Roman" w:hAnsi="Times New Roman"/>
          <w:sz w:val="18"/>
          <w:szCs w:val="18"/>
          <w:color w:val="231F20"/>
        </w:rPr>
        <w:t>We believe that new store growth remains our biggest driver of long-term stockholder value and continue to believe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success of our stores across a broad range of geographies, population densities and demographic groups creates a significant opportunity to profitably increase our store count in existing and new local regions and states. We intend to continue to expand our reach to additional customers and geographies across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Products and Pricing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Each store offers a curated and ever-changing assortment of products, consisting of on-trend, quality, name-brand consumables and fresh products. Our product offering includes a constant rotation of opportunistic products, complemented by an assortment of competitively priced everyday staples, across grocery, produce, refrigerated and frozen foods, beer and wine, fresh meat and seafood, general merchandise and health and beauty care. We have continued to expand our product assortment to meet customer needs, including a wide selection of NOSH, fresh, ethnic and local products.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A typical Grocery Outlet basket is priced approximately 40% lower than conventional grocers and approximately 20% lower than discount retailers. Opportunistically sourced products represent approximately half of our purchasing mix. We refer to our best opportunistic purchases as "WOW!" deals, which generally represent deep discounts of 40% to 70% relative to conventional retailers. These products encourage repeat shopper visits and typically sell quickly due to their compelling value, short duration and continually changing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Procurement</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Our flexible sourcing and supply chain model differentiates us from traditional retailers and allows us to provide customers with quality, name-brand consumables and fresh products at exceptional values. We take advantage of opportunities to acquire merchandise at substantial discounts that regularly arise from order cancellations, manufacturer overruns, packaging changes and approaching "sell-by" dates. As strong stewards of our suppliers' brands, we are a preferred partner of leading consumer packaged goods ("CPGs") with a reputation for making rapid decisions, purchasing in significant volumes and creatively solving their inventory challenges. Our buying strategy is deliberately flexible to allow us to react to constantly changing opportunities and customer preferences.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Our centralized sourcing team, consisting of our purchasing and inventory planning groups, have deep experience and decades-long relationships with leading CPG companies. Our team is highly selective when evaluating opportunities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available to us and maintains a disciplined yet solutions-oriented approach. We are always seeking out and developing new supplier relationships to acquire desirable products at discounts that excite our customers. Our inventory planning group collaborates with and supports our buyers to ensure we purchase the appropriate type and quantity of products in order to maintain adequate inventory levels in key product categories.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believe that we have a leading share of the large and growing excess inventory market. We also believe that the overall excess inventory market continues to grow due to increased manufacturing capacities and rapidly changing product assortments. As we grow, we expect to have even greater access to quality merchandise due to our increased scale, broader supplier awareness and expanded geographic presence. Additionally, we believe that changing consumer preferences will continue to support the proliferation of small and innovative CPG brands, and allow us to add new suppliers to our network.</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supplement our opportunistic purchases with competitively priced everyday staples in order to provide a convenient shopping experience. We typically source these staple products (e.g., milk, eggs, sugar) from multiple suppliers to lower our costs and we generally avoid long-term supply commitments to maintain the flexibility to pursue opportunistic buys as they arise. We also have near-term plans to develop and expand our private label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Supply Chain and Distribution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Over time, we have honed our supply chain operations to support our opportunistic buying approach and to quickly and efficiently deliver products to our stores. We believe our supply chain flexibility enables us to solve suppliers' inventory challenges and, therefore, obtain significant discounts on purchases. After agreeing to purchase product from a supplier, we move quickly to receive, process and distribute the goods. Our systems, including our new store portal, allow IOs real-time visibility to our inventory, significantly reducing time to shelf. IOs typically order multiple deliveries per week resulting in higher inventory turns, lower shrink and a frequent assortment of new products on shelf.</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We also have dedicated teams to handle unique situations in which products need to be reconditioned or relabeled for sale. These items may include products without a UPC label, goods labeled for another geography, or inventory with damaged packaging.</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rely on our distribution and transportation network, including by means of truck, ocean and rail to provide goods to our distribution centers and stores in a timely and cost-effective manner. Deliveries to our stores occur from our distribution centers or directly from our suppliers. We distribute inventory through eight primary distribution centers, three of which we operate and five of which are operated by third parties. We have an in-house transportation fleet as well as strong transportation partner relationships that provide consistent performance and timely deliveries to our stores.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We intend to continue to invest in our distribution and logistics infrastructure in order to support our anticipated store growth over the long term, including as we enter into new geographies.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Independent Operators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IOs are independent business entities owned by one or more entrepreneurially minded individuals who typically live in the same community as their store with a focus on ordering and merchandising the best products for their communities, providing personalized customer service and driving improved store performance. The vast majority of the IOs operate a single store, with most working as a two-person team to leverage complementary operator skill sets. We encourage the IOs to establish local roots and actively participate in their communities to foster strong personal connections with customers.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We generally share 50% of store-level gross profits with IOs, thereby incentivizing them to grow their business profitably and realize financial upside. The independent operator agreement (the "Operator Agreement") that we sign with each IO gives the IO broad responsibility over store-level decision-making, unlike a store manager of a traditional retailer. This decision-making includes merchandising, selecting a majority of products, managing inventory, marketing locally, directly hiring, training and employing their store workers and supervising store operations to carry out our brand's commitment to superior customer service. As a result, our IO model reduces our fixed costs, corporate overhead and exposure to wage inflation pressures and centralized labor negotiations.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IOs leverage our national purchasing network, sophisticated ordering and information systems and field support in order to operate more efficiently. We facilitate collaboration among IOs to share best practices through company-wide and regional meetings, our IO intranet and other online and informal communications.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The combination of local decision-making supported by our purchasing expertise and corporate resources results in a "small business at scale" model that we believe is difficult for competitors to replicate. Our collaborative relationship with the IOs creates a powerful selling model allowing us to deliver customers exceptional value with a local touch.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As of December 30, 2023, 466 of our 468 stores were operated by IOs. We have entered into an Operator Agreement with each IO, which grants that IO a license to operate a particular Grocery Outlet Bargain Market retail store and to use our trademarks, service marks, trade names, brand names and logos under our brand standards. The Operator Agreement, along with our Best Business Practice Manual, defines our brand standards and sets forth the terms of the license granted to that IO. IOs have discretion to determine the manner and means for accomplishing their duties and implementing our brand standards. The success of this licensing arrangement depends upon mutual commitments by us and the IO to cooperate with each other and engage in practices that protect our brand standards and the reputation of our brand and enhance the sales, business and profit potential of the IO's store. The Operator Agreement provides that either the IO or we may terminate the Operator Agreement for any reason on 75 days' written notice, and that we may terminate the Operator Agreement immediately for cause.</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IOs are responsible for operational decision-making for their store, including hiring, training and employing their own workers as well as ordering and merchandising products. The IO orders merchandise solely from us, which we, in turn, deliver to IOs on consignment. As a result, we retain ownership of all merchandise until the point in time that merchandise is sold to a customer. Under the Operator Agreement, IOs are given the right to select a majority of merchandise that is sold in their store. IOs choose merchandise from our order guide according to their knowledge and experience with local customer purchasing trends, preferences, historical sales and other related factors.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IOs are able to uniquely display and merchandise product in order to appeal to their local customer base. IOs also have discretion to adjust pricing in response to local competition or product turns, provided that the overall outcome based on an average basket of items comports with our reputation for selling quality name-brand consumables and fresh products and other merchandise at significant discounts. IOs are expected to engage in local marketing efforts to promote their store and enhance the reputation and goodwill of the Grocery Outlet brand. To protect our brand and reputation, the Operator Agreement requires IOs to adhere to brand standards, including cleanliness, customer service, store appearance, conducting their business in compliance with all laws and observing requirements for storing, handling and selling merchandise.</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As consignor of all merchandise, the aggregate sales proceeds belong to us. We, in turn, pay IOs a commission that is generally 50% of the store's gross profit in exchange for the IO's services in staffing and operating the store. Any spoiled, damaged or stolen merchandise, markdowns or price changes impact gross profit and therefore the IO's commission. We generally split these losses equally with IOs. As a result, IOs are exposed to the risk of loss of such merchandise and are incentivized to minimize any such losses. Our relationship with the IOs is an important part of our business. To alleviate the disruption caused by the system upgrades that we implemented in late August 2023 and are more fully described below under "Business Technology", we elected to provide incremental commission support to IOs beginning in the third quarter of fiscal 2023 and extending into the first quarter of fiscal 2024.</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31F20"/>
        </w:rPr>
        <w:t>We lease and build out each Grocery Outlet location. Under the Operator Agreement, we provide IOs with the right to occupy the store premises solely to operate the retail store on the terms set forth in the Operator Agreement. The Operator Agreement specifies the retail store that the IO is entitled to operate, but it does not grant the IO an exclusive territory, restrict us from opening stores nearby, or give the IO preference to relocate to another store as opportunities arise. As the store tenant, we fund the build-out of the store including racking, refrigeration and other equipment (which we maintain ownership of) and pay rent, common area maintenance and other lease charges. IOs must cover their own initial working capital requirements and acquire certain store and safety assets. IOs may fund their initial store investment from their existing capital, a third-party loan or, most commonly, through a loan from us (an "IO Note"). The IOs are required to hire, train and employ a properly trained workforce to enable the IO to fulfill its obligations under the Operator Agreement. IOs are responsible for expenses required for business operations, including all labor costs, utilities, credit card processing fees, supplies, taxes (i.e., withholding, contributions and payroll taxes and income taxes on commissions paid to them), fines, levies and other expenses attributable to their operations.</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In a typical year, we receive and filter thousands of leads for prospective new IOs in pursuit of smart and entrepreneurially minded retail leaders to support our continued growth. After a robust screening and interview process, we select the top candidates to enter a rigorous Aspiring Operator in Training ("AOT") program with the goal of potentially becoming an IO. AOTs receive on-the-job training as an employee of an experienced IO that applies to serve as a training store for us, which gives AOTs the chance to experience first-hand what running a Grocery Outlet and managing employees will require. We supplement on-the-job training with classes at our headquarters, when available, and through online tutorials. Upon successful completion of the training program, AOTs submit business plans to apply for new stores as they become available. Those business plans generally include a competitive analysis of the local market, operational strategy, marketing plan and projected financial performance. Based on the strength of that business plan, including an AOT's familiarity with the local market, we ultimately select an IO as new store opportunities open and facilitate the transition.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Stores and Expansion Opportunities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As of December 30, 2023, our 468 total stores averaged approximately 14,000 square feet on the sales floor. We lease substantially all of our store locations, with initial lease terms of generally ten years and options to renew for two or three successive five-year periods.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stores are convenient, neatly organized, well maintained and easy to navigate with wide aisles and clear signage to guide the customer through our various departments such as produce, beer and wine and fresh meat and seafood. The stores require neither membership fees nor bulk purchases for customers to save money and have a high level of customer service. Upon entering a store, customers are greeted by signage introducing the IOs, a tailored selection of fresh produce and other perishables, followed by a "Power Wall" displaying some of our most compelling offerings.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Stores are assorted and merchandised uniquely by IOs providing a "WOW!" treasure hunt shopping experience. A majority of the assortment in each Grocery Outlet store is selected by IOs based on local preference and shopping history while the remaining assortment is delivered to stores to support marketing circulars and manage "sell-by" dates. We have several customized systems and tools in place, including our ordering system that allows IOs to see our real-time inventory and provides ordering suggestions based on local store characteristics.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We continue to implement operational initiatives to support IOs in enhancing the customer experience. We develop and improve tools that provide IOs with actionable insights on sales, margin and customer behavior, enabling them to further grow their business. We seek to continuously improve our inventory planning tools to help IOs make better local assortment decisions while reducing out-of-stock items and losses related to product markdowns, throwaways and theft ("shrink"). We also regularly deploy updated fixtures, signage and enhanced in-store marketing to further improve the shopping experience, which we believe results in higher customer traffic and average basket sizes.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We believe that new store growth remains our biggest driver of long-term stockholder value. We further believe the success of our stores across a broad range of geographies, population densities and demographic groups creates a significant opportunity to profitably increase our store count. In fiscal 2023 we opened 28 new stores in California (10), Maryland (5), Pennsylvania (4), Washington (2), Nevada (2), New Jersey (2), Oregon (1), Idaho (1) and first store in Ohio (1). We deploy a store model that generates robust store-level financial results, strong cash flow and attractive return. We have a dedicated real estate team that utilizes a rigorous site selection process in order to source new store locations that generate strong overall returns and generally targets new stores of between 15,000 and 20,000 total square feet with an average of 4,000 square feet of non-selling space.</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We believe our white space remains vast with the potential to operate approximately 4,800 stores across the United States. Our new store growth efforts for fiscal 2024 and beyond remain focused on organic growth together with new real estate opportunities (such as our pending acquisition of United Grocery Outlet) that align with our long-term geographic expansion and store growth strategies. Complementary growth opportunities include expanding strategic relationships with large property owners, evaluating opportunistic real estate lists, and exploring strategic regional acquisitions. We believe organic growth combined with these complementary opportunities will enable us to grow our store base on average approximately 10% per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Marketing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ability to consistently deliver "WOW!" deals that generate customer excitement is our strongest marketing tool. We believe our value proposition has broad appeal with bargain-minded consumers. We promote brand awareness and drive customers to shop through centralized marketing initiatives along with local IO marketing efforts. As a result of this approach and local marketing campaigns funded by IOs, our marketing expense as a percent of sales is relatively low.</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We focus our centralized marketing efforts to build brand awareness and communicate specific in-store deals to drive customer traffic, primarily through digital ads, emailed "WOW! Alerts," social media, television and radio commercials and in-store and outdoor signage. We have increased our usage of digital advertising, allowing us to more quickly develop, deploy and target marketing communications based on our changing inventories and store- specific deals. We also market via television, streaming television platforms and radio (terrestrial and digital) to specific markets to build brand awareness and highlight the value we provide. We reinforce these efforts with in-store price and item signage as well as outdoor marketing via billboards and truck wraps. In fiscal 2023, we launched a mobile personalization app in our Washington, Oregon, Pennsylvania, Idaho, Maryland, New Jersey and Ohio stores and we plan to launch the app to our stores in California and Nevada by the end of the first quarter of fiscal 2024. The app allows customers to track their savings and provides new, trending and top selling items as well as curated product recommendations based on user preferences. Further, the app provides us with critical information to make our marketing efforts more effective and efficient.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IOs develop and fund their local marketing plan to drive customer engagement. IO efforts include community outreach such as partnering with food banks, sponsoring youth athletic programs and offering discounts to veterans. In addition, IOs develop and manage their own social media marketing platforms, posting creative and compelling content.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compete for consumer spend with a diverse group of retailers, including mass, discount, conventional grocery, department, drug, convenience, hardware, variety, online and other specialty stores. These businesses compete with us on the basis of price, selection, quality, customer service, convenience, location, store format, shopping experience, or any combination of these or other factors. They may also compete with us for products and locations. We also face internally generated competition when we open new stores in markets we already serve.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competitive landscape is highly fragmented and localized; however, our customers most often cite Walmart and Safeway as retailers where they also shop for consumables. We see discount retailers of consumable products, which include Costco, WinCo, Target, Trader Joe's, Aldi and Lidl, as competitors given their broad product offerings at low prices relative to conventional grocery stores. We compete with both conventional grocery stores and discounters by offering an ever-changing selection of name-brand products in a fun, treasure hunt shopping environment at a significant discount.</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Many competitors and a number of pure online retailers are attempting to attract customers by offering various forms of e-commerce. We have embraced online and digital marketing, including launching a mobile personalization app during fiscal 2023, which we plan to continue to expand in fiscal 2024, and rolling out online shopping to our stores through partnerships with online grocery delivery companies in recent years.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Beyond competition for consumers, we compete against a fragmented landscape of opportunistic purchasers, including retailers (e.g., Big Lots and 99 Cents Only) and wholesalers to acquire excess merchandise for sale in our stores. Our established relationships with most of our suppliers along with our distribution scale, buying power, financial credibility and responsiveness often makes us the first call for available deals.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Technology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information systems provide a broad range of business process assistance and real-time data to support our purchasing and planning approach, merchandising team and strategy, multiple distribution center management, store and operational insight and financial reporting. We selected and developed these technologies to provide the flexibility and functionality to support our unique buying and selling model as well as to identify and respond to merchandising and operating trends in our business.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ongoing modernization, enhancement and maintenance of our information systems have allowed us to support the growth in our business and store base. We have modernized and added several systems that provide us additional functionality and scalability in order to better support operational decision-making, including enhanced point of sale, warehouse management, human resource planning, business intelligence, vendor tracking and lead management, store communications, real estate lease management and financial planning and analysis systems.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We modify, update and replace our systems and infrastructure from time to time, including by adding new hardware, software and applications; maintaining, updating or replacing legacy programs; converting to enhanced systems; integrating new service providers; and adding enhanced new functionality, such as cloud computing technologies. In addition, we have a customized enterprise resource planning system, components of which have been replaced over the past several years, including our financial ledger, inventory management platform and product data warehouse system, which were replaced in late August 2023. As previously disclosed, t</w:t>
      </w:r>
      <w:r>
        <w:rPr>
          <w:rFonts w:ascii="Times New Roman" w:cs="Times New Roman" w:eastAsia="Times New Roman" w:hAnsi="Times New Roman"/>
          <w:sz w:val="18"/>
          <w:szCs w:val="18"/>
          <w:color w:val="000000"/>
        </w:rPr>
        <w:t>he implementation of these system upgrades resulted in ordering and inventory disruptions,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impacted our results of operations during the remainder of fiscal 2023. </w:t>
      </w:r>
      <w:r>
        <w:rPr>
          <w:rFonts w:ascii="Times New Roman" w:cs="Times New Roman" w:eastAsia="Times New Roman" w:hAnsi="Times New Roman"/>
          <w:sz w:val="18"/>
          <w:szCs w:val="18"/>
          <w:color w:val="231F20"/>
        </w:rPr>
        <w:t>We also will continue to identify and implement productivity improvements through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both operational initiatives and system enhancements, such as category assortment optimization, improved inventory management tools and greater purchasing specialization.</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We also have built a series of tools that empower IOs to make intelligent decisions to grow their business from improving product ordering, reducing shrink, and gaining intelligence into their store performance and profitability. We believe these investments have resulted in valuable business insights and operational improvements.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Trademarks and Other Intellectual Property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We own federally registered trademarks related to our brand, including "GROCERY OUTLET BARGAIN MARKET", "WOW!", "NOSH" and "BARGAIN BLISS" In addition, we maintain trademarks for the images of certain logos that we use, including the "GROCERY OUTLET BARGAIN MARKET" logo, the "NOSH" logo and the "WOW!" logo. We are also in the process of pursuing several other trademarks to further identify our services. We have disclaimed the terms "GROCERY OUTLET" and "MARKET" with respect to our "GROCERY OUTLET BARGAIN MARKET" trademarks, among other disclaimed terms with respect to our registered trademarks and trademark applications.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Our trademark registrations have various expiration dates; however, assuming that the trademark registrations are properly renewed, they have a perpetual duration. We also own several domain names, including www.groceryoutlet.com and www.ownagroceryoutlet.com, and registered and unregistered copyrights in our website content. Our Operator Agreement grants the IOs a limited, non-exclusive license to use our trademarks solely in connection with the operation and promotion of their store and not in connection with other activities. To maintain quality of use of our trademarks, we exercise actual control over the IO's use of our trademarks and IOs are not permitted to sublicense our trademarks to others. We attempt to obtain registration of our trademarks as practical and pursue infringement of those marks when appropriate. We rely on trademark and copyright laws, trade-secret protection and confidentiality, license and other agreements with the IOs, suppliers, employees and others to protect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Regulations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31F20"/>
        </w:rPr>
        <w:t>We and the IOs are subject to regulation by various federal agencies, including the Food and Drug Administration (the "FDA"), the Federal Trade Commission (the "FTC"), the U.S. Department of Agriculture (the "USDA") the Consumer Product Safety Commission and the Environmental Protection Agency. We and the IOs are also subject to various federal, state and local laws and regulations, including those governing labor and employment, including minimum wage requirements and employee safety, advertising, privacy, safety and environmental protection and consumer protection regulations, including those that regulate retailers and/or govern product standards, the importation, transportation, promotion and sale of merchandise, packaging material safety and recycling and the operation of stores and warehouse facilities. In addition, we and the IOs must comply with provisions regulating health and sanitation standards, food labeling, non-food labeling and licensing for the sale of food and alcoholic beverages. We actively monitor changes in these laws. In addition, we and the IOs are subject to environmental laws, including but not limited to hazardous waste laws, regulations related to refrigeration and stormwater, pursuant to which we and/or the IOs could be strictly and jointly and severally liable, regardless of our knowledge or responsibility.</w:t>
      </w:r>
    </w:p>
    <w:p>
      <w:pPr>
        <w:spacing w:after="0" w:line="8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Food and Dietary Supplements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The FDA regulates the safety of certain food and food ingredients, as well as dietary supplements under the federal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Food, Drug, and Cosmetic Act (the "FDCA"). Similarly, the USDA's Food Safety Inspection Service ensures that the country's commercial supply of meat, poultry, catfish and certain egg products is safe, wholesome and correctly labeled and packaged.</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Food Safety Modernization Act (the "FSMA") amended the FDCA in 2011 and expanded the FDA's regulatory oversight of all supply chain participants. Most of the FDA's promulgated regulations are now in effect and mandate that risk-based preventive controls be observed by the majority of food producers. This authority applies to all domestic food facilities and, by way of imported food supplier verification requirements, to all foreign facilities that supply food products.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The FDA also exercises broad jurisdiction over the labeling and promotion of food. Under certain circumstances, this jurisdiction extends even to product-related claims and representations made on a company's website or similar printed or graphic media. All foods, including dietary supplements, must bear labeling that provides consumers with essential information with respect to standards of identity, net quantity, nutrition facts, ingredient statements and allergen disclosures. The FDA also regulates the use of structure/function claims, health claims, nutrient content claims and the disclosure of calories and other nutrient information for frequently sold items. In addition, compliance dates on various nutrition initiatives that impacted supply chain participants, such as in relation to partially hydrogenated oils, went into effect in 2021.</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FDA has comprehensive authority to regulate the safety, ingredients, labeling and good manufacturing practices for dietary supplements. The Dietary Supplement Health and Education Act (the "DSHEA") amended the FDCA in 1994 and expanded the FDA's regulatory authority over dietary supplements. Through DSHEA, dietary supplements became a regulated commodity while also allowing structure/function claims on products. However, no statement on a dietary supplement may expressly or implicitly represent that it will diagnose, cure, mitigate, treat or prevent a disease.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EBT Payments</w:t>
      </w:r>
      <w:r>
        <w:rPr>
          <w:rFonts w:ascii="Times New Roman" w:cs="Times New Roman" w:eastAsia="Times New Roman" w:hAnsi="Times New Roman"/>
          <w:sz w:val="18"/>
          <w:szCs w:val="18"/>
          <w:color w:val="auto"/>
        </w:rPr>
        <w:t>—Approximately 11% of our net sales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in the form of Electronic Benefits Transfer ("EBT") payments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portion of these payments may be related to benefits associated with the Supplemental Nutritional Assistance Program ("SNAP"). The U.S. Department of Agriculture regulates these programs and their eligibility requirements. The registration and ongoing compliance requirements for SNAP participation are fairly complex and each of the IOs holds their registration under the name of their business entity and is responsible to ensure that their employees consistently comply with all SNAP rules.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Food and Dietary Supplement Advertising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The FTC exercises jurisdiction over the advertising of foods and dietary supplements. The FTC has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power to impose monetary sanctions, consent decrees and/or other penalties that can severely limit a company's business practices. In recent years, the FTC has instituted numerous enforcement actions against companies carrying dietary supplements for failure to have adequate substantiation for claims made in advertising or for the use of false or misleading advertising claims.</w:t>
      </w:r>
    </w:p>
    <w:p>
      <w:pPr>
        <w:spacing w:after="0" w:line="7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Compliance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As is common in the retail industry, we rely on our suppliers and manufacturers to ensure that the products they manufacture and sell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 us comply with all applicable regulatory and legislative requirements. In general, our purchase orders require that suppliers be compliant and represent and warrant to compliance with laws and require indemnification and/or insurance from our suppliers and manufacturers.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However, even with adequate insurance and indemnification, any claims of non-compliance could significantly damage our reputation and consumer confidence in products we sell. In addition, the failure of such products to comply with applicable regulatory and legislative requirements could prevent us from marketing the products or require us to recall or remove such products from our stores. In order to comply with applicable statutes and regulations, our suppliers and manufacturers have from time to time reformulated, eliminated or relabeled certain of their products.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also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supplier compliance agreements mandate compliance with applicable law, including these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Employees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Our people are at the heart of who we are and what we do. They are key to achieving our business goals and growth strategy. As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December 30, 2023, we had 997 employees, 901 of whom were full-time and 96 of whom were part-time. As of December 30, 2023, 516 of our employees were based at our corporate headquarters in Emeryville, California, and our Leola, Pennsylvania office, 158 of which were classified as field employees. As of December 30, 2023, our distribution centers employed 355 persons. The remaining employees were employees in our Company-operated stores. As of December 30, 2023, 126 of our employees were union employees, all of whom were employees at two Company-operated stores. We have experienced no material interruptions of operations due to disputes with our employees and consider our relations with our employees to be very good.</w:t>
      </w:r>
    </w:p>
    <w:p>
      <w:pPr>
        <w:spacing w:after="0" w:line="7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Our mission is to </w:t>
      </w:r>
      <w:r>
        <w:rPr>
          <w:rFonts w:ascii="Times New Roman" w:cs="Times New Roman" w:eastAsia="Times New Roman" w:hAnsi="Times New Roman"/>
          <w:sz w:val="18"/>
          <w:szCs w:val="18"/>
          <w:i w:val="1"/>
          <w:iCs w:val="1"/>
          <w:color w:val="auto"/>
        </w:rPr>
        <w:t>Touch Lives for the Better</w:t>
      </w:r>
      <w:r>
        <w:rPr>
          <w:rFonts w:ascii="Times New Roman" w:cs="Times New Roman" w:eastAsia="Times New Roman" w:hAnsi="Times New Roman"/>
          <w:sz w:val="18"/>
          <w:szCs w:val="18"/>
          <w:color w:val="auto"/>
        </w:rPr>
        <w:t>. To do this, we work together to foster a culture grounded in talented and passionate people who live our values: entrepreneurship, integrity, achievement, family, service to others, diversity and fun. Our values translate into our human capital offerings to recruit, engage, develop, reward and retain employees who believe in our mission and emulate our values.</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Employee Development</w:t>
      </w:r>
      <w:r>
        <w:rPr>
          <w:rFonts w:ascii="Times New Roman" w:cs="Times New Roman" w:eastAsia="Times New Roman" w:hAnsi="Times New Roman"/>
          <w:sz w:val="18"/>
          <w:szCs w:val="18"/>
          <w:color w:val="auto"/>
        </w:rPr>
        <w:t>—We seek to grow leaders at every level of our organization by creating a culture of mentoring and coaching. As part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succession planning, we prioritize growing talent internally within our organization and invest resources to develop our employee's skill sets and career path. As an example, our current Chief Executive Officer, Robert J. Sheedy, Jr., joined Grocery Outlet in 2012 as our Vice President of Strategy and thereafter was promoted three times before becoming President and Chief Executive Officer in January 2023. Some of our offerings during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(offered virtually and, in some cases, in person) included:</w:t>
      </w:r>
    </w:p>
    <w:p>
      <w:pPr>
        <w:spacing w:after="0" w:line="7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program opportunities, including offerings in personal growth and professional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Lunch and learn events, featuring a wide variety of personal development topics and industry speakers;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coaching for leadership development, and other leadership training on an ad hoc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encourage internal promotions and hiring for open positions. During fiscal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we promoted 79 corporate and field employees.</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Employee Health and Safety</w:t>
      </w:r>
      <w:r>
        <w:rPr>
          <w:rFonts w:ascii="Times New Roman" w:cs="Times New Roman" w:eastAsia="Times New Roman" w:hAnsi="Times New Roman"/>
          <w:sz w:val="18"/>
          <w:szCs w:val="18"/>
          <w:color w:val="auto"/>
        </w:rPr>
        <w:t>—Providing a safe and compliant working environment and ensuring safety is critical to the Company. We have robust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programs in place to prevent workplace injury and illness. In recent years, we have refined and adopted additional safety training initiatives in a variety of areas, including among others, hazard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fire prevention, emergency action playbooks, blood borne pathogens, health illness avoidance, and active shooter. These refinements and initiatives are ongoing. We also maintain a Safety Committee for our distribution center employees and our Safety Department regularly provides new injury avoidance information at monthly distribution center employee-wide meetings. Additionally, we provide detailed health and safety resources to our independently operated stores, including specific information and requirements by state to support their adherence to compliance.</w:t>
      </w:r>
    </w:p>
    <w:p>
      <w:pPr>
        <w:spacing w:after="0" w:line="7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Employee Compensation and Benefits</w:t>
      </w:r>
      <w:r>
        <w:rPr>
          <w:rFonts w:ascii="Times New Roman" w:cs="Times New Roman" w:eastAsia="Times New Roman" w:hAnsi="Times New Roman"/>
          <w:sz w:val="18"/>
          <w:szCs w:val="18"/>
          <w:color w:val="auto"/>
        </w:rPr>
        <w:t>—We provide compensation and comprehensive benefits designed to recruit, reward and retain the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advance our mission, meet our business goals and execute our long-term growth strategy. Our compensation components vary by employee level and include cash based compensation, cash bonuses, equity awards and a profit-sharing program. Additionally, we provide generous and highly competitive health and welfare benefits programs.</w:t>
      </w:r>
    </w:p>
    <w:p>
      <w:pPr>
        <w:spacing w:after="0" w:line="7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Equity, Diversity and Inclusion</w:t>
      </w:r>
      <w:r>
        <w:rPr>
          <w:rFonts w:ascii="Times New Roman" w:cs="Times New Roman" w:eastAsia="Times New Roman" w:hAnsi="Times New Roman"/>
          <w:sz w:val="18"/>
          <w:szCs w:val="18"/>
          <w:color w:val="auto"/>
        </w:rPr>
        <w:t>—We report annually on employment data, including ethnicity, in line with Equal Opportunity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("EEOC") guidelines and we believe that a diverse and inclusive team is critical to our long-term business success.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16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96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Workforce Demographics</w:t>
            </w:r>
          </w:p>
        </w:tc>
        <w:tc>
          <w:tcPr>
            <w:tcW w:w="1620" w:type="dxa"/>
            <w:vAlign w:val="bottom"/>
            <w:shd w:val="clear" w:color="auto" w:fill="CCEEFF"/>
          </w:tcPr>
          <w:p>
            <w:pPr>
              <w:spacing w:after="0"/>
              <w:rPr>
                <w:sz w:val="18"/>
                <w:szCs w:val="18"/>
                <w:color w:val="auto"/>
              </w:rPr>
            </w:pPr>
          </w:p>
        </w:tc>
      </w:tr>
      <w:tr>
        <w:trPr>
          <w:trHeight w:val="230"/>
        </w:trPr>
        <w:tc>
          <w:tcPr>
            <w:tcW w:w="9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Gender Breakdown</w:t>
            </w:r>
          </w:p>
        </w:tc>
        <w:tc>
          <w:tcPr>
            <w:tcW w:w="1620" w:type="dxa"/>
            <w:vAlign w:val="bottom"/>
          </w:tcPr>
          <w:p>
            <w:pPr>
              <w:spacing w:after="0"/>
              <w:rPr>
                <w:sz w:val="19"/>
                <w:szCs w:val="19"/>
                <w:color w:val="auto"/>
              </w:rPr>
            </w:pPr>
          </w:p>
        </w:tc>
      </w:tr>
      <w:tr>
        <w:trPr>
          <w:trHeight w:val="229"/>
        </w:trPr>
        <w:tc>
          <w:tcPr>
            <w:tcW w:w="9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All Employees</w:t>
            </w:r>
          </w:p>
        </w:tc>
        <w:tc>
          <w:tcPr>
            <w:tcW w:w="1620" w:type="dxa"/>
            <w:vAlign w:val="bottom"/>
            <w:shd w:val="clear" w:color="auto" w:fill="CCEEFF"/>
          </w:tcPr>
          <w:p>
            <w:pPr>
              <w:spacing w:after="0"/>
              <w:rPr>
                <w:sz w:val="19"/>
                <w:szCs w:val="19"/>
                <w:color w:val="auto"/>
              </w:rPr>
            </w:pPr>
          </w:p>
        </w:tc>
      </w:tr>
      <w:tr>
        <w:trPr>
          <w:trHeight w:val="229"/>
        </w:trPr>
        <w:tc>
          <w:tcPr>
            <w:tcW w:w="9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Women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9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9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Director &amp; above roles</w:t>
            </w:r>
          </w:p>
        </w:tc>
        <w:tc>
          <w:tcPr>
            <w:tcW w:w="1620" w:type="dxa"/>
            <w:vAlign w:val="bottom"/>
          </w:tcPr>
          <w:p>
            <w:pPr>
              <w:spacing w:after="0"/>
              <w:rPr>
                <w:sz w:val="19"/>
                <w:szCs w:val="19"/>
                <w:color w:val="auto"/>
              </w:rPr>
            </w:pPr>
          </w:p>
        </w:tc>
      </w:tr>
      <w:tr>
        <w:trPr>
          <w:trHeight w:val="230"/>
        </w:trPr>
        <w:tc>
          <w:tcPr>
            <w:tcW w:w="9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Women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9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9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Racial &amp; Ethnic Breakdown </w:t>
            </w:r>
            <w:r>
              <w:rPr>
                <w:rFonts w:ascii="Times New Roman" w:cs="Times New Roman" w:eastAsia="Times New Roman" w:hAnsi="Times New Roman"/>
                <w:sz w:val="23"/>
                <w:szCs w:val="23"/>
                <w:b w:val="1"/>
                <w:bCs w:val="1"/>
                <w:i w:val="1"/>
                <w:iCs w:val="1"/>
                <w:color w:val="auto"/>
                <w:vertAlign w:val="superscript"/>
              </w:rPr>
              <w:t>(1)</w:t>
            </w:r>
          </w:p>
        </w:tc>
        <w:tc>
          <w:tcPr>
            <w:tcW w:w="1620" w:type="dxa"/>
            <w:vAlign w:val="bottom"/>
            <w:shd w:val="clear" w:color="auto" w:fill="CCEEFF"/>
          </w:tcPr>
          <w:p>
            <w:pPr>
              <w:spacing w:after="0"/>
              <w:rPr>
                <w:sz w:val="19"/>
                <w:szCs w:val="19"/>
                <w:color w:val="auto"/>
              </w:rPr>
            </w:pPr>
          </w:p>
        </w:tc>
      </w:tr>
      <w:tr>
        <w:trPr>
          <w:trHeight w:val="230"/>
        </w:trPr>
        <w:tc>
          <w:tcPr>
            <w:tcW w:w="9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All Employees</w:t>
            </w:r>
          </w:p>
        </w:tc>
        <w:tc>
          <w:tcPr>
            <w:tcW w:w="1620" w:type="dxa"/>
            <w:vAlign w:val="bottom"/>
          </w:tcPr>
          <w:p>
            <w:pPr>
              <w:spacing w:after="0"/>
              <w:rPr>
                <w:sz w:val="19"/>
                <w:szCs w:val="19"/>
                <w:color w:val="auto"/>
              </w:rPr>
            </w:pPr>
          </w:p>
        </w:tc>
      </w:tr>
      <w:tr>
        <w:trPr>
          <w:trHeight w:val="175"/>
        </w:trPr>
        <w:tc>
          <w:tcPr>
            <w:tcW w:w="9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Hispanic/Latino, Asian, Black/African America, Native Hawaiian/Other Pacific Islander, Multiracial, or American</w:t>
            </w:r>
          </w:p>
        </w:tc>
        <w:tc>
          <w:tcPr>
            <w:tcW w:w="1620" w:type="dxa"/>
            <w:vAlign w:val="bottom"/>
            <w:shd w:val="clear" w:color="auto" w:fill="CCEEFF"/>
          </w:tcPr>
          <w:p>
            <w:pPr>
              <w:spacing w:after="0"/>
              <w:rPr>
                <w:sz w:val="15"/>
                <w:szCs w:val="15"/>
                <w:color w:val="auto"/>
              </w:rPr>
            </w:pPr>
          </w:p>
        </w:tc>
      </w:tr>
      <w:tr>
        <w:trPr>
          <w:trHeight w:val="243"/>
        </w:trPr>
        <w:tc>
          <w:tcPr>
            <w:tcW w:w="9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Indian/Alaskan Native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9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9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Director &amp; above roles</w:t>
            </w:r>
          </w:p>
        </w:tc>
        <w:tc>
          <w:tcPr>
            <w:tcW w:w="1620" w:type="dxa"/>
            <w:vAlign w:val="bottom"/>
            <w:shd w:val="clear" w:color="auto" w:fill="CCEEFF"/>
          </w:tcPr>
          <w:p>
            <w:pPr>
              <w:spacing w:after="0"/>
              <w:rPr>
                <w:sz w:val="19"/>
                <w:szCs w:val="19"/>
                <w:color w:val="auto"/>
              </w:rPr>
            </w:pPr>
          </w:p>
        </w:tc>
      </w:tr>
      <w:tr>
        <w:trPr>
          <w:trHeight w:val="175"/>
        </w:trPr>
        <w:tc>
          <w:tcPr>
            <w:tcW w:w="9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Hispanic/Latino, Asian, Black/African America, Native Hawaiian/Other Pacific Islander, Multiracial, or American</w:t>
            </w:r>
          </w:p>
        </w:tc>
        <w:tc>
          <w:tcPr>
            <w:tcW w:w="1620" w:type="dxa"/>
            <w:vAlign w:val="bottom"/>
          </w:tcPr>
          <w:p>
            <w:pPr>
              <w:spacing w:after="0"/>
              <w:rPr>
                <w:sz w:val="15"/>
                <w:szCs w:val="15"/>
                <w:color w:val="auto"/>
              </w:rPr>
            </w:pPr>
          </w:p>
        </w:tc>
      </w:tr>
      <w:tr>
        <w:trPr>
          <w:trHeight w:val="243"/>
        </w:trPr>
        <w:tc>
          <w:tcPr>
            <w:tcW w:w="9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Indian/Alaskan Native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9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Racial and Ethnic data excludes employees who chose not to disclose or left the field blank.</w:t>
      </w:r>
    </w:p>
    <w:p>
      <w:pPr>
        <w:spacing w:after="0" w:line="2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In fiscal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of the 79 promoted corporate and field employees, 49% were female and 46% were racially and ethnically diverse, excluding employees who chose not to disclose or left the field blank.</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several employee resource groups that enhance our inclusive and diverse culture, including our overarching Equity, Diversity and Inclusion Council, our Black Partnership Network, and our WOW! (Winning with Outstanding Women) Network. We also provide regular training on diversity and inclusion topics, including those relating to current events in our communities.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focus on genuine equal opportunity for all in hiring, retention and advancement, and cultivating an inclusive and diverse corporate culture through continued education, employee resource groups and education and development opportunities across our organization.</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strive to nurture and uphold an inclusive and diverse environment, free from discrimination of any kind, including sexual or other discriminatory/harassing behavior. We do this by setting an appropriate tone at the top with an open-door policy, having robust policies/procedures in our Code of Ethics and Whistleblower Policy as well as maintaining an internal audit function - all of which support compliance with regulations and ethical behavior.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United Grocery Outlet</w:t>
      </w:r>
    </w:p>
    <w:p>
      <w:pPr>
        <w:spacing w:after="0" w:line="121"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On February 14, 2024, Grocery Outlet Inc., our wholly owned subsidiary, entered into a stock purchase agreement with BBGO Acquisition, Inc., a Delaware corporation ("Holdings"), specified parties therein that beneficially own Holdings (the "Sellers"), and Southvest Fund VII, L.P., a Delaware limited partnership (the "Sellers' Representative", and together with the Sellers, the "Seller Parties" and, together with Holdings and Grocery Outlet, the "Parties") to acquire all of the issued and outstanding capital stock of Holdings for approximately $62.0 million in cash, subject to customary purchase price adjustments (the "Transaction"). We expect to finance the Transaction with available cash.</w:t>
      </w:r>
    </w:p>
    <w:p>
      <w:pPr>
        <w:spacing w:after="0" w:line="75"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18"/>
          <w:szCs w:val="18"/>
          <w:color w:val="auto"/>
        </w:rPr>
        <w:t>Holdings is the owner of all of the issued and outstanding capital stock of The Bargain Barn, Inc., a Tennessee corporation doing business as United Grocery Outlet ("United Grocery Outlet"). United Grocery Outlet operates 40 discount grocery stores across six adjacent states we do not operate in currently (Tennessee, North Carolina, Georgia, Alabama, Kentucky and Virginia) and a company-operated distribution center. With an opportunistic buying model, similar company values and adjacent geographic footprint, we believe United Grocery Outlet will be a strong strategic fit with our business. The transaction is expected to close early in the second quarter of fiscal 2024 and is subject to customary closing conditions. Unless otherwise stated, none of the disclosures in this Report reflect our pending acquisition of United Grocery Outlet.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75"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18"/>
          <w:szCs w:val="18"/>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Information about our Executive Officers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The following table sets forth information about our executive officers as of the date of this filing:</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4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1"/>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Robert J. Sheedy, Jr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Charles C. Bracher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Financial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Ramesh Chikkala</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Operations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Andrea R. Bortner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Human Resources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Pamela B. Burke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Stores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Luke D. Thompson</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General Counsel and Secretary</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Steven K. Wilson</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Purchasing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Calvin Chung</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SVP, Chief Store Development Officer</w:t>
            </w: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Set forth below is a brief description of the business experience of our executive officers. All of our officers serve at the discretion of our Board of Directors.</w:t>
      </w:r>
    </w:p>
    <w:p>
      <w:pPr>
        <w:spacing w:after="0" w:line="5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Robert J. Sheedy, Jr. </w:t>
      </w:r>
      <w:r>
        <w:rPr>
          <w:rFonts w:ascii="Times New Roman" w:cs="Times New Roman" w:eastAsia="Times New Roman" w:hAnsi="Times New Roman"/>
          <w:sz w:val="18"/>
          <w:szCs w:val="18"/>
          <w:color w:val="231F20"/>
        </w:rPr>
        <w:t>has served as our President, Chief Executive Officer and as a director since January 2023. Previously, Mr. Sheedy served as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President from January 2019 to December 2022, as our Chief Merchandise, Marketing &amp; Strategy Officer from April 2017 to December 2018, our Chief Merchandise &amp; Strategy Officer from March 2014 to April 2017 and our Vice President, Strategy from April 2012 to February 2014. Before joining us, Mr. Sheedy served in various roles at Staples Inc., an office supply company, from 2005 to 2012, most recently as its Vice President, Strategy.</w:t>
      </w:r>
    </w:p>
    <w:p>
      <w:pPr>
        <w:spacing w:after="0" w:line="7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Charles C. Bracher </w:t>
      </w:r>
      <w:r>
        <w:rPr>
          <w:rFonts w:ascii="Times New Roman" w:cs="Times New Roman" w:eastAsia="Times New Roman" w:hAnsi="Times New Roman"/>
          <w:sz w:val="18"/>
          <w:szCs w:val="18"/>
          <w:color w:val="231F20"/>
        </w:rPr>
        <w:t>has served as our EVP, Chief Financial Officer since August 2012. Before joining us, Mr. Bracher served in various roles at Bare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Escentuals, Inc., a mineral cosmetics company, from 2005 to 2012, most recently as Chief Financial Officer. Mr. Bracher began his career in the Investment Banking Division of Goldman, Sachs &amp; Co. As previously reported, on December 8, 2023, Mr. Bracher submitted his resignation, effective March 1, 2024, to pursue another opportunity, and he will serve thereafter as a consultant to the Company to assist in the transition of his role.</w:t>
      </w:r>
    </w:p>
    <w:p>
      <w:pPr>
        <w:spacing w:after="0" w:line="7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Ramesh Chikkala </w:t>
      </w:r>
      <w:r>
        <w:rPr>
          <w:rFonts w:ascii="Times New Roman" w:cs="Times New Roman" w:eastAsia="Times New Roman" w:hAnsi="Times New Roman"/>
          <w:sz w:val="18"/>
          <w:szCs w:val="18"/>
          <w:color w:val="231F20"/>
        </w:rPr>
        <w:t>has served as our EVP, Chief Operations Officer since January 2024. Before joining us, Mr. Chikkala served as a senior advisor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operations, supply chain, and technology practices at A.T. Kearney, Inc., a global</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management consulting firm, from August 2019 to January 2024. From July 2006 to July 2019, Mr. Chikkala held several roles of increasing responsibility at Walmart Inc., a global omnichannel retailer, including as Senior Vice President, Global Supply Chain (Omnichannel) and Food Manufacturing (April 2013 to July 2019), Senior Vice President, Information Technology (January 2009 to March 2013), and Vice President, Information Technology (July 2006 to December 2008). In addition, he also held senior operations and supply chain roles at retailers including Family Dollar Stores, Inc. (2001 to 2006), Gap, Inc. (1997 to 2001) and Food Lion, LLC (1995 to 1996).</w:t>
      </w:r>
    </w:p>
    <w:p>
      <w:pPr>
        <w:spacing w:after="0" w:line="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Andrea R. Bortner </w:t>
      </w:r>
      <w:r>
        <w:rPr>
          <w:rFonts w:ascii="Times New Roman" w:cs="Times New Roman" w:eastAsia="Times New Roman" w:hAnsi="Times New Roman"/>
          <w:sz w:val="18"/>
          <w:szCs w:val="18"/>
          <w:color w:val="231F20"/>
        </w:rPr>
        <w:t>has served as our EVP, Chief Human Resources Officer since March 2020. Before joining us, Ms. Bortner served as Chief Human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Resources Officer at Maxar Technologies, Inc., a space technology company, from August 2016 to October 2019 and as Chief Human Resources Officer at Catalina, an advertising and marketing company, from August 2012 to June 2016.</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Pamela B. Burke </w:t>
      </w:r>
      <w:r>
        <w:rPr>
          <w:rFonts w:ascii="Times New Roman" w:cs="Times New Roman" w:eastAsia="Times New Roman" w:hAnsi="Times New Roman"/>
          <w:sz w:val="18"/>
          <w:szCs w:val="18"/>
          <w:color w:val="231F20"/>
        </w:rPr>
        <w:t>has served as our EVP, Chief Stores Officer since January 2022. Ms. Burke previously served as our EVP, Chief Administrative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Officer, General Counsel and Secretary from January 2019 to December 2021 and our General Counsel and Secretary from June 2015 to December 2018. Before joining us, Ms. Burke served in various management positions at CRC Health Group, Inc., a provider of specialized behavioral health services, most recently as Senior Vice President of Legal, HR and Risk from April 2010 to February 2015.</w:t>
      </w:r>
    </w:p>
    <w:p>
      <w:pPr>
        <w:spacing w:after="0" w:line="7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Luke D. Thompson </w:t>
      </w:r>
      <w:r>
        <w:rPr>
          <w:rFonts w:ascii="Times New Roman" w:cs="Times New Roman" w:eastAsia="Times New Roman" w:hAnsi="Times New Roman"/>
          <w:sz w:val="18"/>
          <w:szCs w:val="18"/>
          <w:color w:val="231F20"/>
        </w:rPr>
        <w:t>has served as our EVP, General Counsel and Secretary since February 2024. Previously, he served as our SVP, General Counsel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Secretary from July 2022 until February 2024. Before joining us, Mr. Thompson served in various roles at Big 5 Sporting Goods, a sporting goods retailer, from 2002 to 2022, most recently as Executive Vice President, General Counsel and Secretary.</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Steven K. Wilson </w:t>
      </w:r>
      <w:r>
        <w:rPr>
          <w:rFonts w:ascii="Times New Roman" w:cs="Times New Roman" w:eastAsia="Times New Roman" w:hAnsi="Times New Roman"/>
          <w:sz w:val="18"/>
          <w:szCs w:val="18"/>
          <w:color w:val="231F20"/>
        </w:rPr>
        <w:t>has served as our EVP, Chief Purchasing Officer since January 2023. Previously, Mr. Wilson served as SVP, Chief Purchasing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Officer from September 2020 to December 2022, as our Senior Vice President of Purchasing from February 2018 to August 2020 and as our Vice President of Purchasing from July 2006 to January 2018. Prior to being appointed Vice President of Purchasing, Mr. Wilson served in various positions of increasing responsibility with us since 1994.</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Calvin Chung </w:t>
      </w:r>
      <w:r>
        <w:rPr>
          <w:rFonts w:ascii="Times New Roman" w:cs="Times New Roman" w:eastAsia="Times New Roman" w:hAnsi="Times New Roman"/>
          <w:sz w:val="18"/>
          <w:szCs w:val="18"/>
          <w:color w:val="231F20"/>
        </w:rPr>
        <w:t>has served as our SVP, Chief Store Development Officer since March 2023. Mr. Chung previously served as SVP &amp; Chief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Development Officer of Office Depot, a provider of retail consumer and small business products and services, from August 2018 to March 2023, as Senior Vice President, Global Real Estate at Levi Strauss &amp; Co., an international apparel company, from October 2016 to August 2018, and as Vice President, Real Estate Development—Asia at Walmart from February 2013 to October 2016. Prior to Walmart he served as Director of Property Development for Target Corporation.</w:t>
      </w:r>
    </w:p>
    <w:p>
      <w:pPr>
        <w:spacing w:after="0" w:line="7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The Board of Directors intends to appoint Lindsay E. Gray as Interim Chief Financial Officer, effective March 1, 2024, and she will continue to serve as Senior Vice President, Accounting. Ms. Gray will be principal financial officer during her interim service and will continue to be the principal accounting officer. Ms. Gray, age 39, has been our Senior Vice President, Accounting since January 2023. She also served as the Company's Vice President, Corporate Controller from August 2016 to December 2022. Previously, Ms. Gray worked at Beverages &amp; More, Inc. (dba BevMo!), a U.S. specialty beverage retailer, including as Controller from August 2015 to August 2016 and as Director of Financial Reporting from November 2010 to August 2015. In addition, Ms. Gray served as an Audit Senior at Deloitte and Touche LLP from September 2006 to July 2010.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The following risk factors are important to understanding various statements in this Annual Report on Form 10-K or elsewhere. The factors described below, individually or in the aggregate, could materially adversely affect our business, business prospects, financial condition, operating results, cash flows and stock price, and may cause actual results, performance or achievements in future periods to differ materially from those assumed, projected or contemplated. Moreover, we operate in a very competitive and rapidly changing environment, and new risks emerge from time to time.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As discussed under "Acquisition of United Grocery Outlet" in "Item 1. Business" on February 14, 2024, Grocery Outlet Inc., our wholly owned subsidiary, entered into a stock purchase agreement to acquire United Grocery Outlet. The transaction is expected to close early in the second quarter of fiscal 2024 and is subject to customary closing conditions. Unless otherwise stated, none of the disclosures in this Report reflect our pending acquisition of United Grocery Outlet.</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The following is a summary of the principal risks that could adversely affect our business, operations and financial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suppliers to consistently supply us with opportunistic products at attractive pricing, which is generally not in our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trends and maintain an appropriate level of opportunistic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or increase comparable store sales;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to our distribution network, the operations of our distributions centers and our timely receipt of inventory;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changes affecting the market prices of the products we sell;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newly opened stores;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open, relocate or remodel stores on schedule and on budget;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successful implementation of marketing, advertising and promotions;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reputation and the value of our brand, including protecting our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sufficient levels of cash flow from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substantial amounts of space;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integrate any acquired businesses;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climate change, power outages, major health epidemics, pandemic outbreaks, terrorist acts, global political events or other serious catastrophic events and the concentration of our business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participate effectively in the growing online retail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negative effects if we incur losses not covered by our insurance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labor relations and shortages;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train and retain highly qualified employees or the loss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remediate our material weakness in our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Environment</w:t>
      </w:r>
    </w:p>
    <w:p>
      <w:pPr>
        <w:spacing w:after="0" w:line="12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retail food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 of consumer trends toward private labels and away from name-brand products; risks associated with deploying our own private label brands;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IO Model</w:t>
      </w:r>
    </w:p>
    <w:p>
      <w:pPr>
        <w:spacing w:after="0" w:line="1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independent operators ("IOs");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IOs to successfully manage their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IOs to repay notes outstanding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IOs to avoid excess inventory shrink;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changeover of an 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against our 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challenges to the IO/independent contractor business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positive relationships with our 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our IOs could take that could harm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Systems, Data Protection and Cybersecurity</w:t>
      </w:r>
    </w:p>
    <w:p>
      <w:pPr>
        <w:spacing w:after="0" w:line="12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disruption to our information technology systems;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security of information we hold relating to personal information or payment card data of our customers, employees and suppliers;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Legal and Regulatory Risks</w:t>
      </w:r>
    </w:p>
    <w:p>
      <w:pPr>
        <w:spacing w:after="0" w:line="12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products we and our IOs sell;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laws and regulations generally applicable to retailers;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from customers, suppliers, employees, governments or competitors;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Associated with our Indebtedness</w:t>
      </w:r>
    </w:p>
    <w:p>
      <w:pPr>
        <w:spacing w:after="0" w:line="121"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affect our ability to operate our business, react to changes in the economy or industry or pay our debts and meet our obligations;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our debt agreements may restrict our ability to pursue our business strategies, and failure to comply with any of these restrictions could result in acceleration of our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Accounting, Tax and Financial Statement Matters</w:t>
      </w:r>
    </w:p>
    <w:p>
      <w:pPr>
        <w:spacing w:after="0" w:line="1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tax matters, including changes in tax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1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fluctuate and may fall short of prior periods, our projections or the expectations of securities analysts or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by us or our existing stockholders in the public market could cause the market price for our common stock to decline;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could delay or prevent a change of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231F20"/>
        </w:rPr>
        <w:t>Risks Related to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suppliers to consistently supply us with opportunistic products at attractive pricing, which is generally not in our control.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business is dependent on our ability to strategically source a sufficient volume and variety of opportunistic products at attractive pricing. While opportunistic buying, operating with appropriate inventory levels and frequent inventory turns are key elements of our business strategy, they subject us to risks related to the pricing, quantity, mix, quality and timing of inventory flowing to our stores. We do not have significant control over the supply, cost or availability of many of the opportunistic products offered for sale in our stores. Shortages or disruptions in the availability of quality products that excite our customers and drive customer traffic could have a material adverse effect on our business, financial condition and results of operations. As our store base continues to grow, our ability to secure opportunistic products in sufficient quantities may become more difficult.</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of our inventory is acquired through purchase orders and we generally do not have long-term contractual agreements with our suppliers that obligate them to provide us with products exclusively or at specified quantities or prices, or at all. Any of our current suppliers may decide to sell products to our competitors and may not continue selling products to us. In order to retain our competitive advantage, we need to continue to develop and maintain relationships with qualified suppliers that can satisfy our standards for quality and our requirements for delivery of products in a timely and efficient manner at attractive prices. The need to grow existing relationships and develop new relationships with qualified suppliers is particularly important as we seek to continue to expand our operations and enhance our product offerings in the future.</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Manufacturers and distributors of name-brand, large volume products have become increasingly consolidated. Further consolidation of manufacturers or distributors could reduce our supply options and detrimentally impact the terms under which we purchase products. If one or more of our existing significant suppliers were to be unable or unwilling to continue providing products to us on attractive terms, or at all, we may have difficulty finding replacement suppliers on commercially reasonable terms or at all. The loss of one or more of our existing significant suppliers or our inability to develop relationships with new suppliers could reduce our competitiveness, slow our plans for further expansion and cause our net sales and operating results to be materially adversely affected.</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supply chain is subject to risks, including distribution and transportation, labor disputes or constraints, union organizing activities, financial liquidity, inclement weather, natural disasters, significant public health and safety events, supply constraints and general economic and political conditions that could limit our suppliers' ability to provide us with quality products. As discussed elsewhere in these risk factors, these risks have in the past delayed or precluded, and may in the future delay or preclude, delivery of product to us on a timely basis or at all.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successfully identify trends to meet consumer demand and maintain an appropriate level of opportunistic products.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depend on repeat visits by our customer base to drive sales, and we rely on desirable opportunistic products at discounts to excite our customers to make such repeat visits. Consumer preferences often change rapidly and without warning. We may not successfully address consumer trends or be able to acquire desirable opportunistic products, and we expect competition for customers to increase as online shopping by customers continues to expand.</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generally make individual purchase decisions for products that become available, and these purchases may be for large quantities that we may not be able to sell on a timely or cost-effective basis. Some of our products are sourced from suppliers at significantly reduced prices for specific reasons, and we are not always able to purchase specific products on a recurring basis. To the extent that some of our suppliers are better able to manage their inventory levels and reduce the amount of their excess inventory, the amount of over-stock and short-dated products available to us could also be materially reduced, making it difficult to deliver products to our customers at attractive prices. Maintaining adequate inventory of quality, name-brand products requires significant attention and monitoring of market trends, local markets and developments with suppliers and our distribution network, and it is not certain that we or our IOs will be effective in inventory management.</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base our purchases of inventory, in part, on our sales forecasts. If our sales forecasts overestimate customer demand, we may experience higher inventory levels and need to take markdowns on excess or slow-moving inventory, leading to decreased profit margins. Conversely, if our sales forecasts underestimate customer demand, we may have insufficient inventory to meet demand, leading to lost sales, either of which could materially adversely affect our financial performance. In addition, a majority of the assortment in each Grocery Outlet store is selected by IOs based on local preference and shopping history, and the inability of the IOs to successfully identify trends in the local market could materially adversely affect our financial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long-term success depends in part on our ability and the ability of the IOs to maintain or increase comparable store sales, and if we are unable to continue to achieve comparable store growth over the long-term, our profitability and performance could be materially adversely impacted.</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IOs are responsible for store operations. Our success depends on, among other things, increasing comparable store sales through our opportunistic purchasing strategy and the ability of the IOs to increase sales and profits. To increase net sales, and therefore comparable store sales growth and profits, we and the IOs focus on delivering value and generating customer excitement by strengthening opportunistic purchasing, providing an increasing number of everyday products, optimizing inventory management, maintaining strong store conditions and effectively marketing current products and new product offerings. Competition and pricing pressures from competitors and suppliers may also materially adversely impact our comparable sales if we lose customers as a result.</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After many years of consecutive growth in comparable store net sales, we had year-over-year declines in fiscal 2021, primarily due to outsized financial performance in fiscal 2020 and continued impacts of the COVID-19 pandemic, including changes in consumer behavior, supplier issues and other related challenges. While fiscal 2022 and 2023 were years of comparable positive sales growth, our comparable store sales growth in future years could be lower than our historical average or our future target for many reasons, many of which we do not significantly control, including general economic conditions that may not favor our model, operational performance (including by the IOs), price inflation or deflation, or changes in response to competitive factors, changes in our existing supplier relationships or our inability to develop new supplier relationships, industry competition (e-commerce), new competitive entrants near our stores, price changes in response to competitive factors, any comparison year or quarter having above-average net sales results, possible supply shortages or other operational disruptions, the number and dollar amount of customer transactions in our stores, our ability to provide product or service offerings that generate new and repeat visits to our stores and the level of customer engagement that we and the IOs provide in our stores. In addition, we may not accurately model cannibalization by our new stores when we open new stores in established markets, which could reduce comparable store sales.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Significant disruption in our distribution network and our timely receipt of inventory has had in recent years, and could continue to have, an adverse impact on our operating performance.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on our distribution, transportation and technology network and systems to provide goods to our distribution centers and stores in a timely and cost-effective manner. Our stores are highly dependent on the successful operations of our distribution, transportation and technology networks, as IOs use these systems to order multiple deliveries per week and many of our products have a limited shelf life from the time of purchase, particularly opportunistic buys and fresh foods. Deliveries to our stores occur from our distribution centers or directly from our suppliers. We use three primary leased distribution centers that we operate and five primary distribution centers operated by third-parties. Any disruption, unanticipated or unusual expense or operational failure related to these processes and systems could affect store operations negatively. For example, during fiscal 2023 we replaced components of our enterprise resource planning system, including our financial ledger, inventory management platform and product data warehouse system. The implementation of these system upgrades resulted in ordering and inventory disruptions beginning in late August 2023, which resulted in reduced net sales and gross margin. Please also see the risk factor below entitled: "Any material challenges or difficulties in maintaining or updating our existing technology, including developing or implementing new technology could have a material adverse effect on our business or results of operations."</w:t>
      </w:r>
    </w:p>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also experienced ordering and inventory disruptions in recent years related to system issues at our third party distribution centers. If similar circumstances were to occur and persist, they could have a material adverse impact on our operations and our ability to generate sales and earn profits.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events beyond our control, such as disruptions in operations due to fire, adverse weather conditions or other catastrophic events or labor disagreements, may result in delays in the delivery of merchandise to our stores. While we maintain business interruption and cybersecurity insurance, in the event our distribution centers are shut down for any reason, such insurance may not be sufficient and any related insurance proceeds may not be timely paid to us, and our reputation and customer relationships could still be adversely impacted. Furthermore, there can be no guarantee that we will be able to renew the leases or third-party distribution and transportation contracts, as applicable, on our distribution centers on attractive terms or at all, which may increase our expenses and cause temporary disruptions in our distribution network.</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continue to implement our store growth strategy, our distribution centers may not have sufficient capacity to optimally support all of our stores and effectively managing our distribution network and distribution centers will become more complex. Our new store locations receiving shipments may be further away from our distribution centers, which may increase transportation costs and may create transportation scheduling strains, or may require us to add additional facilities to the network.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an extreme value retailer and compete to a substantial degree on price, changes affecting the market prices of the products we sell, many of which we cannot control, including due to inflation or deflation, competition, supplier increases in freight, supply or other operating costs, including energy prices, or worsening economic conditions, could materially adversely affect our financial condition and operating results.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critical differentiator of our business is our ability to offer value to our customers, including offering prices that are substantially below those offered by some of our competitors. We carefully monitor the market prices of our products in order to maintain our price advantage and reputation. Over the past couple years, we have experienced varying levels of inflation, resulting in part from various supply disruptions, increased shipping and transportation costs, increased commodity costs, increased labor costs in the supply chain and other disruptions caused by the recent economic environment, which we have not been able to fully offset through price increases. Our IOs have experienced increased costs related to labor and utilities, among others. If costs of goods continue to increase and our suppliers seek price increases from us, we may not be able to mitigate such increases and have sometimes, and may continue to, increase our prices, which could deter customer traffic and reduce the number and average basket size of customer transactions. Some of our larger competitors are in a better position to absorb cost increases while maintaining price competitiveness. If our competitors are more competitive on pricing relative to our pricing, we may lose customers and/or need to mark down prices. Our gross margins and profitability also may be adversely impacted by higher supply costs that we cannot fully pass along or if we need to lower product prices due to competition. As a result of our low-price model, the foregoing competitive pressures may reduce our profitability and materially adversely affect our business, financial condition and results of operations.</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newly opened stores may negatively impact our financial results in the short-term and/or may not achieve sales and operating levels consistent with our more mature stores on a timely basis or at all.</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actively pursued new store growth, including in new markets, and plan to continue doing so in the future. Our new store openings may not be successful or reach the sales and profitability levels of our existing stores, and may impact our ability to attract and develop potential IOs. Some new stores may be located in areas with different competitive and market conditions as well as different customer discretionary spending patterns than our existing markets. Some new stores and future new store opportunities may be located in new geographic areas where we have limited or no meaningful experience or brand recognition. We may experience a higher cost of entry in those markets as we build brand awareness and drive customers to incorporate us into their shopping habits.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New store openings may negatively impact our financial results in the short-term due to the effect of store opening costs and lower sales and contribution to overall profitability during the initial period following opening. New stores, particularly those in new markets, build their sales volume, brand recognition and customer base over time and, as a result, for approximately 4-5 years, generally have lower margins and higher operating expenses as a percentage of sales than our more mature stores. New stores may not achieve sustained sales and operating levels consistent with our more mature store base on a timely basis or at all. This lack of performance may have a material adverse effect on our financial condition and operating results.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not anticipate all of the challenges imposed by the expansion of our operations into new geographic markets. We may not manage our expansion effectively, and our failure to achieve or properly execute our expansion plans could limit our growth or have a material adverse effect on our business,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growth strategy is highly dependent on our ability to identify and open future store locations and relocate or remodel existing store locations in new and existing markets.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new store growth remains our biggest driver of long-term stockholder value. We opened </w:t>
      </w:r>
      <w:r>
        <w:rPr>
          <w:rFonts w:ascii="Times New Roman" w:cs="Times New Roman" w:eastAsia="Times New Roman" w:hAnsi="Times New Roman"/>
          <w:sz w:val="18"/>
          <w:szCs w:val="18"/>
          <w:color w:val="231F20"/>
        </w:rPr>
        <w:t>28</w:t>
      </w:r>
      <w:r>
        <w:rPr>
          <w:rFonts w:ascii="Times New Roman" w:cs="Times New Roman" w:eastAsia="Times New Roman" w:hAnsi="Times New Roman"/>
          <w:sz w:val="18"/>
          <w:szCs w:val="18"/>
          <w:color w:val="auto"/>
        </w:rPr>
        <w:t xml:space="preserve"> new stores in fiscal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Our ability to open stores in a timely and successful manner depends in part on the following factors: the availability of attractive store locations (including stores that will not compete significantly with existing stores and that can be reasonably serviced by our distribution network) and rent prices; the costs of construction and the availability of construction labor and materials; the absence of entitlement processes or occupancy delays; the ability to negotiate acceptable lease and development terms; our relationships with current and prospective landlords; the ability to attract potential IOs who are strong entrepreneurs; the ability to secure and manage the inventory necessary for the launch and operation of new stores; the availability of capital funding for expansion; and general economic conditions. Any or all of these factors and conditions could materially adversely affect our growth and profitability.</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long-term goal is to expand our store base by approximately 10% annually on average over the next several years. However, we cannot assure you that we will be able to consistently (on a year-over-year basis) achieve a high level of new store growth. Over the last few years, planned construction and opening of new stores have been, and may continue to be, negatively impacted due to labor and materials shortages as well as longer lead times in lease execution, site permitting and construction. These challenges impacted our organic new store growth in fiscal 2022 and 2023 and 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expected to impact organic growth in fiscal 2024 as well. Additionally, we may expand into neighboring states and regions in the United States and/or engage in acquisitions (such as our pending acquisition of United Grocery Outlet) to meet our growth goals, and such expansion heightens the risks, challenges and uncertainties of development. We may not have the level of cash flow or financing necessary to support our growth strategy. Further, much of our new store growth is in new markets where we do not have the same brand recognition at this time. Our proposed expansion will place increased demands on our operational, managerial and administrative resources. These increased demands could cause us to operate our existing business less efficiently, which in turn could cause deterioration in the financial performance of our existing stores. If we experience a decline in performance, we may slow or discontinue store openings, or we may decide to close stores that are unable to operate in a profitable manner. If we fail to successfully implement our growth strategy, including by opening new stores on a timely basis and on budget, our operations, financial condition and operating results would be materially and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depends upon the successful implementation of our marketing, advertising and promotional efforts.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promote brand awareness and drive customers to shop through centralized marketing initiatives along with local IO marketing efforts. We and the IOs use marketing and promotional programs to attract customers into our stores and to encourage purchases. If we or the IOs are unable to develop and implement effective marketing, advertising and promotional strategies, we may be unable to achieve and maintain brand awareness and repeat store visits. We may not be able to advertise cost effectively in new or smaller markets in which we have fewer stores, which could slow growth at such stores. Changes in the amount and degree of promotional intensity or merchandising strategies by our competitors could cause us to have difficulties in retaining existing customers and attracting new customers. If the efficacy of our marketing or promotional activities declines or if such activities of our competitors are more effective than ours, it could have a material adverse effect on our business, financial condition and results of operations.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While we have launched a mobile personalization app in some states and are increasing the rollout to additional states in fiscal 2024, which informs customers of new and top selling items, provides curated product recommendations and tracks savings, we do not maintain a traditional loyalty program for customers, and our competitors may be able to offer their customers promotions or loyalty program incentives that could result in fewer shopping trips to or purchases from our stores. If we are unable to retain the loyalty of our customers, our sales could decrease and we may not be able to grow our store base as planned, which could have a material adverse effect on our business, financial condition and results of operations. Certain of our competitors have established, long-standing, mobile apps and personalized marketing. There can be no assurance that our investment in this area will be repaid.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our reputation and the value of our brand, including protection of our intellectual property rights, our sales and operating results may decline and the carrying value of our goodwill and other intangible assets may be impaired.</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our continued success depends on our ability to maintain and grow the value of our brand. Brand value is based in large part on perceptions of subjective qualities. The reputation of our company and our brand may be damaged in all, one or some of the markets in which we do business, by adverse events at the corporate level or by an IO acting outside of Grocery Outlet's brand standards, or by action (or inaction), by us or our IOs on issues like social policies, merchandising, compliance related to social, product, labor and environmental standards or other sensitive topics. Further, any perceived lack of transparency about such matters, could harm our reputation. The increasing use of social media platforms and online forums may increase the chance that an adverse event could negatively affect the reputation of our brand. The online dissemination of negative information about our brand, including inaccurate information, could harm our reputation and our brand.</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regard our intellectual property, including trademarks and service marks, as having significant value, and our brand is an important factor in the marketing of our stores. We monitor and protect against activities that might infringe, dilute or otherwise violate our trademarks and other intellectual property and rely on trademark and other laws of the United States, but we may not be able or willing to successfully enforce our trademarks or intellectual property rights against competitors or challenges by others. For example, we are aware of certain companies in jurisdictions where we do not currently operate using the term "GROCERY OUTLET." Moreover, we have disclaimed the terms "GROCERY OUTLET" and "MARKET" with respect to our "GROCERY OUTLET BARGAIN MARKET" trademarks, among other disclaimed terms with respect to our registered trademarks and trademark applications. If a third party uses such disclaimed terms in its trademarks, we cannot object to such use. Additionally, if we fail to protect our trademarks or other intellectual property rights, others may copy or use our trademarks or intellectual property without authorization, which may harm the value of our brand, reputation, competitive advantages and goodwill and adversely affect our financial condition, cash flows or results of operations. Actions we have taken to establish and protect our intellectual property rights may not be adequate.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may in the future be opposition and cancellation proceedings from time to time with respect to some of our intellectual property rights. We have initiated, and may in the future initiate, oppositions and cancellation proceedings to thwart third party filings that encroach upon our intellectual property rights. In some cases, litigation may be necessary to protect or enforce our trademarks and other intellectual property rights. Furthermore, third parties may assert intellectual property claims against us, and we may be subject to liability, required to enter into costly license agreements, if available at all, required to rebrand our products and/or prevented from selling some of our products if third parties successfully oppose or challenge our trademarks or successfully claim that we infringe, misappropriate or otherwise violate their trademarks, copyrights, patents or other intellectual property rights. Bringing or defending any such claim, regardless of merit, and whether successful or unsuccessful, could be expensive and time-consuming and have a negative effect on our business, reputation, results of operations and financial condition.</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brand value and intellectual property represents a significant portion of our goodwill and intangible assets. Accounting rules require us to review the carrying value of our goodwill and other intangible assets for impairment annually or whenever events or changes in circumstances indicate that the carrying value of such assets may not be fully recoverable. If the testing performed indicates that impairment has occurred, we are required to record a non-cash impairment charge. The testing goodwill and intangible assets for impairment requires us to make estimates that are subject to significant assumptions. Changes in our estimates, or changes in actual performance compared with these estimates, may affect the fair value of goodwill or intangible assets, which also may result in an non-cash impairment charge. If a significant amount of our goodwill and other intangible assets were deemed to be impaired, our financial condition and results of operations could be materially adversely affected.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cash flow from operations may not provide sufficient capital to support our expanding business and execute our growth strategy, including to pay our lease obligations, build out new stores and distribution centers, remodel our stores, purchase opportunistic inventory, pay employees competitive wages and provide benefits, continue the ongoing modernization, enhancement and maintenance of our information systems, make loans to IOs and further invest in the business. Further, our plans to grow our store base may create cash flow pressure if new locations do not perform as projected.</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need to obtain additional funds through public or private financings, collaborative relationships or other arrangements. Any equity financing or convertible financing that we may pursue could result in additional dilution to our existing stockholders and would be subject to capital market conditions at the time of any offering. Debt financing, if available, would increase our leverage and may involve restrictive covenants that could affect our ability to raise additional capital or operate our business. Additional financing may not be available to us on attractive terms to us, if at all. Inability to obtain necessary or desired liquidity could impede our competitive position, business, financial condition and results of operations and we may need to delay, limit or eliminate planned store openings or operations or other elements of our growth strategy.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currently lease substantially all of our store locations, primary distribution centers and administrative offices (including our headquarters in Emeryville, California), and a number of these leases expire or are up for renewal each year. Our operating leases typically have initial lease terms of </w:t>
      </w:r>
      <w:r>
        <w:rPr>
          <w:rFonts w:ascii="Times New Roman" w:cs="Times New Roman" w:eastAsia="Times New Roman" w:hAnsi="Times New Roman"/>
          <w:sz w:val="18"/>
          <w:szCs w:val="18"/>
          <w:color w:val="231F20"/>
        </w:rPr>
        <w: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years with renewal options for two or three successive five-year periods at our discretion</w:t>
      </w:r>
      <w:r>
        <w:rPr>
          <w:rFonts w:ascii="Times New Roman" w:cs="Times New Roman" w:eastAsia="Times New Roman" w:hAnsi="Times New Roman"/>
          <w:sz w:val="18"/>
          <w:szCs w:val="18"/>
          <w:color w:val="000000"/>
        </w:rPr>
        <w:t>.</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Typically, the largest portion of a store's operating expense that we bear is the cost associated with leasing the location. Our total lease payment obligations for all operating leases in existence as of December 30, 2023 was $132.6 million for fiscal 2024 and $1.4 billion in aggregate for fiscal years 2025 through 2043, and these obligations will increase as we open new stores that are leased. We are also generally responsible for property taxes, insurance and common area maintenance for our leased properties. If we are unable to make the required payments under our leases, the lenders or owners of the relevant leased properties, distribution centers or administrative offices may, among other things, repossess those assets, which could adversely affect our ability to conduct our operations. In addition, our failure to make payments under our operating leases could trigger defaults under other leases or under our 2023 Credit Agreement (defined below), which could cause the counterparties under those agreements to accelerate the obligations due thereunder.</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operating leases for our store locations, distribution centers and administrative offices expire at various dates through 2043. When the lease term for our stores expire, we may be unable to negotiate renewals, either on commercially reasonable terms or at all, which could cause us to close stores or to relocate stores within a market on less favorable terms.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cause us to close stores in desirable locations, which could have a material adverse impact on our results of operations.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Over time, current store locations may not continue to be desirable because of changes in demographics within the surrounding area or a decline in shopping traffic. While we have the right to terminate some of our leases under specified conditions, we may not be able to terminate a particular lease if or when we would like to do so. If we decide to close stores, we are generally required to continue to perform obligations under the applicable leases, which generally include paying rent and operating expenses for the balance of the lease term. When we assign leases or sublease space to third parties, we may have to pay a portion of the rent and other expenses and we can remain liable on the lease obligations if the assignee or sublessee does not perform.</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Although historically we have not consummated material acquisitions, we recently entered into an agreement to purchase United Grocery Outlet and we periodically consider acquisitions and other transactions as part of our long-term business and real estate strategy. If we consummate any such transaction, a failure to integrate such assets and business successfully, could have a material adverse effect on our business and financial statements.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Historically, we have rarely pursued or consummated material acquisitions, investments or joint ventures, although we periodically consider such opportunities as part of our growth strategy to complement our current business by enhancing our customer base, geographic penetration and scale. On February 14, 2024 we entered into a stock purchase agreement to acquire United Grocery Outlet, which includes 40 stores in six adjacent states we do not operate in currently (Tennessee, North Carolina, Georgia, Alabama, Kentucky and Virginia) and a company-operated distribution center. We expect this transaction to close early in the second quarter of fiscal 2024. Finding and assessing a potential growth opportunity and completing a transaction involves extensive due diligence, management time and expense, all of which diverts management's attention and liquidity that could be applied to our existing core business.</w:t>
      </w:r>
    </w:p>
    <w:p>
      <w:pPr>
        <w:spacing w:after="0" w:line="8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Furthermore, the success of any acquisition, including our pending acquisition of United Grocery Outlet, is dependent, in part, on our ability to realize the expected benefits from the integration of the acquired businesses or assets. We may incur unexpected liabilities or make incorrect estimates regarding the planned accounting for acquisitions, such as the need to record non-recurring charges or write-off of significant amounts of goodwill or other assets that could adversely affect our results of operations, and we could have unexpected challenges due to the limitations of our due diligence process or contractual provisions. Further, the integration of acquired businesses is a complex, costly and time-consuming process that requires significant management attention and resources. It is possible that the integration process could result in the loss of key employees, the disruption of our operations, inconsistencies in and incompatibility of information technology and accounting systems, as well as other compliance standards, controls, procedures and policies, difficulties in achieving anticipated cost savings, synergies, business opportunities and growth prospects from the acquisition, additional litigation, compliance or regulatory risk (including post-closing disputes with the transaction parties), the diversion of management’s attention to integration matters and difficulties in the assimilation of employees and corporate cultures. We also may be unable to maintain relationships with customers and partners of the acquired entities, or such transaction could harm our existing business relationships. Further, the historical business model and strategy of the acquired business and the Company may be materially different, and therefore there may be heightened risks to operating the acquired business prior to integration, or to the extent certain operations and strategy are not integrated. Given our limited history in consummating such transactions, the foregoing risks may be heightened due to our lack of experience in integrating similar businesses.</w:t>
      </w:r>
    </w:p>
    <w:p>
      <w:pPr>
        <w:spacing w:after="0" w:line="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for significant transactions, we may expect to incur additional debt, assume contingent liabilities, issue equity and/or increase capital expenditures, which may increase leverage risks, result in dilution or reduce capital available for other investments in ongoing operations.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we believe that our success depends, in substantial part, on our ability to continue to maintain and enhance our brand. If any acquisition or investment dilutes or otherwise adversely affects our existing brand, causes brand confusion or impairs our ability to enhance our brand, our business, financial condition, and results of operations could be adversely impacted.</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Natural or man-made disasters, climate change, power outages, major health epidemics, pandemics, terrorist acts, political events and other serious catastrophic events could disrupt our business, may expose us to unexpected costs and negatively affect our financial performance. The current concentration of our stores creates an exposure to local or regional impacts of such events and local economic downturns.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has been and could in the future be severely impacted by natural or man-made disasters and unusual weather conditions (which may become more frequent due to climate change), power outages, pandemic outbreaks, terrorist acts, global political events and other serious catastrophic events beyond our control. In the event of a natural or man-made disaster, governments have and, in the future, may declare a state of emergency and impose regulations 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operations. These occurrences could adversely impact our business by causing direct asset or inventory losses or physical damage to our distribution centers or our stores, store closures, reduced customer traffic or changed shopping behaviors, disruptions to production, supply and delivery of products to our stores, staffing shortages, increased costs or disruptions to our information systems and other systems. With respect to future outbreaks, to the extent that a pathogen is, or is perceived to be, food-borne, the price and availability of certain food products may be impacted and could cause our customers to consume less of such product.</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30, 2023, we operated 267 stores and distributed product from four distribution centers in California in addition to having our administrative offices in California, making California our largest market, representing 57% of our total stores. As a result, our business is currently more susceptible to any unforeseen events or circumstances of the types described above that negatively affect these areas as well as regional conditions, economic downturns or disruptions, such as changes in demographics, population and employee bases, wage increases, property tax increases, and changes in economic conditions, than the operations of more geographically diversified competitors. For example, there have been significant fires across the west coast of the United States over the last several years, causing a number of stores to be closed as well as suffer inventory losses related to power outages and evacuations. In 2018, our store in Paradise, California, burned down entirely. The frequency and severity of wildfires may increase in the future due to climate change.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United States and other countries have experienced, and may experience in the future, major health epidemics related to viruses or other pathogens. Epidemics, or the perception that such epidemics may occur, may cause people to avoid gathering in public places, which may adversely affect our customer traffic, our ability and that of our IOs to adequately staff our stores and operations, and our ability to transport product on a timely basis.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Furthermore, the long-term impacts of climate change are expected to be widespread and unpredictable. Climate change poses both physical risks (posed by extreme weather conditions, drought, and/or rising sea levels), and transition risks (posed by regulatory changes or reputational risks). These factors could, among other negative consequences, increase our energy costs, damage our stores or distribution centers, disrupt our supply chain, negatively impact our workforce or reputation, and increase compliance and technology costs. Any of these occurrences may disrupt our business and materially adversely affect our financial condition and results of operations and the occurrence of any of these events in a region where our stores or other operations are concentrated may increase the impact of such disruption and adverse effect.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very limited experience competing in the growing online retail marketplace.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2021 and 2022, we entered into partnerships with three third party grocery delivery companies to provide online shopping at our stores. Certain of our competitors and a number of pure online retailers have established robust online operations and significantly increased their online sales and presence in recent years.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Increased competition from online grocery retailers and our lack of a robust online retail presence may reduce our customers' desire to purchase products from us. If we decide to expand our online shopping business, we will be exposed to new risks and challenges. Furthermore, there can be no assurance that any investments that we make to expand our online shopping capabilities will result in a positive return on investment. These factors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losses not covered by our insurance or claims may differ from our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insurance coverage may not be sufficient, and any related insurance proceeds may not be timely paid to us. Our insurance coverage reflects deductibles, self-insured retentions, limits of liability and similar provisions that we believe are reasonable based on our operations. However, there are types of losses we may incur but against which we cannot be insured or which we believe are not economically reasonable to insure, such as losses due to acts of war, employee and certain other crime, certain wage and hour and other employment-related claims, including class actions, actions based on certain consumer protection laws and some natural and other disasters or similar events. If we incur these losses and they are material, our business could suffer. Further, injured parties with claims against our IOs may bring actions against us if our IOs failed to secure and retain adequate insurance.</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types of events, such as earthquakes or wildfires, may result in sizable losses for the insurance industry and adversely impact the availability of adequate insurance coverage or result in excessive premium increases. Our retail stores located in California, and the inventory in those stores, are not currently insured against losses due to earthquakes. We have experienced significant challenges in renewing the insurance policies for our stores and insurers have incurred substantial losses related to property claims from fires, floods and other catastrophic events and are significantly increasing policy premiums, increasing their requirements around building engineering standards or cutting back capacity for coverage offerings to layered/quota share. For example, there have been significant fires across the west coast of the United States over the last several years. In 2018, our store in Paradise, California, burned down entirely and we have also suffered inventory losses related to power outages and evacuations due to fires. These risks may be exacerbated in the future due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climate change. To offset negative insurance market trends, we may elect to increase our self-insurance coverage, accept higher deductibles or reduce the amount of coverage.</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currently self-insure, or insure through captive insurance companies, a significant portion of expected losses under our workers' compensation, automobile liability and general liability insurance programs. Unanticipated changes in any applicable actuarial assumptions and management estimates, could result in materially different expenses than expected under these programs, which could have a material adverse effect on our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relation difficulties could materially adversely affect our business.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Employees at two Company-operated stores are represented by the United Food and Commercial Workers Union. Our employees and those of the IOs have the right at any time to form or affiliate with a union. As we continue to grow, enter different regions and operate distribution centers, unions may attempt to organize the employees of our different IOs or our distribution centers within certain regions. If we determine to open more Company-operated stores, we may have additional employees represented by unions. We cannot predict the adverse effects that any future organizational activities will have on our business, financial condition and operating results. If we or the IOs were to become subject to work stoppages, we could experience disruption in our operations and increases in our labor costs, either of which could materially adversely affect our business, financial condition and operating results.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or our IOs are unable to attract, train and retain qualified employees, our financial performance may be negatively affected. Additionally, our success depends in part on our executive officers and other key personnel.</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future growth, performance and positive customer experience depends on our and the IOs' ability to attract, train, retain and motivate qualified employees who understand and appreciate our culture and are able to represent our brand effectively and establish credibility with our business partners and customers. We and the IOs face intense competition for management personnel and hourly employees. If we and the IOs are unable to attract and retain adequate numbers of qualified employees, our operations, customer service levels and support functions could suffer. There is no assurance that we and the IOs will be able to attract or retain highly qualified employees to operate our business.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we believe that our success depends to a significant extent on the skills, experience and efforts of our executive officers and other key personnel. Due to the uniqueness of our model, the unexpected loss of services of any of our executive officers or other key personnel could have a material adverse effect on our business and operations. In December 2022, our then Chief Executive Officer transitioned to the role of Chairman of the Board, and effective March 1, 2024, our Chief Financial Officer will be departing to pursue another opportunity. There can be no assurance that our executive succession planning, retention or hiring efforts will be successful. Competition for skilled and experienced management in our industry is intense, and we may not be successful in attracting and retaining qualified personnel. We do not maintain key person insurance on any of our key personnel.</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Difficulties associated with the replacement of components of our enterprise resource planning system caused a material weakness our internal control over financial reporting. If we are unable to remediate the material weakness in our internal control over financial reporting or if we experience other material weaknesses, it may negatively impact our ability to meet our reporting obligations and cause investors to lose confidence in our reported financial information, which in turn could cause the trading price of our common stock to decline.</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disclosed in "Item 9A. Controls and Procedures" of this Annual Report on Form 10-K, in connection with the preparation of financial statements for fiscal 2023, management determined that we had a material weakness in our internal control over financial reporting pertaining to certain information technology general computer controls that were insufficient during the replacement of components of our enterprise resource planning system in late August 2023, which led to a significant increase in the volume of transactions across user access, program change management, and IT operations for which our existing controls were not designed to address. Our remediation efforts began during the fiscal quarter ended December 30, 2023 and are expected to be completed during the current fiscal year ending December 28, 2024. We cannot assure that the measures we have taken to date and may take in the future will be sufficient to remediate the control deficiencies that led to our material weakness or that we will prevent or avoid potential future material weaknesses. Any weaknesses or deficiencies or any failure to implement required new or improved controls, or difficulties encountered in the implementation or operation of these controls, could harm our operating results and cause us to fail to meet our financial reporting obligations, our obligations under our debt instruments or result in material omissions or misstatements in our financial statements. Any material weakness (including the material weakness referenced above) and our failure to remediate such material weakness could have a material adverse effect on our business and financial statements, as well as our reputation and reduce our stock price. Additionally, material weaknesses could result in litigation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regulatory actions by the SEC or other regulatory authorities or other disputes involving federal and state securities laws, loss of investor confidence, and diversion of financial and management resources from the operation of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231F20"/>
        </w:rPr>
        <w:t>Risks Related to Our Business Environment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Economic conditions and other economic factors may materially adversely affect our financial performance and other aspects of our business by negatively impacting our customers' disposable income or discretionary spending, increasing our costs and expenses, affecting our ability to plan and execute our strategic initiatives, and materially adversely affecting our sales, results of operations and performance.</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General conditions in the United States and global economy that are beyond our control may materially adversely affect our business and financial performance. While we have not previously been materially adversely affected by periods of decreased consumer spending, any factor that could materially adversely affect the disposable income of our customers could decrease our customers' spending and number of trips to our stores, which could result in lower sales, increased markdowns on products, a reduction in profitability due to lower margins and may require increased selling and promotional expenses. These factors include but are not limited to unemployment, minimum wages, significant public health and safety events, inflation and deflation, the threat, outbreak or escalation of terrorism, military conflicts, or other hostilities and related international sanctions (such as the ongoing Russia-Ukraine or Middle East conflicts), trade wars and interest and tax rates.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of the factors identified above also affect commodity rates, costs of transportation, leasing, labor, insurance and healthcare, the strength of the U.S. dollar, measures that create barriers to or increase the costs associated with international trade, changes in laws, regulations and policies and other economic factors, all of which may impact our cost of goods sold and our selling, general and administrative expenses, which could materially adversely affect our business, financial condition and results of operations. These factors could also materially adversely affect our ability to plan and execute our strategic initiatives, invest in and open new stores, prevent current stores from closing, and may have other material adverse consequences which we are unable to fully anticipate or control, all of which may materially adversely affect our sales, cash flow, results of operations and performance. We have limited or no ability to control many of these factors.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Food retailers provide alternative options for consumers and compete aggressively to win those consumers; our failure to offer a compelling value proposition to consumers could limit our growth opportunities.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retail food industry includes mass and discount retailers, warehouse membership clubs, online retailers, conventional grocery stores and specialty stores. These businesses provide alternative options for the consumers whom we aim to serve. Our success relative to these retailers is driven by a combination of factors, primarily product selection and quality, price, location, customer engagement and store format. Our success depends on our ability to differentiate ourselves and provide value to our customers, and our failure to do so may negatively impact our sales. To the extent that other food retailers lower prices or run promotions, our ability to maintain profit margins and sales levels may be negatively impacted. We and the IOs may have to increase marketing expense to attract customers, and may have to mark down prices to be competitive and not lose market share. This limitation may materially adversely affect our margins and financial performance.</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Competition for customers has intensified as other discount food retailers, such as Aldi, Lidl and WinCo have moved into, or increased their presence in, our geographic and product markets. We expect this competition to continue to increase. In addition, we experience high levels of competition when we enter new markets. Some of the other food retailers may have been in the region longer and may benefit from enhanced brand recognition in such regions. Some food retailers may have greater financial or marketing resources than the IOs do and may be able to devote greater resources to sourcing, promoting and selling their products than the IOs. As competition in certain regions intensifies, or we move into new regions or other food retailers open stores in close proximity to our stores, we may experience a loss of sales, decrease in market share, reduction in margin from competitive price changes or greater operating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consumer trends move toward private label and away from name-brand products, our competitive position in the market may weaken.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Additionally, our private label brands may not be successful and may increase certain risks that we face.</w:t>
      </w:r>
    </w:p>
    <w:p>
      <w:pPr>
        <w:spacing w:after="0" w:line="9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business model has traditionally relied on the sale of name-brand products at meaningful discounts to drive frequent store visits and net sales. Consumer acceptance of, and even preference for, private label products has been increasing, however, and a trend away from name-brand products could weaken our competitive position in the market. Private label products tend to be lower priced than name-brand products and, as a result, we may have more difficulty competing against private label products on the basis of price. While we have started to invest in developing and selling our own private labels, there can be no assurance that the performance of any such private label products would be sufficient to offset the potential decreased sales of name-brand products. In addition, as we invest in and deploy our private label products, we are subjected to various new risks and regulations including product liability claims, claims related to product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labeling, claims related to rights of third parties and other risks associated with entities that source, sell and market exclusive private label offerings for retailers. Any failure to appropriately address some or all of these risks could have a material adverse effect on our sales, business, results of operations and financial condition.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231F20"/>
        </w:rPr>
        <w:t>Risks Related to Our IO Model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attract and retain qualified IOs, our financial performance may be negatively affected.</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Our future growth and performance depend on our ability to attract, develop and retain qualified IOs who can effectively and efficiently run stores, understand and appreciate our culture and are able to represent our brand effectively, in particular because the vast majority of our IOs operate a single store. A material decrease in profitability of the IOs may make it more difficult for us to attract and retain qualified IOs. </w:t>
      </w:r>
      <w:r>
        <w:rPr>
          <w:rFonts w:ascii="Times New Roman" w:cs="Times New Roman" w:eastAsia="Times New Roman" w:hAnsi="Times New Roman"/>
          <w:sz w:val="18"/>
          <w:szCs w:val="18"/>
          <w:color w:val="231F20"/>
        </w:rPr>
        <w:t>Our relationship with the IOs is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important part of our business. To alleviate the disruption caused by our system upgrades, we elected to provide incremental commission support to IOs beginning in the third quarter of fiscal 2023 and extending into the first quarter of fiscal 2024.</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we use a variety of methods to attract and develop the IOs, including through our Aspiring Operators in Training ("AOT") program, there can be no assurance that we will continue to be able to recruit and retain a sufficient number of qualified AOTs and other candidates to open successful new locations in order to meet our growth targets. Our ability to maintain our current performance and achieve future growth additionally depends on the IOs' ability to meet their labor needs while controlling wage and labor-related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IOs are not successful in managing their business, our financial results and brand image could be negatively affected.</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financial health and operational effectiveness of the IOs is critical to their and our success. The IOs are business entities owned by entrepreneurs who generally live in the same community as the store that they operate as our independent contractor. IOs are responsible for operating their store consistent with our brand standards, hiring and supervising store-level employees, merchandising and selling products, conducting local marketing, connecting with their community and complying with applicable laws, and managing and paying the expenses associated with their business. Although we select IOs through a rigorous vetting and training process, and continue to help IOs develop their business skills after they enter into an Operator Agreement with us, it is difficult to predict in advance whether a particular IO will be successful. If an IO is unable to successfully establish, manage and operate the store, their store's performance and quality of service could be materially adversely affected. In addition, any poor performance could negatively affect our financial results and our brand reputation.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of the IOs to repay notes outstanding to us may materially adversely affect our financial performance.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extend financing to IOs for their initial startup costs in the form of notes payable to us that bear interest at rates between 5.50% and 9.95%. There can be no assurance that any IO, will achieve long-term store volumes or profitability that will allow them to repay any amounts due nor is there any assurance that any IO will be able to repay amounts due through other means.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outstanding aggregate balance of notes receivable from IOs has increased over time as we have accelerated new store growth combined with increases to initial IO capital and working capital requirements. This balance may continue to increase as we open new stores. There were $41.1 million and $37.5 million of notes to IOs outstanding as of December 30, 2023 and December 31, 2022, respectively, with allowances of $11.2 million and $13.2 million as of December 30, 2023 and December 31, 2022,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IOs are unable to avoid excess inventory shrink, our business and results of operations may be adversely affected.</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IOs order merchandise solely from us, which we, in turn, deliver to IOs on a consignment basis. As a result, we retain ownership of all merchandise until the point in time that merchandise is sold to a customer. The IOs, however, are responsible for inventory management at their stores. Any spoiled, damaged or stolen merchandise, markdowns or price changes impact gross profit and, therefore, IO commission. We generally split these losses equally with IOs, however, excessive levels of shrink are deducted from commissions paid to IOs. Excessive shrink generally indicates poor inventory management and the IO's failure to use due care to secure their store against theft. If IOs were to not effectively control or manage inventory in their stores, they could experience higher rates of inventory shrink which could have a material adverse effect on their financial health, which in turn, may materially and adversely affect our business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Operator Agreements may be terminated by either party and upon short notice, and any loss or changeover of an IO may cause material business disruptions.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Operator Agreement is subject to termination by either party without cause upon 75 days' notice. We may also terminate immediately "for cause." The "for cause" termination triggers include, among other things, a failure to meet our brand standards, misuse of our trademarks and actions that in our reasonable business judgment threaten to harm our business reputation.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or an IO terminates the Operator Agreement then we must approve a new IO for that store. Any IO changeover consumes substantial time and resources. Often, a changeover will involve more than one transition, as an IO may move from an existing store, thereby creating an opening at the IO's previous store. A failure to transition a store successfully to another IO can negatively impact the customer experience or compromise our brand standards. Termination of an Operator Agreement could therefore result in the reduction of our sales and operating cash flow, and may materially adversely affect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Legal proceedings initiated against the IOs could materially impact our business, reputation, financial condition, results of operations and cash flows.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and the IOs are subject to a variety of litigation risks, including, but not limited to, individual personal injury, product liability, intellectual property, employment-related actions, litigation with or involving our relationship with IOs and property disputes and other legal actions in the ordinary course of our respective businesses. If the IOs are unable to provide an adequate remedy in a legal action, the plaintiffs may attempt to hold us liable. We maintain that under current applicable laws and regulations we are not joint employers with the IOs, and should not be held liable for their actions. However, these types of claims may increase costs and affect the scope and terms of insurance or indemnifications we and the IOs may have.</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Operator Agreements require each IO to maintain certain insurance types and levels. Losses arising from certain extraordinary hazards, employment matters or other matters, however, may not be covered, and insurance may not be available (or may be available only at prohibitively expensive rates) with respect to many other risks, or IOs may fail to procure the required insurance. Moreover, any loss incurred could exceed policy limits and policy payments made to IOs may not be made on a timely basis.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Any legal actions against the IOs may negatively affect the reputation of our brand, which could result in a reduction of our sales and operating cash flow, which could be material and which could adversely affect our business, financial condition and results of operations.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 the past, certain business models that use independent contractors to sell directly to customers have been subject to challenge under various laws, including laws relating to franchising, misclassification and joint employment. If our business model is determined to be a franchise, if IOs are found not to be independent contractors, but our employees, or if we are found to be a joint employer of an IO's employees, our business and operations could be materially adversely affected.</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IOs are independent contractors. Independent contractors and the companies that engage their services have come under increased legal and regulatory scrutiny in recent years as courts have adopted new standards for these classifications and federal legislators continue to introduce legislation concerning the classification of independent contractors as employees, including legislation that proposes to increase the tax and labor penalties against employers who intentionally or unintentionally misclassify employees as independent contractors and are found to have violated employees' overtime or wage requirements. Federal and state tax and other regulatory authorities and courts apply a variety of standards in their determination of independent contractor status. For example, the California state legislature enacted AB-5, which became effective in California on January 1, 2020. AB-5 codified a new test for determining worker classification that is much narrower than the traditional standard in defining the scope of who is classified as an independent contractor. There has been limited guidance to date regarding interpretation or enforcement, and there is a significant degree of uncertainty regarding its application. In addition, AB-5 has been the subject of widespread national discussion and it is possible that other jurisdictions may enact similar laws. There is a risk that a governmental agency or court could disagree with our assessment that IOs are independent contractors or that other laws and regulations could change. If any IOs were determined to be our employees, we would incur additional exposure under federal and state tax, workers' compensation, unemployment benefits, labor, employment, environmental and tort laws, which could potentially include prior periods, as well as potential liability for employee benefits and tax withholdings.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Even if IOs are properly classified as independent contractors, there is a risk that a governmental agency or court might disagree with our assessment that each IO is the sole employer of its workers and seek to hold us jointly and separately responsible as a co-employer of an IO's workers. In this case, we would incur additional exposure under federal and state tax, workers' compensation, unemployment benefits, labor, employment and tort laws, which could potentially include prior periods, as well as potential liability for employee benefits and tax withholdings since joint employers are each separately responsible for their co-employees' benefits. A misclassification ruling would mean that both IOs and IOs' employees are our employees.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continue to observe and monitor our compliance with current applicable laws and regulations, but we cannot predict whether laws and regulations adopted in the future, or standards adopted by the courts, regarding the classification of independent contractors will materially adversely affect our business or operations. Further, if we were to become subject to franchise laws or regulations, it would require us to provide additional disclosures, register with state franchise agencies, impact our ability to terminate our Operator Agreements and may increase the expense of, or adversely impact our recruitment of new IOs.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our ability to maintain positive relationships with the IOs and any failure to maintain our relationships on positive terms could materially adversely affect our business, reputation, financial condition and results of operations.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IOs develop and operate their stores under terms set forth in our Operator Agreements. These agreements give rise to relationships that involve a complex set of mutual obligations and depend on mutual cooperation and trust. We have a standard Operator Agreement that we use with the IOs, which contributes to uniformity of brand standards. We generally have positive relationships with the IOs, based in part on our common understanding of our mutual rights and obligations under the Operator Agreement. However, we and the IOs may not always maintain a positive relationship or always interpret the Operator Agreement in the same way. Our failure to maintain positive relationships with the IOs could individually or in the aggregate cause us to change or limit our business practices, which may make our business model less attractive to the IOs or stockholders or more costly to operate. Active and/or potential disputes with IOs could damage our brand image and reputation.</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maintain IOs in profitable stores. If we fail to maintain our IO relationships on acceptable terms, or if one or more of the more profitable IOs were to terminate their Operator Agreements, become insolvent or otherwise fail to comply with brand standards, our business, reputation, financial condition and results of operations could be materially and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IOs could take actions that could harm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IOs are contractually obligated to operate their stores in accordance with the brand standards set forth in the Operator Agreements. However, IOs are independent contractors whom we do not control. The IOs operate and oversee the daily operations of their stores and have sole control over all of their employees and other workforce decisions. As a result, IOs make decisions independent of us that bear directly on the ultimate success and performance of their store. Nevertheless, the nature of the brand license creates a symbiotic relationship between our outcome and each IO. Indeed, because we and each of the IOs associate our separate businesses with the Grocery Outlet name and brand reputation, the failure of any IO to comply with our brand standards could potentially have repercussions that extend beyond that IO's own market area and materially adversely affect not only our business, but the business of other IOs and the general brand image and reputation of the Grocery Outlet name. This, in turn, could materially and adversely affect our business and operating results. If any particular IO operates a store in a manner inconsistent with our brand standards, we cannot assure you that we will be able to terminate the Operator Agreement of that IO without disruptions to the operations and sales of that IO's store or other stores.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Systems, Data Protection and Cybersecurity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material challenges or difficulties in maintaining or updating our existing technology, including developing or implementing new technology could have a material adverse effect on our business or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modify, update and replace our systems and infrastructure from time to time, including by adding new hardware, software and applications; maintaining, updating or replacing legacy programs; converting to global systems; integrating new service providers; and adding enhanced or new functionality, such as cloud computing technologies. In late August 2023, we replaced components of our enterprise resource planning system, including our financial ledger, inventory management platform and product data warehouse system. The implementation of these system upgrades resulted in more than anticipated ordering and inventory disruptions during the remainder of fiscal 2023. These disruptions are estimated to have negatively impacted comparable store sales by approximately 90 basis points and gross margin by 50 basis points in fiscal 2023. These implementation issues also contributed to our material weakness in our internal control over financial reporting, as discussed in "Item 9A. Controls and Procedures" of this Annual Report on Form 10-K. If we experience ongoing disruptions with these updates and/or are unable to remediate our material weakness in the future, such events could have a material adverse effect on our business, prospects, results of operations, financial condition and/or cash flows.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the time and resources required to implement or optimize the benefits of new technology initiatives, or potential issues that arise in implementing such initiatives, could reduce the efficiency of our operations in the short term. The efficient operation and successful growth of our business depends upon our information systems, including our ability to operate, maintain and develop them effectively. A failure of those systems could disrupt our business, subject us to liability, damage our reputation, or otherwise impact our financial results.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failure to maintain the security of information we hold relating to personal information or payment card data of our customers, employees and suppliers, whether as a result of cybersecurity attacks or otherwise, could subject us to litigation, government enforcement actions and costly response measures, and could materially disrupt our operations and harm our reputation and sales.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and the IOs collect, store, process, use and transmit confidential business information and certain personal information relating to customers, employees and suppliers. All customer payment data is encrypted, and we do not store such data in our systems. We rely in part on commercially available systems, software, hardware, services, tools and monitoring to provide security for collection, storage, processing and transmission of personal and/or confidential information. It is possible that cyber attackers might compromise our security measures and obtain the personal and/or confidential information of the customers, employees and suppliers that we hold or our business information.</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and suppliers, result in unwanted media attention and lost sales and expose us to risks of litigation and liability. In addition, as a result of recent security breaches and ransomware attacks at a number of prominent retailers, the media and public scrutiny of information security and privacy has become more intense and the regulatory environment has become increasingly uncertain, rigorous and complex. As with most companies, we have experienced cyber-attacks, attempts to breach our systems and other similar incidents, none of which were material in fiscal 2023. As a result, we have incurred significant costs and will continue to incur such costs to monitor and safeguard our systems. We may incur significant costs if there is an unauthorized disclosure of personal information and we may not be able to comply with new regulations.</w:t>
      </w:r>
    </w:p>
    <w:p>
      <w:pPr>
        <w:spacing w:after="0" w:line="8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the California Consumer Privacy Act ("CCPA"), which became effective on January 1, 2020, established a new privacy framework for covered businesses. In November 2021, California voters passed Proposition 24, also known as the California Privacy Rights Act ("CPRA"), which amends and expands the CCPA.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behavioral advertising, and prohibiting covered businesses from discriminating against consumers (e.g., charging more for services) for exercising any of their CCPA/CPRA rights. The CPRA went into effect January 1, 2023 and added definitions for "sensitive information" as well as "contractors," and bolstered the requirements for agreements that cover the exchange of data. CPRA also established a California Privacy Protection Agency, which is responsible for enforcement activities, rulemaking, and public awareness related to privacy and data protection. Any failure to comply with the laws and regulations surrounding the protection of personal information, privacy and data security could subject us to legal and reputational risks and costs, including significant fines for non-compliance, any of which could have a negative impact on revenues and profits.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and the IOs accept payments using a variety of methods, including cash and checks, credit and debit cards, Electronic Benefit Transfer ("EBT") cards and gift cards, we may be subject to additional rules, regulations, compliance requirements and higher fraud losses. For certain payment methods, we or the IOs pay interchange and other related card acceptance fees, along with additional transaction processing fees. We and the IOs rely on third parties to provide payment transaction processing services, including the processing of credit cards, debit cards, EBT cards and gift cards, and it could disrupt our business if these companies become unwilling or unable to provide these services to us, experience a data security incident or fail to comply with applicable laws, rules and industry standards.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including data security rules, certification requirements and rules governing electronic funds transfers, which could change over time. For example, we and the IOs are subject to Payment Card Industry Data Security Standards, which contain compliance guidelines and standards with regard to our security surrounding the physical and electronic storage, processing and transmission of individual cardholder data. In addition, if our internal systems are breached or compromised, we and the IOs may be liable for card re-issuance costs, subject to fines and higher transaction fees and lose our ability to accept credit and/or debit card payments from our customers, and our business and operating results could be materially adversely affected.</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Security breaches and other disruptions to our information technology networks and systems, including a disruption related to cybersecurity, could interfere with our operations and the operations of the IOs and our suppliers, any of which could have a material adverse effect on our business and financial performance.</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Cyber-attacks are rapidly evolving and becoming more frequent. Such threats and the means for obtaining access to information in digital and other storage media are becoming increasingly sophisticated and may not immediately produce signs of intrusion. A cyber incident could be caused by malicious outsiders (including state-sponsored espionage or cyberwarfare) or insiders using sophisticated methods to circumvent firewalls, encryption and other security defenses. Because techniques used to obtain unauthorized access or to sabotage systems change frequently and generally are not recognized until they are launched against a target, we may be unable to anticipate these techniques or to implement adequate preventative measures. With more employees working remotely at times, there may be increased opportunities for unauthorized access and cyber-attacks. Further, the United States government has warned of the potential risk of Russian cyberattacks stemming from the ongoing Russian-Ukraine conflict.</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It is possible that cyber attackers might compromise our security measures and obtain the personal and/or confidential information of the customers, IOs, employees and suppliers that we hold or our business information. Moreover, such cyber-attacks may disrupt access to our and/or our suppliers' networks and systems. Such disruptions could result in delays or cancellations of customer orders or delays or interruptions in the shipment of orders. In addition, cyber-attacks may cause us to incur significant remediation costs, result in delays and disruptions to key business operations, and divert attention of management and key information technology resources. These cyber-incidents could also subject us to liability, expose us to significant expense, and cause significant harm to our reputation and our business.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on the integrity, security and consistent operation of a variety of information technology systems and back-up systems for the efficient functioning of our business, including point of sale, inventory management, purchasing, financials, logistics, accounts payable and human resources information systems. Such systems are subject to damage or interruption from power outages, facility damage, computer and telecommunications failures, computer viruses, cybersecurity breaches, cyber attacks (including malicious codes, worms, phishing and denial of service attacks and ransomware), software upgrade failures or code defects, natural disasters and human error. Damage or interruption to, or defects of design related to, these systems or the integration of such systems may require a significant investment to fix or replace, and we may suffer disruptions in our operations in the interim, loss or corruption of critical data and negative publicity, all of which could have a material adverse effect on our business or results of operations. Although we have taken steps designed to reduce the risk of these events occurring, there can be no guarantee that we or a third party on which we rely will not suffer one of these events. While we maintain cyber risk insurance intended to provide coverage in the event of a breach or other data security incident, there can be no assurance that these policies will cover all incidents that might occur or that the coverage limits under such policies will be adequate for any incidents, claims or damages that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might experience. Additionally, we are exposed to vulnerabilities with respect to our IO's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Real or perceived concerns that products we and the IOs sell could cause unexpected side effects, illness, injury or death could expose us to lawsuits and harm our reputation, which could result in unexpected costs.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discussed under "Regulations" in "Item 1. Business", we and the IOs are subject to regulation by various federal agencies. If our products do not meet applicable safety standards or our customers' expectations regarding safety, we could experience lost sales, increased costs, litigation or reputational harm. Any lost confidence on the part of our customers would be difficult and costly to reestablish. Issues regarding the quality or safety of any food items sold by us, regardless of the cause, could have a substantial and adverse effect on our sales and operating results, as well as our reputation.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increasing governmental scrutiny, regulation of and public awareness of food safety. Unexpected side effects, illness, injury or death caused by products we and the IOs sell or involving suppliers that supply us with products could result in the discontinuance of sales of these products or our relationship with such suppliers or prevent us from achieving market acceptance of the affected products. We cannot be sure that consumption or use of our products will not cause side effects, illness, injury or death in the future, as product deficiencies might not be identified before we sell such products to our customers.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may be subject to claims, lawsuits or government investigations relating to such matters resulting in costly product recalls and other liabilities that could materially adversely affect our business and results of operations. Even if a product liability claim is unsuccessful or is not fully pursued, negative publicity could materially adversely affect our reputation with existing and potential customers and our corporate and brand image, and these effects could persist over the long term. Any claims brought against us may exceed our existing or future insurance policy coverage or limits. Any judgment against us that is in excess of our policy limits would have to be paid from our cash reserves, which would reduce our capital resources. Further, we may not have sufficient capital resources to pay a judgment, in which case our creditors could levy against our assets.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generally applicable to retailers. Compliance with, failure to comply with, or changes to such laws and regulations could have a material adverse effect on our business and financial performance.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subject to numerous and frequently changing federal, state and local laws and regulations. We routinely incur significant costs in complying with these regulations. The complexity of the regulatory environment in which we and the IOs operate and the related cost of compliance are increasing due to additional legal and regulatory requirements, our expanding operation and increased enforcement efforts and the future application of certain of these legal requirements to our business may be uncertain. New or existing laws, regulations and policies, liabilities arising thereunder and the related interpretations and enforcement practices, particularly those dealing with environmental protection and compliance, climate change, wage and hour and other employment-related laws, taxation, zoning and land use, workplace safety, public health, community right-to-know, product safety or labeling, food safety, alcohol and beverage sales, vitamin and supplements, information security and privacy, among others, may result in significant added expenses or may require extensive system and operating changes that may be difficult to implement and/or could materially increase our cost of doing business. For example, we or the IOs have had to comply with recent new laws in many of the states or counties in which we operate regarding recycling, waste, minimum wages, sick time, vacation, plastic bag and straw bans and sugar taxes. In addition, we and the IOs are subject to environmental laws, including but not limited to hazardous waste laws, regulations related to refrigeration and stormwater, pursuant to which we and/or the IOs could be liable or to which we could be strictly and jointly and severally liable, regardless of our knowledge of or responsibility.</w:t>
      </w:r>
    </w:p>
    <w:p>
      <w:pPr>
        <w:spacing w:after="0" w:line="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Approximately 11% of sales in fiscal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were in the form of EBT payments and a substantial portion of these payments may be related to benefits associated with the Supplemental Nutritional Assistance Program ("SNAP"). Accordingly, changes in EBT regulations by the U.S. Department of Agriculture or in SNAP benefits by Congress could adversely affect our financial performance. The registration and ongoing compliance requirements for SNAP participation are fairly complex and each of the IOs holds their registration under the name of their business entity and is responsible for ensuring their employees consistently comply with all SNAP rules. Failure to comply can result in de-registration by USDA which, for stores located in areas with high percentages of SNAP customers, can have a significant negative financial impact.</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cannot assure you that we or the IOs will comply promptly and fully with all laws, regulations, policies and the related interpretations that apply to our stores. Untimely compliance or noncompliance with applicable regulations or untimely or incomplete execution of a required product recall, can result in the imposition of penalties (including loss of licenses, eligibility to accept certain government benefits such as SNAP or significant fines or monetary penalties), civil or criminal liability, damages, class action litigation or other litigation, in addition to reputational damage. Even with adequate insurance and indemnification, any claims of non-compliance could significantly damage our reputation and consumer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confidence in products we sell. In addition, the failure of such products to comply with applicable regulatory and legislative requirements could prevent us from marketing the products or require us to recall or remove such products from our stores.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Legal proceedings from customers, suppliers, employees, governments or competitors could materially impact our business, reputation, financial condition, results of operations and cash flows.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allegations, and may be party to legal claims and regulatory proceedings, relating to our business operations. Such allegations, claims and proceedings may be brought by third parties, including our customers, suppliers, employees, governmental or regulatory bodies or competitors, and may include class actions. In recent years, companies have experienced an increase in the number of significant discrimination and harassment and wage and hour claims generally. The outcome of litigation, particularly class action lawsuits, is difficult to assess or quantify. Plaintiffs in these types of lawsuits may seek recovery of very large or indeterminate amounts, and the magnitude of the potential loss relating to such lawsuits may remain unknown for substantial periods of time. While our IOs and suppliers may indemnify us for certain adverse outcomes, we may still bear significant expenses related to such proceedings.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Associated with Our Indebtedness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substantial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entered into a new Credit Agreement on February 21, 2023 (the "2023 Credit Agreement") under which we have a significant amount of indebtedness. The 2023 Credit Agreement provides for senior secured credit facilities consisting of (i) a senior secured term loan facility of $300.0 million, of which $294.4 million was outstanding as of December 30, 2023, and (ii) a senior secured revolving credit facility of $400.0 million, under which we had $395.8 million of availability after giving effect to outstanding letters of credit.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subject to limited restrictions in our 2023 Credit Agreement, we may be able to incur substantial additional debt in the future.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substantial debt could have important consequences to you, including the following:</w:t>
      </w:r>
    </w:p>
    <w:p>
      <w:pPr>
        <w:spacing w:after="0" w:line="104" w:lineRule="exact"/>
        <w:rPr>
          <w:sz w:val="20"/>
          <w:szCs w:val="20"/>
          <w:color w:val="auto"/>
        </w:rPr>
      </w:pPr>
    </w:p>
    <w:p>
      <w:pPr>
        <w:ind w:left="820" w:right="20" w:hanging="326"/>
        <w:spacing w:after="0" w:line="234" w:lineRule="auto"/>
        <w:tabs>
          <w:tab w:leader="none" w:pos="81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it may be difficult for us to satisfy our obligations, including debt service requirements under our outstanding debt, resulting in possible defaults on and acceleration of such indebtedness;</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obtain additional financing or refinance our existing debt on commercially reasonable terms, or at all;</w:t>
      </w:r>
    </w:p>
    <w:p>
      <w:pPr>
        <w:spacing w:after="0" w:line="76" w:lineRule="exact"/>
        <w:rPr>
          <w:rFonts w:ascii="Arial" w:cs="Arial" w:eastAsia="Arial" w:hAnsi="Arial"/>
          <w:sz w:val="22"/>
          <w:szCs w:val="22"/>
          <w:color w:val="auto"/>
        </w:rPr>
      </w:pPr>
    </w:p>
    <w:p>
      <w:pPr>
        <w:ind w:left="820" w:right="20" w:hanging="326"/>
        <w:spacing w:after="0" w:line="244" w:lineRule="auto"/>
        <w:tabs>
          <w:tab w:leader="none" w:pos="81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substantial portion of cash flow from operations may be dedicated to debt payments, reducing cash available to fund operations, capital expenditures, business opportunities, acquisitions and other purposes;</w:t>
      </w:r>
    </w:p>
    <w:p>
      <w:pPr>
        <w:spacing w:after="0" w:line="72" w:lineRule="exact"/>
        <w:rPr>
          <w:rFonts w:ascii="Arial" w:cs="Arial" w:eastAsia="Arial" w:hAnsi="Arial"/>
          <w:sz w:val="22"/>
          <w:szCs w:val="22"/>
          <w:color w:val="auto"/>
        </w:rPr>
      </w:pPr>
    </w:p>
    <w:p>
      <w:pPr>
        <w:ind w:left="820" w:hanging="326"/>
        <w:spacing w:after="0" w:line="234" w:lineRule="auto"/>
        <w:tabs>
          <w:tab w:leader="none" w:pos="81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may need to refinance our debt, sell material assets or operations or raise additional debt or equity capital to service our debt and meet our other commitments;</w:t>
      </w:r>
    </w:p>
    <w:p>
      <w:pPr>
        <w:spacing w:after="0" w:line="78" w:lineRule="exact"/>
        <w:rPr>
          <w:rFonts w:ascii="Arial" w:cs="Arial" w:eastAsia="Arial" w:hAnsi="Arial"/>
          <w:sz w:val="22"/>
          <w:szCs w:val="22"/>
          <w:color w:val="auto"/>
        </w:rPr>
      </w:pPr>
    </w:p>
    <w:p>
      <w:pPr>
        <w:ind w:left="820" w:hanging="326"/>
        <w:spacing w:after="0" w:line="234" w:lineRule="auto"/>
        <w:tabs>
          <w:tab w:leader="none" w:pos="81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are more vulnerable to economic downturns and adverse industry conditions and our flexibility to plan for, or react to, changes in our business or industry is more limited; and</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capitalize on business opportunities and to react to competitive pressures, as compared to our competitors, may be compromised.</w:t>
      </w:r>
    </w:p>
    <w:p>
      <w:pPr>
        <w:spacing w:after="0" w:line="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make payments on our debt and to fund planned capital expenditures depends on our ability to generate cash in the future, which to some extent is subject to general economic, financial, competitive, legislative, regulatory and other factors that are beyond our control. If we incur additional debt above the levels currently in effect, including utilizing the availability under our revolving credit facility, the risks associated with our leverage, including those described above, would increase.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all of our debt under our 2023 Credit Agreement bears interest at variable rates. If these rates were to increase significantly, as they did in fiscal 2022, whether because of an increase in market interest rates or otherwise, our ability to borrow additional funds may be reduced and the risks related to our substantial debt would intensify.</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Restrictive covenants in our 2023 Credit Agreement may restrict our ability to pursue our business strategies, and failure to comply with any of these restrictions could result in acceleration of our debt.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2023 Credit Agreement may materially adversely affect our ability to finance future operations or capital needs or to engage in other business activities. Such restrictions and covenants limit our ability, among other things, to:</w:t>
      </w:r>
    </w:p>
    <w:p>
      <w:pPr>
        <w:spacing w:after="0" w:line="21"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debt or issue certain preferred shares;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pay dividends on or make distributions in respect of our common stock or make other restricted payments;</w:t>
      </w:r>
    </w:p>
    <w:p>
      <w:pPr>
        <w:spacing w:after="0" w:line="71"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investments;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sell certain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create liens on certain assets to secure debt;</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payments in respect of certain junior debt obligations;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enter into certain transactions with our affiliates; and</w:t>
      </w:r>
    </w:p>
    <w:p>
      <w:pPr>
        <w:spacing w:after="0" w:line="71"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designate our subsidiary as an unrestricted subsidiary.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our 2023 Credit Agreement. Upon the occurrence of an event of default under our 2023 Credit Agreement, the lenders could elect to declare all amounts outstanding under our 2023 Credit Agreement to be immediately due and payable and terminate all commitments to extend further credit. If we were unable to repay those amounts, these lenders could proceed against the collateral granted to them to secure that indebtedness. We have pledged a significant portion of our assets as collateral to secure our 2023 Credit Agreement. Our future operating results may not be sufficient to enable compliance with the financial performance covenants in our 2023 Credit Agreement, and we may not have sufficient assets to repay amounts outstanding under our 2023 Credit Agreement. In addition, in the event of an acceleration of our debt upon a default, we may not have or be able to obtain sufficient funds to make any accelerated payments.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Accounting, Tax and Financial Statement Matters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Tax matters, including changes in tax laws, our ability to use deferred tax assets, and the impact of tax audits, could have a material adverse effect on our business, financial condition and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We compute our income tax provision based on enacted federal and state tax rates. The governing tax laws and applicable tax rates vary by jurisdiction and are subject to interpretation and macroeconomic, political and other factors. For example, the results of U.S. Presidential and Congressional elections may lead to tax law changes. Further, the ultimate amount of tax payable in a given financial statement period may be impacted by sudden or unforeseen changes in tax laws, changes in the mix and level of earnings by taxing jurisdiction, or changes to existing accounting rules or regulations. Accordingly, the determination of our overall provision for income tax and other taxes is inherently uncertain as it requires significant judgement around complex transactions and calculations. As a result, fluctuations in our ultimate obligations may differ materially from amounts recorded in our financial statements and could adversely affect our business, financial condition and results of operations in the periods where such determination is made.</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an increasing number of states and local jurisdictions are considering or have adopted laws that impose new tax measures, including revenue-based taxes and other tax measures. Should similar tax measures succeed in other jurisdictions in which we operate, we expect that our operating expenses will increase.</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December 30, 2023, we had tax-effected Federal and State net operating loss deferred tax assets of $30.4 million and $1.4 million, respectively. Our ability to use our deferred tax assets is dependent on our ability to generate future earnings within the operating loss carry-forward periods. The $30.4 million tax effected Federal deferred tax asset does not expire and will carryforward indefinitely. The tax effected State deferred tax assets of $1.4 million will expire beginning in 2029. Some or all of our deferred tax asset could expire unused if we are unable to generate taxable income in the future sufficient to utilize the deferred tax asset, or we enter into transactions that limit our right to use it. If a material portion of our deferred tax asset expires unused, it could have a material adverse effect on our future business, results of operations, financial condition and the value of our common stock. Furthermore, we are required by accounting rules to periodically assess our deferred tax assets for a valuation allowance, if necessary. In performing these assessments, we use our historical financial performance to determine whether we have potential valuation allowance concerns and as evidence to support our assumptions about future financial performance. A significant decline in our financial performance could negatively affect the results of our assessments of the recoverability of our deferred tax assets. A valuation allowance against our deferred tax assets could be material and could have a material adverse impact on our financial condition and results of operations.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examinations in the future by federal, state and local authorities on income, employment, sales and other tax matters which may result in assessments of additional taxes. Various tax authorities may disagree with tax positions we take and if any such tax authorities were to successfully challenge one or more of our tax positions, the results could adversely affect our financial condition. We may engage in litigation regarding such matters, which may be time consuming and expensive and may not be successful. While we regularly assess the likelihood of adverse outcomes resulting from such examinations and the adequacy of our provision for taxes, there can be no assurance that such provision is sufficient and that a determination by a tax authority would not have an adverse effect on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accounting rules or interpretations thereof, changes to underlying legal agreements as well as other factors applicable to our analysis of the IO entities as variable interest entities could significantly impact our ability to issue our financial statements on a timely basis.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accordance with the variable interest entities sub-section of Accounting Standards Codification Topic 810, Consolidation, we assess during each of our reporting periods whether we are considered the primary beneficiary of a variable interest entity ("VIE") and therefore are required to consolidate the VIE in our financial statements. We have concluded that the IO entities represent VIEs. However, we have concluded we are not such VIE's primary beneficiary and, accordingly, we do not consolidate the IO entities' financial information. Changes in accounting rules or interpretations thereof, changes to the underlying Operator Agreements (as defined elsewhere in this report) as well as other factors that may impact the economic performance of the IO entities which may be relevant to our analysis of whether to consolidate the IO entities as VIEs could significantly impact our ability to issue our financial statements on a timely basis if, as a result, we are determined to be the primary beneficiary of the IO entities and should consolidate such entities. For example, collecting the requisite accounting data from certain of our IO entities in order to consolidate their financial information would involve substantial time, effort and cost.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quarterly operating results fluctuate and may fall short of prior periods, our projections or the expectations of securities analysts or investors. The market price of our common stock has been volatile and may continue to fluctuate substantially, due to fluctuations in our operating results or otherwise, which could result in substantial losses for purchasers of our common stock.</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operating results have fluctuated from quarter to quarter at points in the past and they may do so in the future. Therefore, results of any one fiscal quarter are not a reliable indication of results to be expected for any other fiscal quarter or for any year. If we fail to control costs, appropriately adjust costs to actual results, increase our results over prior periods, achieve our projected results, or meet the expectations of securities analysts or investors, our stock price may decline, and the decrease in the stock price may be disproportionate to the shortfall in our financial performance.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fiscal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our common stock has traded at prices as low as $25.71 and as high as $36.54. The market price volatility of our common stock may continue due to fluctuations in our quarterly operating results or in response to other factors (regardless of our actual operating performance) included in this Risk Factors section and due to the following:</w:t>
      </w:r>
    </w:p>
    <w:p>
      <w:pPr>
        <w:spacing w:after="0" w:line="108" w:lineRule="exact"/>
        <w:rPr>
          <w:sz w:val="20"/>
          <w:szCs w:val="20"/>
          <w:color w:val="auto"/>
        </w:rPr>
      </w:pPr>
    </w:p>
    <w:p>
      <w:pPr>
        <w:jc w:val="both"/>
        <w:ind w:left="820" w:hanging="326"/>
        <w:spacing w:after="0" w:line="239" w:lineRule="auto"/>
        <w:tabs>
          <w:tab w:leader="none" w:pos="81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expectations as to our future financial performance, including guidance, if any, that we provide to the public, any changes in this guidance or our failure to meet this guidance, investment recommendations by securities analysts and investors or if securities analysts do not publish research or reports about our business;</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the market prices of stocks generally, changes in general economic or market conditions or trends in our industry or markets;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strategic actions or announcements by us, our competitors or other third parties;</w:t>
      </w:r>
    </w:p>
    <w:p>
      <w:pPr>
        <w:spacing w:after="0" w:line="71"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business or regulatory conditions;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or departures of key management personnel;</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 and</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Price volatility may be greater if the public float and trading volume of our common stock are low. 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we currently do not expect to declare any dividends on our common stock in the foreseeable future. In addition, because we are a holding company, our ability to pay dividends on our common stock may be limited by restrictions on our ability to obtain sufficient funds through dividends from our subsidiary, including restrictions under our Credit Agreement, and may be further restricted by the terms of any future debt or preferred securities. Your only opportunity to achieve a return on your investment currently is if the price of our common stock appreciates.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or the perception of future sales, by us or our existing significant stockholders in the public market could cause the market price for our common stock to decline.</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Future sales of shares of our common stock by our existing significant stockholders in the public market, or the perception that such sales could occur, could harm the prevailing market price of shares of our common stock and might make it more difficult for us to sell equity securities in the future at a time and at a price that we deem appropriate.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Further, any issuance of additional equity securities by us may result in additional dilution to you.</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organizational documents could delay or prevent a change of control.</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the effect of delaying or preventing a merger, acquisition, tender offer, takeover attempt or other change of control transaction that a stockholder might consider to be in its best interest, including attempts that might result in a premium over the market price of our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division of our Board of Directors into three classes (which provision sunsets in 2026);</w:t>
      </w:r>
    </w:p>
    <w:p>
      <w:pPr>
        <w:spacing w:after="0" w:line="76" w:lineRule="exact"/>
        <w:rPr>
          <w:rFonts w:ascii="Arial" w:cs="Arial" w:eastAsia="Arial" w:hAnsi="Arial"/>
          <w:sz w:val="22"/>
          <w:szCs w:val="22"/>
          <w:color w:val="auto"/>
        </w:rPr>
      </w:pPr>
    </w:p>
    <w:p>
      <w:pPr>
        <w:jc w:val="both"/>
        <w:ind w:left="820" w:hanging="326"/>
        <w:spacing w:after="0" w:line="239" w:lineRule="auto"/>
        <w:tabs>
          <w:tab w:leader="none" w:pos="81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issue one or more series of preferred stock with powers, preferences and rights that may be senior or on parity with our common stock, which may reduce its value and could have the effect of impeding the success of an attempt to acquire us or otherwise effect a change of control;</w:t>
      </w:r>
    </w:p>
    <w:p>
      <w:pPr>
        <w:spacing w:after="0" w:line="78" w:lineRule="exact"/>
        <w:rPr>
          <w:rFonts w:ascii="Arial" w:cs="Arial" w:eastAsia="Arial" w:hAnsi="Arial"/>
          <w:sz w:val="22"/>
          <w:szCs w:val="22"/>
          <w:color w:val="auto"/>
        </w:rPr>
      </w:pPr>
    </w:p>
    <w:p>
      <w:pPr>
        <w:ind w:left="820" w:hanging="326"/>
        <w:spacing w:after="0" w:line="244" w:lineRule="auto"/>
        <w:tabs>
          <w:tab w:leader="none" w:pos="81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53" w:lineRule="exact"/>
        <w:rPr>
          <w:rFonts w:ascii="Arial" w:cs="Arial" w:eastAsia="Arial" w:hAnsi="Arial"/>
          <w:sz w:val="22"/>
          <w:szCs w:val="22"/>
          <w:color w:val="auto"/>
        </w:rPr>
      </w:pPr>
    </w:p>
    <w:p>
      <w:pPr>
        <w:ind w:left="820" w:hanging="326"/>
        <w:spacing w:after="0"/>
        <w:tabs>
          <w:tab w:leader="none" w:pos="82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certain limitations on convening special stockholder meetings.</w:t>
      </w:r>
    </w:p>
    <w:p>
      <w:pPr>
        <w:spacing w:after="0" w:line="9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These provisions could make it more difficult for a third party to acquire us, even if the third-party's offer may be considered beneficial by many of our stockholders. As a result, our stockholders may be limited in their ability to obtain a premium for their shares.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bylaws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directors, officers or employees.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the Company or our stockholders, (iii) action asserting a claim against the Company or any director, officer or other employee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officer or other employee of the Company governed by the internal affairs doctrine. These provisions shall not apply to suits brought to enforce a duty or liability created by the Securities Exchange Act of 1934, as amended (the "Exchange Act") or any other claim for which the federal courts have exclusive jurisdiction. Unless we consent in writing to the selections of an alternative forum, the federal district courts of the United States of America shall be the exclusive forum for the resolution of any complaint asserting a cause of action arising under the Securities Act of 1933, as amended (the "Securities Act"), subject to and contingent upon a final adjudication in the State of Delaware of the enforceability of such exclusive forum provision. Any person or entity purchasing or otherwise acquiring any interest in shares of our capital stock shall be deemed to have notice of and consented to the forum provisions in our amended and restated bylaws.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bylaws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Assessing, identifying and managing data security, privacy and cybersecurity related risks are integrated into our overall enterprise risk management ("ERM") process, which considers all strategic, operational, compliance and financial risks across the organization. Our ERM process is conducted on an annual basis by our internal audit team through feedback from senior management, certain functional leaders and certain Board members. Risks are categorized as low, medium and high risks based on a quantitative and qualitative evaluation of how each risk could impact the Company's operations, current objectives and long-term strategies. Each high risk is assigned to a member of senior management as the risk owner and the Board or a Board Committee for oversight, with the risk owner developing a risk mitigation plan that is tracked to completion. Low and medium risks are subject to various levels of internal monitoring. The annual risk assessment is reviewed with the Audit and Risk Committee and the Board of Directors.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Audit and Risk Committee is responsible for the oversight of data security, privacy and cybersecurity related risks. Our CIO has a Bachelor of Science in Computer Engineering and over 26 years of experience in senior leadership privacy, information technology and cybersecurity oversight roles, including within the grocery retail industry. Our CIO reports to our Chief Operations Officer who also has decades of information technology experience, including with retailers such as Walmart, Inc., Family Dollar Stores, Inc. and Gap, Inc. Under the direction of our information technology department, we have implemented policies and controls in line with the requirements of the International Organization for Standardization and have assessed our cybersecurity maturity levels against the National Institute of Standards and Technology framework to set appropriate standards and guidelines. We monitor and remediate threats through our managed detection and response, and our vulnerability management programs. We provide regular employee communications and mandatory training, periodically review our incident response and breach notification plan, and leverage third-party expertise for testing, assessments and improvements. We have an onboarding and periodic security review process of all third party vendors who have or will have access to our confidential information. We also have established business continuity disaster recovery plans that are designed to limit downtime and data loss in the event of a security breach.</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have increased our remote workforce in recent years, the Audit and Risk Committee and management have focused on enhancing the security of remote access with trusted devices, endpoint security controls and infrastructure resiliency. As part of this process, we enhanced our security incident response procedures to address risks specific to remote working conditions. We continue to monitor and take reasonable actions intended to improve our security posture with process improvement, testing, simulation training and investments where necessary and appropriate for our company.</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 written incident response plan that is implemented by our cybersecurity incident response team, comprised of members of our information security, legal, human resources, finance and communications teams, and whose function is to respond to any such incident, define and seek to control the extent of the incident, assess and take reasonable actions intended to remediate any damage caused, and implement measures designed to prevent future reoccurrences. The materiality of any cybersecurity incident is evaluated by senior management, including the legal and finance departments, and, in certain circumstances by our third-party advisors. We periodically perform simulations (referred to as tabletop exercises) at a management level with external resources and advisors.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us, including our results of operations or financial condition, in fiscal 2023 and recent years, we have, from time to time, experienced threats to and attempted breaches of our data and systems, including malware and computer virus attacks. In the future, we may not be successful in preventing or mitigating a cybersecurity incident that could ultimately have a material adverse effect on our business, operations and financial performance. We carry cyber risk insurance that provides protection against a breach or other data security incident, but such insurance may not be sufficient, and any related insurance proceeds may not be timely paid to us. For more information about the cybersecurity risks we face, see the risk factors under the heading entitled "Risks Related to our Information Technology Systems, Data Protection and Cybersecurity" in "Item 1A. Risk Factors" of this Annual Report on Form 10-K.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As of December 30, 2023, we leased 467 of our 468 stores and each of our self-operated distribution centers and warehouse facilities. The one remaining store was owned by an IO. Our stores are located in </w:t>
      </w:r>
      <w:r>
        <w:rPr>
          <w:rFonts w:ascii="Times New Roman" w:cs="Times New Roman" w:eastAsia="Times New Roman" w:hAnsi="Times New Roman"/>
          <w:sz w:val="18"/>
          <w:szCs w:val="18"/>
          <w:color w:val="000000"/>
        </w:rPr>
        <w:t>California (267), Washington (72), Oregon (61), Pennsylvania (31), Idaho (13), Nevada (11),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Maryland (8), New Jersey (4) and Ohio (1). </w:t>
      </w:r>
      <w:r>
        <w:rPr>
          <w:rFonts w:ascii="Times New Roman" w:cs="Times New Roman" w:eastAsia="Times New Roman" w:hAnsi="Times New Roman"/>
          <w:sz w:val="18"/>
          <w:szCs w:val="18"/>
          <w:color w:val="231F20"/>
        </w:rPr>
        <w:t>Our initial lease terms for store locations are typically ten years with options to renew for two or three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successive five-year periods. Our corporate headquarters, located in Emeryville, California, is leased under an agreement that expires in 2028, with an option to renew for a five-year period. Our three self-operated primary distribution centers range from approximately 100,000 square feet to approximately 400,000 square feet. Including options to renew, our primary distribution centers have leases expiring between 2026 and 2035.</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corporate and distribution center facilities are in good operating condition and adequate to support the current needs of our business. We intend to continue to invest in our distribution and logistics infrastructure in order to support our anticipated store growth over the long term, including as we enter new geographies.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w:t>
      </w:r>
      <w:r>
        <w:rPr>
          <w:rFonts w:ascii="Times New Roman" w:cs="Times New Roman" w:eastAsia="Times New Roman" w:hAnsi="Times New Roman"/>
          <w:sz w:val="18"/>
          <w:szCs w:val="18"/>
          <w:color w:val="231F20"/>
        </w:rPr>
        <w:t>December 30, 2023.</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principal market on which our common stock is traded is the Nasdaq Global Select Market under the symbol "GO."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American Stock Transfer &amp; Trust Company, LLC is the transfer agent and registrar for our common stock. As of February 22, 2024, there were 10 stockholders of record of our common stock. A substantially greater number of stockholders are "street name" or beneficial holders, whose shares are held of record by banks, brokers and other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do not expect to declare any dividends on our common stock in the foreseeable future. Instead, we anticipate that all of our earnings in the foreseeable future will be used to provide working capital, to support our operations, to finance the growth and development of our business and to reduce our net debt. Any determination to declare dividends in the future will be at the discretion of our Board of Directors,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our subsidiary. Further, our ability to pay dividends on our common stock is subject to restrictions under our 2023 Credit Agreement, and may be further restricted by the terms of any future debt or preferred securities. See NOTE 6— Long-term Debt to our Consolidated Financial Statements for additional information about our 2023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return (equal to stock appreciation plus dividends) from June 20, 2019 (the date our common stock began trading on the NASDAQ Global Select Market) through December 30, 2023 for:</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Grocery Outlet Holding Corp.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Global Market Composite Index</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US Benchmark Retailers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403225</wp:posOffset>
            </wp:positionV>
            <wp:extent cx="5357495" cy="3257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574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6/20/2019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12/28/2019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12/30/2023</w:t>
            </w: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Grocery Outlet Holding</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shd w:val="clear" w:color="auto" w:fill="CCEEFF"/>
          </w:tcPr>
          <w:p>
            <w:pPr>
              <w:spacing w:after="0"/>
              <w:rPr>
                <w:sz w:val="21"/>
                <w:szCs w:val="21"/>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shd w:val="clear" w:color="auto" w:fill="CCEEFF"/>
          </w:tcPr>
          <w:p>
            <w:pPr>
              <w:spacing w:after="0"/>
              <w:rPr>
                <w:sz w:val="21"/>
                <w:szCs w:val="21"/>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8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w:t>
            </w:r>
          </w:p>
        </w:tc>
        <w:tc>
          <w:tcPr>
            <w:tcW w:w="2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Global Market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0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8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Composite Index</w:t>
            </w:r>
          </w:p>
        </w:tc>
        <w:tc>
          <w:tcPr>
            <w:tcW w:w="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Nasdaq US Benchmark</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Retailers Index</w:t>
            </w:r>
          </w:p>
        </w:tc>
        <w:tc>
          <w:tcPr>
            <w:tcW w:w="2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provide a line-graph presentation comparing cumulative stockholder returns on an indexed basis with a broad equity market index and either a published industry index or an index of peer companies selected by us. We have selected the Nasdaq Global Market Composite Index for the broad equity market index and the Nasdaq US Benchmark Retailers Index as the published industry index.</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initial investment of $100.00 at our closing stock price on June 20, 2019 (our initial listing date). Total return includes reinvestment of dividends.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period end date ends on a day that is not a trading day, the preceding trading day is used.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under the heading "Stock Performance Graph" in Item 5 of this Annual Report on Form 10-K is "furnished" and not "filed" and shall not be deemed to be "soliciting material" or subject to Regulation 14A, shall not be deemed "filed" for purposes of Section 18 of the Exchange Act or otherwise subject to the limitations of that section, and shall not be deemed incorporated by reference into any of our filings under the Securities Act or the Securities Exchange Act, whether made before or after the date of this report and irrespective of any general incorporation by reference language in any such filing.</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shown in the graph is not necessarily indicative of future price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on our share repurchase program activity during the fourth quarter of fiscal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(amounts in thousands, except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3580" w:type="dxa"/>
            <w:vAlign w:val="bottom"/>
            <w:gridSpan w:val="2"/>
            <w:vMerge w:val="continue"/>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8"/>
                <w:szCs w:val="18"/>
                <w:b w:val="1"/>
                <w:bCs w:val="1"/>
                <w:color w:val="auto"/>
                <w:w w:val="95"/>
                <w:vertAlign w:val="superscript"/>
              </w:rPr>
              <w:t>(1)</w:t>
            </w:r>
          </w:p>
        </w:tc>
        <w:tc>
          <w:tcPr>
            <w:tcW w:w="1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21"/>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2023—October 28, 2023</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69,554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91,422</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29, 2023—November 25, 2023</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80" w:type="dxa"/>
            <w:vAlign w:val="bottom"/>
          </w:tcPr>
          <w:p>
            <w:pPr>
              <w:spacing w:after="0"/>
              <w:rPr>
                <w:sz w:val="19"/>
                <w:szCs w:val="19"/>
                <w:color w:val="auto"/>
              </w:rPr>
            </w:pPr>
          </w:p>
        </w:tc>
        <w:tc>
          <w:tcPr>
            <w:tcW w:w="18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27,939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90,671</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26, 2023—December 30,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34,161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89,751</w:t>
            </w:r>
          </w:p>
        </w:tc>
        <w:tc>
          <w:tcPr>
            <w:tcW w:w="0" w:type="dxa"/>
            <w:vAlign w:val="bottom"/>
          </w:tcPr>
          <w:p>
            <w:pPr>
              <w:spacing w:after="0"/>
              <w:rPr>
                <w:sz w:val="1"/>
                <w:szCs w:val="1"/>
                <w:color w:val="auto"/>
              </w:rPr>
            </w:pPr>
          </w:p>
        </w:tc>
      </w:tr>
      <w:tr>
        <w:trPr>
          <w:trHeight w:val="227"/>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fourth quarter</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131,654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commissions for the shares repurchased under the share repurchase program.</w:t>
      </w:r>
    </w:p>
    <w:p>
      <w:pPr>
        <w:spacing w:after="0" w:line="59" w:lineRule="exact"/>
        <w:rPr>
          <w:rFonts w:ascii="Times New Roman" w:cs="Times New Roman" w:eastAsia="Times New Roman" w:hAnsi="Times New Roman"/>
          <w:sz w:val="16"/>
          <w:szCs w:val="16"/>
          <w:color w:val="auto"/>
        </w:rPr>
      </w:pPr>
    </w:p>
    <w:p>
      <w:pPr>
        <w:jc w:val="both"/>
        <w:ind w:left="500" w:hanging="492"/>
        <w:spacing w:after="0" w:line="260"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2021, our Board of Directors approved a share repurchase program. This program, effective November 5, 2021 and without an expiration date, authorizes us to repurchase, from time to time and at prices the Company deems appropriate, up to $100.0 million of our outstanding common stock utilizing a variety of methods including open market purchases, accelerated share repurchase programs, privately negotiated transactions, structured repurchase transactions and repurchases under a Rule 10b5-1 plan (which would permit shares to be repurchased when the Company might otherwise be precluded from doing so under securities laws). In addition to the Company's discretion, such repurchases are subject to, among other things, market conditions, applicable legal requirements and debt covenants. The shares purchased were made in open-market transactions pursuant to a Rule 10b5-1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related notes thereto included in "Item 8. Financial Statements and Supplementary Data." This discussion may contain forward-looking statements based upon current expectations that involve risks and uncertainties. Our actual results may differ materially from those anticipated in these forward-looking statements as a result of various factors, including those described in "Item 1A. Risk Factors" or set forth in other sections of this report.</w:t>
      </w:r>
    </w:p>
    <w:p>
      <w:pPr>
        <w:spacing w:after="0" w:line="12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For discussion related to the results of operations and changes in financial condition for fiscal 2022 compared to fiscal 2021 refer to "Item 7. Management's Discussion and Analysis of Financial Condition and Results of Operations" in Part II of our Annual Report on Form 10-K for the fiscal year ended December 31, 2022.</w:t>
      </w:r>
    </w:p>
    <w:p>
      <w:pPr>
        <w:spacing w:after="0" w:line="6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We operate on a fiscal year that ends on the Saturday closest to December 31st each year. References to fiscal 2023, fiscal 2022, and fiscal 2021 refer to the fiscal years ended December 30, 2023, December 31, 2022, and January 1, 2022, respectively. Our 2023, 2022 and 2021 fiscal years all consisted of 52 weeks.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 "the Company," "the registrant," "we," "us" and "our," refer to Grocery Outlet Holding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and its consolidated subsidiary unless otherwise indicated or the context requires otherwise.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December 30, 2023, we had 468 stores in California, Washington, Oregon, Pennsylvania, Idaho, Nevada, Maryland, New Jersey and Ohio.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Macroeconomic Conditions and Recent Developments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Over the past several years, and to a lesser extent recently, our business has been and continues to be impacted by macroeconomic conditions including supply chain and labor challenges, inflation and subsequent disinflation, and changes in consumer behavior, and our IOs have been impacted by staffing challenges, increased labor costs and utility costs within their businesses. Furthermore, planned construction and opening of new stores has been, and may continue to be, negatively impacted due to both increased lead times to acquire materials, obtain permits and licenses as well as higher construction and development related costs, causing </w:t>
      </w:r>
      <w:r>
        <w:rPr>
          <w:rFonts w:ascii="Times New Roman" w:cs="Times New Roman" w:eastAsia="Times New Roman" w:hAnsi="Times New Roman"/>
          <w:sz w:val="18"/>
          <w:szCs w:val="18"/>
          <w:color w:val="000000"/>
        </w:rPr>
        <w:t>our new store growth in fiscal 2022 and 2023 to be below our long-term strategic goal of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annualized store growth on average</w:t>
      </w:r>
      <w:r>
        <w:rPr>
          <w:rFonts w:ascii="Times New Roman" w:cs="Times New Roman" w:eastAsia="Times New Roman" w:hAnsi="Times New Roman"/>
          <w:sz w:val="18"/>
          <w:szCs w:val="18"/>
          <w:color w:val="231F20"/>
        </w:rPr>
        <w:t>. The extent of the continuing impact of these factors on our operational and financial performance will depend on many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factors, including certain factors outside of our control.</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 xml:space="preserve">Our new store growth efforts for fiscal 2024 and beyond are focused on organic growth and new real estate opportunities that align with our long-term geographic expansion and store growth strategies. Complementary growth opportunities may include expanding strategic relationships with large property owners, evaluating acquisitions of opportunistic real estate that become available through consolidation in the retail sector, and exploring strategic regional acquisitions of operating businesses. </w:t>
      </w:r>
      <w:r>
        <w:rPr>
          <w:rFonts w:ascii="Times New Roman" w:cs="Times New Roman" w:eastAsia="Times New Roman" w:hAnsi="Times New Roman"/>
          <w:sz w:val="18"/>
          <w:szCs w:val="18"/>
          <w:color w:val="000000"/>
        </w:rPr>
        <w:t>On February 14, 2024 we entered into a stock purchase agreement to acquire United Grocery Outlet,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40 stores in six adjacent states we do not operate in currently (Tennessee, North Carolina, Georgia, Alabama, Kentucky and Virginia) and a company-operated distribution center. We expect this transaction to close early in the second quarter of fiscal 2024. In addition to the newly acquired United Grocery Outlet stores, we plan to open approximately 15 to 20 stores in existing markets in fiscal 2024, for a planned total of 55 to 60 net new stores in fiscal 2024.</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In late August 2023, we replaced components of our enterprise resource planning system, including our financial ledger, inventory management platform and product data warehouse system. The implementation of these system upgrades resulted in disruption to our business operations, including o</w:t>
      </w:r>
      <w:r>
        <w:rPr>
          <w:rFonts w:ascii="Times New Roman" w:cs="Times New Roman" w:eastAsia="Times New Roman" w:hAnsi="Times New Roman"/>
          <w:sz w:val="18"/>
          <w:szCs w:val="18"/>
          <w:color w:val="000000"/>
        </w:rPr>
        <w:t>rdering and inventory disruptions,</w:t>
      </w:r>
      <w:r>
        <w:rPr>
          <w:rFonts w:ascii="Times New Roman" w:cs="Times New Roman" w:eastAsia="Times New Roman" w:hAnsi="Times New Roman"/>
          <w:sz w:val="18"/>
          <w:szCs w:val="18"/>
          <w:color w:val="231F20"/>
        </w:rPr>
        <w:t xml:space="preserve"> which impacted our results of operations during the remainder of fiscal 2023, as more fully described below in “Comparison of fiscal 2023 to fiscal 2022." Some of these disruptions are still ongoing as of the date of this filing and are expected to negatively impact the first quarter of fiscal 2024 results.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 xml:space="preserve">For additional information regarding the risks related to our business and operations, see </w:t>
      </w:r>
      <w:r>
        <w:rPr>
          <w:rFonts w:ascii="Times New Roman" w:cs="Times New Roman" w:eastAsia="Times New Roman" w:hAnsi="Times New Roman"/>
          <w:sz w:val="18"/>
          <w:szCs w:val="18"/>
          <w:color w:val="000000"/>
        </w:rPr>
        <w:t>"Item 1A. Risk Factors" of this Annual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Measures We Use to Evaluate Our Business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generally accepted accounting principles ("GAAP") financial measures we use are net sales, gross profit and gross margin, selling, general and administrative expenses ("SG&amp;A") and operating income. The key operational metrics and non-GAAP financial measures we use are number of new stores, comparable store sales, EBITDA, adjusted EBITDA, adjusted net income and adjusted earnings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financial and operating performance results for our fiscal 2023 compared to our fiscal 2022 were as follows:</w:t>
      </w:r>
    </w:p>
    <w:p>
      <w:pPr>
        <w:spacing w:after="0" w:line="117"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10.9% to $3.97 billion for fiscal 2023 from $3.58 billion for fiscal 2022.</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increased by 7.5% in fiscal 2023, driven by a 8.3% increase in the number of transactions partially offset by a 0.8% decrease in average transaction size.</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by 80 basis points to 31.3%, compared to gross margin of 30.5% for fiscal 2022.</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August, we implemented new technology platforms and, as a result, experienced disruptions which are estimated to have negatively impacted comparable store sales by approximately 90 basis points and gross margin by 50 basis points in fiscal 2023.</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28 new stores and closed one, ending fiscal 2023 with 468 stores in nine states.</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22.1% to $79.4 million, or $0.79 per diluted share for fiscal 2023, compared to net income of $65.1 million, or $0.65 per diluted share, for fiscal 2022.</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increased 17.7% to $252.6 million for fiscal 2023 compared to $214.7 million for fiscal 2022.</w:t>
      </w:r>
    </w:p>
    <w:p>
      <w:pPr>
        <w:spacing w:after="0" w:line="41" w:lineRule="exact"/>
        <w:rPr>
          <w:rFonts w:ascii="Times New Roman" w:cs="Times New Roman" w:eastAsia="Times New Roman" w:hAnsi="Times New Roman"/>
          <w:sz w:val="18"/>
          <w:szCs w:val="18"/>
          <w:color w:val="auto"/>
        </w:rPr>
      </w:pPr>
    </w:p>
    <w:p>
      <w:pPr>
        <w:ind w:left="820" w:hanging="326"/>
        <w:spacing w:after="0" w:line="233"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increased 15.2% to $108.1 million, or $1.07 per adjusted diluted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fiscal 2023 compared to $93.9 million, or</w:t>
      </w:r>
    </w:p>
    <w:p>
      <w:pPr>
        <w:ind w:left="820"/>
        <w:spacing w:after="0"/>
        <w:rPr>
          <w:sz w:val="20"/>
          <w:szCs w:val="20"/>
          <w:color w:val="auto"/>
        </w:rPr>
      </w:pPr>
      <w:r>
        <w:rPr>
          <w:rFonts w:ascii="Times New Roman" w:cs="Times New Roman" w:eastAsia="Times New Roman" w:hAnsi="Times New Roman"/>
          <w:sz w:val="18"/>
          <w:szCs w:val="18"/>
          <w:color w:val="auto"/>
        </w:rPr>
        <w:t>$0.94 per adjusted diluted share, for fiscal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jc w:val="both"/>
        <w:ind w:left="500" w:hanging="492"/>
        <w:spacing w:after="0" w:line="259"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the non-GAAP measures provide useful information to investors and how management utilizes them, and reconciliations of the non-GAAP measures and the most directly comparable GAAP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"Comparable Store Sales," and non-comparable stores.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governmental benefit programs such as the Supplemental Nutrition Assistance Program and discretionary income. Our customers' discretionary income is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Cost of sales includes, among other things, merchandise costs, inventory markdowns, inventory losses, transportation costs and distribution and warehousing costs, including depreciation. Gross profit is equal to our net sales less our cost of sales. Gross margin is gross profit as a percentage of our net sales. Gross margin is a measure used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as a result of macroeconomic conditions, including inflationary cost increases for goods, labor and transportation, supply chain constraints and changes in discretionary income, have resulted and could continue to result in higher variability to our gross margins. The components of our cost of sales, as well as our gross profit and gross margin, may not be comparable to the same or similar measures of our competitors and other retailers.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SG&amp;A are comprised of both store-related expenses and corporate expenses. Our store-related expenses include commissions paid to IOs, occupancy and our portion of maintenance costs, depreciation and amortization of store-related assets and the cost of opening new IO stores. Company-operated store-related expenses also include payroll, benefits, supplies and utilities. Corporate expenses include payroll and benefits for corporate and field support, share-based compensation, marketing and advertising, insurance and professional services, depreciation and amortization of corporate assets and operator recruiting and training costs.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2023, in order to enhance the comparability of our results with our peers, we updated our presentation of the consolidated statements of operations and comprehensive income to include depreciation and amortization expenses and share-based compensation expenses within selling, general and administrative expenses. Prior period amounts have been reclassified to conform to current period presentation. The reclassification of these items had no impact on net income, earnings per share, or retained earnings in the current or prior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income is gross profit less SG&amp;A. Operating income excludes interest expense, net, gain on insurance recoveries, loss on debt extinguishment and modification and income tax expense. We use operating income as an indicator of the productivity of our business and our ability to manage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both in dollars and as a percentage of net sales (amounts in thousands, except for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6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4"/>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3"/>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3,969,453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3,578,101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3,079,582</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2,727,774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2,486,002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2,130,796</w:t>
            </w: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1,092,099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948,786</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1,115,897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997,109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859,691</w:t>
            </w: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125,782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94,990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89,095</w:t>
            </w:r>
          </w:p>
        </w:tc>
      </w:tr>
      <w:tr>
        <w:trPr>
          <w:trHeight w:val="210"/>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expenses (income):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w:t>
            </w:r>
          </w:p>
        </w:tc>
      </w:tr>
      <w:tr>
        <w:trPr>
          <w:trHeight w:val="230"/>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2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29"/>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21,701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19,241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104,081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77,501</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6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6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gridSpan w:val="5"/>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6"/>
        </w:trPr>
        <w:tc>
          <w:tcPr>
            <w:tcW w:w="6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Percentage of net sales </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0"/>
        </w:trPr>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2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6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Components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New Stores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number of new stores reflects the number of stores opened during a particular reporting period. New stores require an initial capital investment from us for store build-outs, fixtures and equipment that we amortize over time as well as cash required for inventory and pre-opening expenses.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We expect new store growth to be the primary driver of our net sales growth over the long term. We lease substantially all of our store locations. Our initial lease terms on stores are typically </w:t>
      </w:r>
      <w:r>
        <w:rPr>
          <w:rFonts w:ascii="Times New Roman" w:cs="Times New Roman" w:eastAsia="Times New Roman" w:hAnsi="Times New Roman"/>
          <w:sz w:val="18"/>
          <w:szCs w:val="18"/>
          <w:color w:val="231F20"/>
        </w:rPr>
        <w:t>ten years with options to renew for two or three successive five-year periods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temporarily closed for an extended period, those that have had their business materially disrupted for both planned projects as well as due to unforeseen circumstances, permanent store closures and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spacing w:after="0" w:line="8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measures we use to assess the success of our growth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Adjusted Net Income and Adjusted Earnings Per Share</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Management believes it is useful to investors and analysts to evaluate these non-GAAP measures on the same basis as management uses to evaluate our operating results.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define EBITDA as net income before net interest expense, income taxes and depreciation and amortization expenses. Adjusted EBITDA represents EBITDA adjusted to exclude share-based compensation expense, loss on debt extinguishment and modification, asset impairment and gain or loss on disposition, acquisition costs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and adjusted earnings per share should not be construed as an inference that our future results will be unaffected by the adjustments we have used to derive our non-GAAP measures.</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operating metrics and non-GAAP financial measures for the periods presented (amounts in thousands, except for percentages and store counts):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31"/>
        </w:trPr>
        <w:tc>
          <w:tcPr>
            <w:tcW w:w="6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1"/>
                <w:szCs w:val="11"/>
                <w:color w:val="auto"/>
              </w:rPr>
            </w:pPr>
          </w:p>
        </w:tc>
        <w:tc>
          <w:tcPr>
            <w:tcW w:w="130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and Operations Data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new stores</w:t>
            </w:r>
          </w:p>
        </w:tc>
        <w:tc>
          <w:tcPr>
            <w:tcW w:w="24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Comparable store sales increase (decrease)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EBITDA </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208,424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171,967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164,189</w:t>
            </w: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6"/>
                <w:szCs w:val="26"/>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252,621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214,682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182,892</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net income </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93,858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78,588</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line="287"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consist of net sales from our stores beginning on the first day of the fourteenth full fiscal month following the store's opening, which is when we believe comparability is achieved.</w:t>
      </w:r>
    </w:p>
    <w:p>
      <w:pPr>
        <w:spacing w:after="0" w:line="18"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"—GAAP to Non-GAAP Reconciliations" section below for the applicable reconciliations.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Reconciliations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3"/>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71,124</w:t>
            </w: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164,189</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Loss on debt extinguishment and modification </w:t>
            </w:r>
            <w:r>
              <w:rPr>
                <w:rFonts w:ascii="Times New Roman" w:cs="Times New Roman" w:eastAsia="Times New Roman" w:hAnsi="Times New Roman"/>
                <w:sz w:val="26"/>
                <w:szCs w:val="26"/>
                <w:color w:val="auto"/>
                <w:vertAlign w:val="superscript"/>
              </w:rPr>
              <w:t>(2)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Acquisition costs </w:t>
            </w:r>
            <w:r>
              <w:rPr>
                <w:rFonts w:ascii="Times New Roman" w:cs="Times New Roman" w:eastAsia="Times New Roman" w:hAnsi="Times New Roman"/>
                <w:sz w:val="26"/>
                <w:szCs w:val="26"/>
                <w:color w:val="auto"/>
                <w:vertAlign w:val="superscript"/>
              </w:rPr>
              <w:t>(4)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(5)</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Loss on debt extinguishment and modification </w:t>
            </w:r>
            <w:r>
              <w:rPr>
                <w:rFonts w:ascii="Times New Roman" w:cs="Times New Roman" w:eastAsia="Times New Roman" w:hAnsi="Times New Roman"/>
                <w:sz w:val="26"/>
                <w:szCs w:val="26"/>
                <w:color w:val="auto"/>
                <w:vertAlign w:val="superscript"/>
              </w:rPr>
              <w:t>(2)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Acquisition costs </w:t>
            </w:r>
            <w:r>
              <w:rPr>
                <w:rFonts w:ascii="Times New Roman" w:cs="Times New Roman" w:eastAsia="Times New Roman" w:hAnsi="Times New Roman"/>
                <w:sz w:val="26"/>
                <w:szCs w:val="26"/>
                <w:color w:val="auto"/>
                <w:vertAlign w:val="superscript"/>
              </w:rPr>
              <w:t>(4)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Amortization of purchase accounting assets and deferred financing costs </w:t>
            </w:r>
            <w:r>
              <w:rPr>
                <w:rFonts w:ascii="Times New Roman" w:cs="Times New Roman" w:eastAsia="Times New Roman" w:hAnsi="Times New Roman"/>
                <w:sz w:val="26"/>
                <w:szCs w:val="26"/>
                <w:color w:val="auto"/>
                <w:vertAlign w:val="superscript"/>
              </w:rPr>
              <w:t>(6)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adjustment to normalize effective tax rate </w:t>
            </w:r>
            <w:r>
              <w:rPr>
                <w:rFonts w:ascii="Times New Roman" w:cs="Times New Roman" w:eastAsia="Times New Roman" w:hAnsi="Times New Roman"/>
                <w:sz w:val="26"/>
                <w:szCs w:val="26"/>
                <w:color w:val="auto"/>
                <w:vertAlign w:val="superscript"/>
              </w:rPr>
              <w:t>(7)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effect of total adjustments </w:t>
            </w:r>
            <w:r>
              <w:rPr>
                <w:rFonts w:ascii="Times New Roman" w:cs="Times New Roman" w:eastAsia="Times New Roman" w:hAnsi="Times New Roman"/>
                <w:sz w:val="26"/>
                <w:szCs w:val="26"/>
                <w:color w:val="auto"/>
                <w:vertAlign w:val="superscript"/>
              </w:rPr>
              <w:t>(8)</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earnings per share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95,725</w:t>
            </w: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99,418</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62" w:lineRule="exact"/>
        <w:rPr>
          <w:sz w:val="20"/>
          <w:szCs w:val="20"/>
          <w:color w:val="auto"/>
        </w:rPr>
      </w:pPr>
    </w:p>
    <w:p>
      <w:pPr>
        <w:ind w:left="500" w:hanging="492"/>
        <w:spacing w:after="0" w:line="280"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share-based compensation expense and less than $0.1 million, $0.1 million, and $0.2 million of cash dividends paid in fiscal 2023, 2022, and 2021 respectively, on vested share-based awards as a result of dividends declared in connection with recapitalizations that occurred in fiscal 2018 and 2016.</w:t>
      </w:r>
    </w:p>
    <w:p>
      <w:pPr>
        <w:spacing w:after="0" w:line="2" w:lineRule="exact"/>
        <w:rPr>
          <w:rFonts w:ascii="Times New Roman" w:cs="Times New Roman" w:eastAsia="Times New Roman" w:hAnsi="Times New Roman"/>
          <w:sz w:val="16"/>
          <w:szCs w:val="16"/>
          <w:color w:val="auto"/>
        </w:rPr>
      </w:pPr>
    </w:p>
    <w:p>
      <w:pPr>
        <w:ind w:left="500" w:hanging="492"/>
        <w:spacing w:after="0" w:line="290"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debt issuance costs and debt discounts as well as debt modification costs related to refinancing and/or repayment of our credit facilities. See NOTE 6—Long-term Debt to our Consolidated Financial Statements for additional information.</w:t>
      </w:r>
    </w:p>
    <w:p>
      <w:pPr>
        <w:ind w:left="500" w:hanging="492"/>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asset impairment charges and gains or losses on dispositions of assets.</w:t>
      </w:r>
    </w:p>
    <w:p>
      <w:pPr>
        <w:spacing w:after="0" w:line="7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acquisition of United Grocery Outlet, including due diligence, legal, and other consulting expenses.</w:t>
      </w:r>
    </w:p>
    <w:p>
      <w:pPr>
        <w:spacing w:after="0" w:line="59" w:lineRule="exact"/>
        <w:rPr>
          <w:rFonts w:ascii="Times New Roman" w:cs="Times New Roman" w:eastAsia="Times New Roman" w:hAnsi="Times New Roman"/>
          <w:sz w:val="16"/>
          <w:szCs w:val="16"/>
          <w:color w:val="auto"/>
        </w:rPr>
      </w:pPr>
    </w:p>
    <w:p>
      <w:pPr>
        <w:jc w:val="both"/>
        <w:ind w:left="500" w:hanging="492"/>
        <w:spacing w:after="0" w:line="283"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other non-recurring, non-cash or non-operational items, such as technology upgrade implementation costs, strategic project costs, costs related to employer payroll taxes associated with equity awards, legal settlements and other legal expenses, store closing costs, certain personnel-related costs and miscellaneous costs.</w:t>
      </w:r>
    </w:p>
    <w:p>
      <w:pPr>
        <w:spacing w:after="0" w:line="200"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debt issuance costs as well as the incremental amortization of an asset step-up resulting from purchase price accounting related to our acquisition in 2014 by an investment fund affiliated with Hellman &amp; Friedman LLC, which included trademarks, customer lists, and below-market leases.</w:t>
      </w:r>
    </w:p>
    <w:p>
      <w:pPr>
        <w:spacing w:after="0" w:line="16" w:lineRule="exact"/>
        <w:rPr>
          <w:rFonts w:ascii="Times New Roman" w:cs="Times New Roman" w:eastAsia="Times New Roman" w:hAnsi="Times New Roman"/>
          <w:sz w:val="16"/>
          <w:szCs w:val="16"/>
          <w:color w:val="auto"/>
        </w:rPr>
      </w:pPr>
    </w:p>
    <w:p>
      <w:pPr>
        <w:jc w:val="both"/>
        <w:ind w:left="500" w:hanging="492"/>
        <w:spacing w:after="0" w:line="272"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adjustments to normalize the effective tax rate for the impact of unusual or infrequent tax items that we do not consider in our evaluation of ongoing performance, including excess tax expenses or benefits related to stock option exercises and vesting of restricted stock units that are recorded in earnings as discrete items in the reporting period in which they occur.</w:t>
      </w:r>
    </w:p>
    <w:p>
      <w:pPr>
        <w:spacing w:after="0" w:line="8"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 of the total adjustments. We calculate the tax effect of the total adjustments on a discrete basis excluding any non-recurring and unusual tax items.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2023 to fiscal 2022 (amounts in thousands, except percentages)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391,352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net sales for fiscal 2023 compared to fiscal 2022 was primarily attributable to an increase in comparable store sales as well as non-comparable store net sales growth primarily from the 27 net new stores opened during fiscal 2023, partially offset by disruptions related to our aforementioned system upgrades.</w:t>
      </w:r>
    </w:p>
    <w:p>
      <w:pPr>
        <w:spacing w:after="0" w:line="68" w:lineRule="exact"/>
        <w:rPr>
          <w:sz w:val="20"/>
          <w:szCs w:val="20"/>
          <w:color w:val="auto"/>
        </w:rPr>
      </w:pPr>
    </w:p>
    <w:p>
      <w:pPr>
        <w:jc w:val="both"/>
        <w:ind w:right="20" w:firstLine="486"/>
        <w:spacing w:after="0" w:line="297" w:lineRule="auto"/>
        <w:rPr>
          <w:sz w:val="20"/>
          <w:szCs w:val="20"/>
          <w:color w:val="auto"/>
        </w:rPr>
      </w:pPr>
      <w:r>
        <w:rPr>
          <w:rFonts w:ascii="Times New Roman" w:cs="Times New Roman" w:eastAsia="Times New Roman" w:hAnsi="Times New Roman"/>
          <w:sz w:val="18"/>
          <w:szCs w:val="18"/>
          <w:color w:val="auto"/>
        </w:rPr>
        <w:t>Comparable store sales increased 7.5% for fiscal 2023 compared to fiscal 2022. The increase was driven by an 8.3% increase in the number of transactions combined with a 0.8% decrease in average transaction size.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2,727,774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2,486,002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cost of sales for fiscal 2023 compared to fiscal 2022 was primarily the result of an increase in comparable store sales combined with non-comparable sales from 27 net new stores opened during fiscal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Costs as a percentage of net sales decreased for fiscal 2023 compared to fiscal 2022 primarily due to our changing assortment along with generally strong purchasing and inventory management in fiscal 2023, partially offset by the late third quarter and fourth quarter of fiscal 2023 impacts related to our system upgrades.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1,241,679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1,092,099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149,580</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gross profit for fiscal 2023 compared to fiscal 2022 was primarily the result of an increase in comparable store sales combined with non-comparable sales from 27 net new stores opened during fiscal 2023, partially offset by the late third quarter and fourth quarter of fiscal 2023 impacts related to our system upgrades.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Gross margin increased for fiscal 2023 compared to fiscal 2022 primarily due to our changing assortment along with generally strong purchasing and inventory management during fiscal 2023, partially offset by impacts related to our system upgrades.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1,115,897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997,109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SG&amp;A for fiscal 2023 compared to fiscal 2022 was driven by $98.0 million in higher store-related expenses and $20.8 million in higher corporate-related expenses. Store-related expenses primarily increased as a result of higher commission payments to IOs, reflecting gross profit growth together with incremental support we elected to provide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our IOs in connection with our system upgrades, as well as higher store occupancy costs due to 27 net new stores opened during 2023, partially offset by the recognition of e-commerce vendor obligations. Corporate-related expenses increased largely due to increased personnel and professional service costs to support the continued growth of the business as well as increased corporate-related depreciation and amortization expense driven by investments in general and administrative infrastructure.</w:t>
      </w:r>
    </w:p>
    <w:p>
      <w:pPr>
        <w:spacing w:after="0" w:line="72" w:lineRule="exact"/>
        <w:rPr>
          <w:sz w:val="20"/>
          <w:szCs w:val="20"/>
          <w:color w:val="auto"/>
        </w:rPr>
      </w:pPr>
    </w:p>
    <w:p>
      <w:pPr>
        <w:ind w:right="740" w:firstLine="486"/>
        <w:spacing w:after="0" w:line="458" w:lineRule="auto"/>
        <w:rPr>
          <w:sz w:val="20"/>
          <w:szCs w:val="20"/>
          <w:color w:val="auto"/>
        </w:rPr>
      </w:pPr>
      <w:r>
        <w:rPr>
          <w:rFonts w:ascii="Times New Roman" w:cs="Times New Roman" w:eastAsia="Times New Roman" w:hAnsi="Times New Roman"/>
          <w:sz w:val="18"/>
          <w:szCs w:val="18"/>
          <w:color w:val="auto"/>
        </w:rPr>
        <w:t xml:space="preserve">As a percentage of net sales, SG&amp;A increased slightly for fiscal 2023 compared to fiscal 2022 primarily due to the aforementioned factors. </w:t>
      </w:r>
      <w:r>
        <w:rPr>
          <w:rFonts w:ascii="Times New Roman" w:cs="Times New Roman" w:eastAsia="Times New Roman" w:hAnsi="Times New Roman"/>
          <w:sz w:val="18"/>
          <w:szCs w:val="18"/>
          <w:b w:val="1"/>
          <w:bCs w:val="1"/>
          <w:i w:val="1"/>
          <w:iCs w:val="1"/>
          <w:color w:val="auto"/>
        </w:rPr>
        <w:t>Interest Expense, net</w:t>
      </w: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17,967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net interest expense for fiscal 2023 compared to fiscal 2022 was primarily driven by increased interest income from IO notes and cash and cash equivalents as well as $2.1 million in capitalized interest in fiscal 2023, partially offset by increased interest expense on loans. The increased interest expense on loans was due to increases in the effective borrowing rate on loans, partially offset by a decrease in principal debt outstanding over fiscal 2023.</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6—Long-term Debt to our Consolidated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 and Modification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319.2 %</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2023, we recorded a $5.3 million loss on debt extinguishment related to the payoff of $385.0 million of principal on the senior term loan outstanding under our prior credit facilities. During fiscal 2022, we recorded a $1.3 million loss on debt extinguishment related to the prepayment of $75.0 million of principal on the senior term loan outstanding under our prior credit facilities.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6—Long-term Debt to our Consolidated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24,644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income tax expense for fiscal 2023 compared to fiscal 2022 was primarily driven by higher pre-tax income.</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our effective income tax rate for fiscal 2023 compared to fiscal 2022 was primarily driven by lower excess tax benefits related to the exercise of stock options as well as non-deductible executive compensation under Internal Revenue Code Section 162(m) during fiscal 2023, which was not applicable during fiscal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10—Income Taxes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foregoing factors, net income increased in fiscal 2023 compared to fiscal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adjusted EBITDA for fiscal 2023 compared to fiscal 2022 was primarily attributable to an increase in comparable store sales of 7.5% for fiscal 2023 as well as higher net sales resulting from new store growth, combined with increased gross margin.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108,113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adjusted net income for fiscal 2023 compared to fiscal 2022 was primarily attributable to an increase in comparable store sales of 7.5% for fiscal 2023 as well as higher net sales resulting from new store growth, combined with increased gross margin.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as of February 21, 2023 (the "2023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30, 2023, we had cash and cash equivalents of $115.0 million, which consisted primarily of cash held in checking and money market accounts with financial institutions. In addition, we have a revolving credit facility with $400.0 million in borrowing capacity under our 2023 Credit Agreement. As of December 30, 2023, we had no borrowings outstanding under the revolving credit facility and $4.2 million of outstanding standby letters of credit, resulting in $395.8 million of remaining borrowing capacity available under this revolving credit facility.</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21, 2023, we entered into the 2023 Credit Agreement, which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senior term loan was borrowed in full on such date, and $25.0 million of the revolving credit facility was borrowed on such date. Also on February 21, 2023, we repaid all of the outstanding indebtedness under our prior first lien credit agreement, as well as fees and expenses in connection therewith. See NOTE 6—Long-term Debt to our Consolidated Financial Statements for further detail regarding the 2023 Credit Agreement and our prior first lien credit agreement.</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also, from time to time, at our sole discretion, prepay or retire all or a portion of our outstanding debt. On April 21, 2023, we repaid the $25.0 million of principal on our revolving credit facility. Since the April 21, 2023 repayment, no amounts were borrowed under this revolving credit facility.</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526"/>
        <w:spacing w:after="0" w:line="261" w:lineRule="auto"/>
        <w:rPr>
          <w:sz w:val="20"/>
          <w:szCs w:val="20"/>
          <w:color w:val="auto"/>
        </w:rPr>
      </w:pPr>
      <w:r>
        <w:rPr>
          <w:rFonts w:ascii="Times New Roman" w:cs="Times New Roman" w:eastAsia="Times New Roman" w:hAnsi="Times New Roman"/>
          <w:sz w:val="18"/>
          <w:szCs w:val="18"/>
          <w:color w:val="auto"/>
        </w:rPr>
        <w:t>We have operating and finance lease arrangements for substantially all store locations, distribution centers, and certain office space and equipment. As of December 30, 2023, total lease assets and lease liabilities were $952.1 million and $1.1 billion, respectively, and we had executed leases for 41 store locations that we had not yet taken possession of with total undiscounted future lease payments of $229.5 million and lease terms through 2043. See NOTE 4—Leases to our Consolidated Financial Statements for further detail of our lease obligations and the timing of lease liability maturities.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Debt Obligations and Interest Payments</w:t>
      </w:r>
    </w:p>
    <w:p>
      <w:pPr>
        <w:spacing w:after="0" w:line="119" w:lineRule="exact"/>
        <w:rPr>
          <w:sz w:val="20"/>
          <w:szCs w:val="20"/>
          <w:color w:val="auto"/>
        </w:rPr>
      </w:pPr>
    </w:p>
    <w:p>
      <w:pPr>
        <w:jc w:val="both"/>
        <w:ind w:firstLine="526"/>
        <w:spacing w:after="0" w:line="258" w:lineRule="auto"/>
        <w:rPr>
          <w:sz w:val="20"/>
          <w:szCs w:val="20"/>
          <w:color w:val="auto"/>
        </w:rPr>
      </w:pPr>
      <w:r>
        <w:rPr>
          <w:rFonts w:ascii="Times New Roman" w:cs="Times New Roman" w:eastAsia="Times New Roman" w:hAnsi="Times New Roman"/>
          <w:sz w:val="18"/>
          <w:szCs w:val="18"/>
          <w:color w:val="auto"/>
        </w:rPr>
        <w:t>See NOTE 6—Long-term Debt to our Consolidated Financial Statements for further detail of our 2023 Credit Agreement, which consists of a senior term loan with $294.4 million of principal outstanding as of December 30, 2023 and a revolving credit facility for an amount up to $400.0 million, and the timing of principal maturities. As of December 30, 2023, based on the then-current interest rate of 7.46%, expected future interest payments associated with our debt totaled $85.5 million, with $22.0 million payable during fiscal 2024. The 2023 Credit Agreement requires us to make scheduled quarterly amortization payments on the senior term loan. Such payments total $50.6 million over the remaining term of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term loan, with $5.6 million payable in fiscal 2024. The remaining senior term loan principal balance will become due in February 2028 at maturity.</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 As compared to capital expenditures of $175.6 million, net of tenant improvement allowances, in fiscal 2023, we expect to incur capital expenditures of approximately $170.0 million, net of tenant improvement allowances, in fiscal 2024, primarily related to new store openings, ongoing store maintenance and improvements and systems and infrastructure investments.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Working Capital and Purchase Commitments</w:t>
      </w:r>
    </w:p>
    <w:p>
      <w:pPr>
        <w:spacing w:after="0" w:line="119" w:lineRule="exact"/>
        <w:rPr>
          <w:sz w:val="20"/>
          <w:szCs w:val="20"/>
          <w:color w:val="auto"/>
        </w:rPr>
      </w:pPr>
    </w:p>
    <w:p>
      <w:pPr>
        <w:jc w:val="both"/>
        <w:ind w:firstLine="526"/>
        <w:spacing w:after="0" w:line="266"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68" w:lineRule="exact"/>
        <w:rPr>
          <w:sz w:val="20"/>
          <w:szCs w:val="20"/>
          <w:color w:val="auto"/>
        </w:rPr>
      </w:pPr>
    </w:p>
    <w:p>
      <w:pPr>
        <w:jc w:val="both"/>
        <w:ind w:right="20" w:firstLine="526"/>
        <w:spacing w:after="0" w:line="282" w:lineRule="auto"/>
        <w:rPr>
          <w:sz w:val="20"/>
          <w:szCs w:val="20"/>
          <w:color w:val="auto"/>
        </w:rPr>
      </w:pPr>
      <w:r>
        <w:rPr>
          <w:rFonts w:ascii="Times New Roman" w:cs="Times New Roman" w:eastAsia="Times New Roman" w:hAnsi="Times New Roman"/>
          <w:sz w:val="18"/>
          <w:szCs w:val="18"/>
          <w:color w:val="auto"/>
        </w:rPr>
        <w:t>Our purchase commitments consist of non-cancelable obligations under service and supply contracts. As of December 30, 2023, we had total purchase obligations of $4.9 million, with $4.6 million payable during fiscal 2024.</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Share Repurchases and Dividends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repurchase our common stock pursuant to programs approved by our Board of Directors. As of December 30, 2023, we had $89.8 million of repurchase authority remaining under the current share repurchase program. See "Item 5. Market For Registrant's Common Equity, Related Stockholder Matters and Issuer Purchases of Equity Securities—Issuer Purchases of Equity Securities" for discussion about our Board-authorized share repurchase program.</w:t>
      </w:r>
    </w:p>
    <w:p>
      <w:pPr>
        <w:spacing w:after="0" w:line="72" w:lineRule="exact"/>
        <w:rPr>
          <w:sz w:val="20"/>
          <w:szCs w:val="20"/>
          <w:color w:val="auto"/>
        </w:rPr>
      </w:pPr>
    </w:p>
    <w:p>
      <w:pPr>
        <w:ind w:left="500" w:right="1640"/>
        <w:spacing w:after="0" w:line="406" w:lineRule="auto"/>
        <w:rPr>
          <w:sz w:val="20"/>
          <w:szCs w:val="20"/>
          <w:color w:val="auto"/>
        </w:rPr>
      </w:pPr>
      <w:r>
        <w:rPr>
          <w:rFonts w:ascii="Times New Roman" w:cs="Times New Roman" w:eastAsia="Times New Roman" w:hAnsi="Times New Roman"/>
          <w:sz w:val="18"/>
          <w:szCs w:val="18"/>
          <w:color w:val="auto"/>
        </w:rPr>
        <w:t xml:space="preserve">As of December 30, 2023, we currently do not expect to declare any dividends on our common stock in the foreseeable future. </w:t>
      </w:r>
      <w:r>
        <w:rPr>
          <w:rFonts w:ascii="Times New Roman" w:cs="Times New Roman" w:eastAsia="Times New Roman" w:hAnsi="Times New Roman"/>
          <w:sz w:val="18"/>
          <w:szCs w:val="18"/>
          <w:i w:val="1"/>
          <w:iCs w:val="1"/>
          <w:color w:val="auto"/>
        </w:rPr>
        <w:t>Acquisition of United Grocery Outlet</w:t>
      </w:r>
    </w:p>
    <w:p>
      <w:pPr>
        <w:spacing w:after="0" w:line="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14, 2024, Grocery Outlet Inc., our wholly owned subsidiary, entered into a stock purchase agreement to acquire BBGO Acquisition, Inc., a holding company that owns all of the outstanding capital stock of The Bargain Barn Inc., which does business as United Grocery Outlet, for approximately $62.0 million in cash, subject to customary purchase price adjustments. This transaction is expected to close early in the second quarter of fiscal 2024 and remains subject to customary closing conditions. We expect to finance the transaction with available cash. See "Acquisition of United Grocery Outlet" in "Item 1. Business" of this Annual Report on Form 10-K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2023 Credit Agreement contains certain customary representations and warranties, subject to limitations and exceptions, and affirmative and customary covenants. The 2023 Credit Agreement contains certain covenants that, among other things, limit the our ability and the ability of our restricted subsidiary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subsidiary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30, 2023, we were in compliance with all applicable financial covenant requirements for our 2023 Credit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165,587</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(136,713)</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23"/>
        </w:trPr>
        <w:tc>
          <w:tcPr>
            <w:tcW w:w="6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34,759</w:t>
            </w:r>
          </w:p>
        </w:tc>
      </w:tr>
      <w:tr>
        <w:trPr>
          <w:trHeight w:val="21"/>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$303.4 million for fiscal 2023 compared to $185.5 million for fiscal 2022. The $117.9 million increase was primarily driven by higher trade accounts payable, higher accrued expenses and changes in merchandise inventory levels, combined with increased net sales driven by comparable stores sales and new store growth, partially offset by increases in prepaid expenses. The changes in trade accounts payable and accrued expenses were partially attributable to disruptions related to our aforementioned system upgrades.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$194.2 million for fiscal 2023 compared to $149.9 million for fiscal 2022. The $44.2 million increase was primarily due to increased spending on property and equipment due to higher store count and accelerated payments made to construction vendors near the end of fiscal 2023, as well as increased investments in computer software intangible assets related to upgrading components of our enterprise resource planning system, including our financial ledger, inventory management platform and product data warehouse system.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of $97.0 million for fiscal 2023 was primarily due to the payoff of $385.0 million of principal on the prior senior term loan outstanding under our prior credit facilities, repayment of the $25.0 million of principal on our revolving credit facility under our new credit facilities, $4.5 million in debt issuance costs paid, the repurchase of $5.9 million worth of common stock, and $5.6 million in scheduled principal payments on the senior term loan under our new current credit facilities, partially offset by $325.0 million in proceeds from the new credit facilities. Net cash used in financing activities of $72.9 million for fiscal 2022 was primarily due to the prepayment of $75.0 million of principal on the senior term loan outstanding under our prior credit facilities as well as the repurchase of $3.5 million worth of common stock, partially offset by $6.9 million in proceeds from the exercise of stock options.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A summary of our significant accounting policies can be found in NOTE 1—Organization and Summary of Significant Accounting Policies to our Consolidated Financial Statements. The preparation of our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and believes that the following involves a higher degree of judgment or complexity and is most significant to reporting our results of operations and financial position, and is therefore discussed as critical. With respect to critical accounting policies, even a relatively minor variance between actual and expected results can potentially have a materially favorable or unfavorable impact on subsequent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evaluate long-lived assets, including property and equipment and lease right-of-use assets, for impairment when events or changes in circumstances indicate that the carrying value of such assets may not be recoverable. For purposes of this evaluation, long-lived assets are grouped with other assets and liabilities at the lowest level for which identifiable cash flows are largely independent of the cash flows of other assets. Our retail stores are evaluated for impairment at the store level. A long-lived asset or asset group may be impaired if its carrying value exceeds its estimated undiscounted future cash flows over its remaining useful life. The total amount of property and equipment, including store assets, and operating lease right-of-use assets as of December 30, 2023 were $642.5 million and $945.7 million, respectively.</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impairment calculations contain uncertainties because they require us to make assumptions and to apply judgment to estimate future cash flows. Key assumptions used in estimating future cash flows include projected sales growth, gross margin and operating expenses. Estimates of sales growth, gross margin and operating expenses are based on internal projections and consider the store’s historical performance, length of time the store has been open, the local market economics and the business environment impacting the store’s performance. These estimates are subjective and our ability to realize future cash flows is affected by factors such as ongoing maintenance and improvement of the assets, changes in economic conditions and changes in operating performance. We have not made any material changes in the accounting methodology used to evaluate the impairment of long-lived assets during fiscal 2023. If actual results are not consistent with our estimates and assumptions used to calculate estimated future cash flows, we may be exposed to impairment losses that could be material.</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 long-lived asset or asset group is determined to be impaired, we record an impairment loss for the amount by which the carrying value of the asset or asset group exceeds its fair value. The estimated fair value of the asset or asset group is based on the estimated discounted future cash flows of the asset or asset group using a discount rate commensurate with the related risk.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adjustments to the carrying value of long-lived assets due to impairment charges during fiscal 2023,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1—Organization and Summary of Significant Accounting Policies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credit facilities, which bear variable interest rates. As of December 30, 2023, our outstanding borrowings included $294.4 million from our senior term loan under the 2023 Credit Agreement. As of December 30, 2023, the interest rate on the senior term loan was 7.46% (See NOTE 6—Long-term Debt to our Consolidated Financial Statements for additional information). Based on the outstanding balance and interest rate of our senior term loan as of December 30, 2023, a hypothetical 10% relative increase or decrease in the interest rate would cause an increase or decrease in interest expense, excluding the capitalization of interest, of approximately $2.2 million over the next 12 months.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or trading purposes, but this does not preclude our adoption of specific hedging strategies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experienced over the last several years varying levels of inflation, resulting in part from various supply disruptions, increased shipping and transportation costs, increased commodity costs, increased labor costs in the supply chain, increased SG&amp;A related to personnel, travel, and other operational costs and other disruptions caused by the current macroeconomic environment. Similarly, our IOs have been impacted by staffing challenges and increased labor costs and utility costs within their businesses. Furthermore, our results of operations and financial condition may be materially impacted by inflation in the future.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4"/>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GROCERY OUTLET HOLDING CORP.</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72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4"/>
        </w:trPr>
        <w:tc>
          <w:tcPr>
            <w:tcW w:w="20" w:type="dxa"/>
            <w:vAlign w:val="bottom"/>
          </w:tcPr>
          <w:p>
            <w:pPr>
              <w:spacing w:after="0"/>
              <w:rPr>
                <w:sz w:val="16"/>
                <w:szCs w:val="16"/>
                <w:color w:val="auto"/>
              </w:rPr>
            </w:pPr>
          </w:p>
        </w:tc>
        <w:tc>
          <w:tcPr>
            <w:tcW w:w="93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0E32E1"/>
              </w:rPr>
              <w:t>34)</w:t>
            </w:r>
          </w:p>
        </w:tc>
        <w:tc>
          <w:tcPr>
            <w:tcW w:w="1640" w:type="dxa"/>
            <w:vAlign w:val="bottom"/>
            <w:gridSpan w:val="2"/>
          </w:tcPr>
          <w:p>
            <w:pPr>
              <w:jc w:val="center"/>
              <w:ind w:left="1370"/>
              <w:spacing w:after="0" w:line="194" w:lineRule="exact"/>
              <w:rPr>
                <w:sz w:val="20"/>
                <w:szCs w:val="20"/>
                <w:color w:val="auto"/>
              </w:rPr>
            </w:pPr>
            <w:r>
              <w:rPr>
                <w:rFonts w:ascii="Times New Roman" w:cs="Times New Roman" w:eastAsia="Times New Roman" w:hAnsi="Times New Roman"/>
                <w:sz w:val="18"/>
                <w:szCs w:val="18"/>
                <w:color w:val="0000FF"/>
                <w:w w:val="99"/>
              </w:rPr>
              <w:t>64</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38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66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16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67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4420" w:type="dxa"/>
            <w:vAlign w:val="bottom"/>
            <w:gridSpan w:val="3"/>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68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gridSpan w:val="2"/>
          </w:tcPr>
          <w:p>
            <w:pPr>
              <w:spacing w:after="0"/>
              <w:rPr>
                <w:sz w:val="18"/>
                <w:szCs w:val="18"/>
                <w:color w:val="auto"/>
              </w:rPr>
            </w:pPr>
          </w:p>
        </w:tc>
        <w:tc>
          <w:tcPr>
            <w:tcW w:w="5780" w:type="dxa"/>
            <w:vAlign w:val="bottom"/>
            <w:gridSpan w:val="4"/>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69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140" w:type="dxa"/>
            <w:vAlign w:val="bottom"/>
            <w:gridSpan w:val="5"/>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70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Grocery Outlet Holding Corp. and subsidiary (the "Company") as of December 30, 2023 and December 31, 2022, the related consolidated statements of operations and comprehensive income, stockholders' equity, and cash flows, for each of the fiscal years ended December 30, 2023, December 31, 2022 and January 1, 2022, and the related notes (collectively referred to as the "financial statements"). In our opinion, the financial statements present fairly, in all material respects, the financial position of the Company as of December 30, 2023 and December 31, 2022, and the results of its operations and its cash flows for each of the fiscal years ended December 30, 2023, December 31, 2022, and January 1, 2022,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2024, expressed an adverse opinion on the Company's internal control over financial reporting because of a material weakness.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 — Recoverability of stores identified with impairment indicators — Refer to Notes 1, 3, and 4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long-lived assets, primarily property and equipment and lease right-of-use assets, are grouped at the store level, which is the lowest level for which identifiable cash flows are largely independent of the cash flows of other assets and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at least a quarterly basis, management reviews the Company's asset groups for indicators of impairment through an analysis which detects events or changes in circumstances that indicate that the carrying value of asset groups may not be recoverable. Management's impairment analysis determines whether projected undiscounted future cash flows from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are sufficient to recover the carrying value of these store assets. Impairment may result when the carrying value of these store assets exceeds the estimated undiscounted future cash flows over the remaining useful life. Management's impairment analysis consists of (1) identifying stores with indicators of impairment, (2) testing the identified store assets for recoverability and (3) measuring the impairment loss, if any. During the year ended December 30, 2023, management did not record impairment of long-lived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of store-level long-lived assets is a critical audit matter relates to the significant judgment by management in developing the estimated future cash flows expected to be generated by the asset. This in turn led to a high degree of auditor judgment, subjectivity, and effort in performing procedures and evaluating the cash flows, including the significant assumptions for sales growth rate, gross margin and operating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judgments regarding the forecasts of future cash flows included the following, among others:</w:t>
      </w:r>
    </w:p>
    <w:p>
      <w:pPr>
        <w:spacing w:after="0" w:line="117"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sales growth, gross margin, and operating expenses by comparing actual results to management's historical forecasts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sales growth, gross margin, and operating expense forecasts by comparing the forecasts to:</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Current and past sales, gross margins, and operating expenses of the overall Company and individual store level asset groups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Consistency with external market and industry data</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Internal communications to management and the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accuracy, and relevance of underlying data used in determining undiscounted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102,728</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Independent operator receivables and current portion of independent operator notes, net of allowance $5,092</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$2,238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receivable, net of allowance $2 and $7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Merchandise inventories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334,319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467,357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notes and receivables, net of allowance $11,059 and $12,509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902,163</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2,772,404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53,213</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379,650</w:t>
            </w: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980,759</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1,662,190</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500,000,000 shares authorized; 99,223,863 and 97,674,356 shares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Series A Preferred stock, par value $0.001 per share, 50,000,000 shares authorized; no shares issued and</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847,589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1,110,214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2,772,404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3,079,582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2,727,774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2,486,002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2,130,796</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948,786</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859,691</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89,095</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77,501</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95,725</w:t>
            </w:r>
          </w:p>
        </w:tc>
        <w:tc>
          <w:tcPr>
            <w:tcW w:w="0" w:type="dxa"/>
            <w:vAlign w:val="bottom"/>
          </w:tcPr>
          <w:p>
            <w:pPr>
              <w:spacing w:after="0"/>
              <w:rPr>
                <w:sz w:val="1"/>
                <w:szCs w:val="1"/>
                <w:color w:val="auto"/>
              </w:rPr>
            </w:pP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0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5200" w:type="dxa"/>
            <w:vAlign w:val="bottom"/>
          </w:tcPr>
          <w:p>
            <w:pPr>
              <w:spacing w:after="0"/>
              <w:rPr>
                <w:sz w:val="3"/>
                <w:szCs w:val="3"/>
                <w:color w:val="auto"/>
              </w:rPr>
            </w:pP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94,854,336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1,290,097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96,144,433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811,701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197,475</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1,669,641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97,674,356</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98</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847,589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1,110,214</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and vesting of share-based awards, net of shares withheld</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1,804,023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employee taxes</w:t>
            </w: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94"/>
        </w:trPr>
        <w:tc>
          <w:tcPr>
            <w:tcW w:w="5200" w:type="dxa"/>
            <w:vAlign w:val="bottom"/>
            <w:vMerge w:val="continue"/>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99,223,863</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341,964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1,219,339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62,310</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63,442</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independent operator and other accounts receivable reserves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insurance recoveries - business interruption and inventory</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Independent operator and other accounts receivable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 accrued compensation and other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165,587</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independent operators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advances from independent operators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(123,384)</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intangible assets and licenses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insurance recoveries - property and equipment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(194,165)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(149,931)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(136,713)</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withholding related to net settlement of employee share-based awards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term loan due 2028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revolving credit facility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senior term loan due 2025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senior term loan due 2028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 paid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34,759</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105,326</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140,085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14,604</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paid (refunded) in cash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accrued at end of period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accrued at end of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176"/>
        </w:trPr>
        <w:tc>
          <w:tcPr>
            <w:tcW w:w="6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Acquisition of equipment in exchange for reduction of independent operator notes and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78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785"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Summary of Significant Accounting Policies</w:t>
      </w:r>
    </w:p>
    <w:p>
      <w:pPr>
        <w:spacing w:after="0" w:line="11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 Based in Emeryville, California, and incorporated in Delaware in 2014, Grocery Outlet Holding Corp. (together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collectively, "Grocery Outlet," "we," or the "Company") is a high-growth, extreme value retailer of quality, name-brand consumables and fresh products sold through a network of independently operated stores. Effective July 12, 2023, subsidiaries Globe Intermediate Corp., GOBP Holdings, Inc. and GOBP Midco, Inc. were merged with and into Grocery Outlet Holding Corp. As of December 30, 2023, we had 468 stores throughout California, Washington, Oregon, Pennsylvania, Idaho, Nevada, Maryland, New Jersey and Ohio.</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Grocery Outlet Holding Corp. (the "Parent Company") owns 100% of Grocery Outlet Inc. ("GOI").</w:t>
      </w:r>
    </w:p>
    <w:p>
      <w:pPr>
        <w:spacing w:after="0" w:line="11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 We operate on a fiscal year that ends on the Saturday closest to December 31st each year. The fiscal years ended December 30,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2023'), December 31, 2022 ("fiscal 2022") and January 1, 2022 ("fiscal 2021") all consisted of 52 weeks.</w:t>
      </w:r>
    </w:p>
    <w:p>
      <w:pPr>
        <w:spacing w:after="0" w:line="4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accordance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("GAAP") and the applicable rules and regulations of the United States ("U.S.") Securities and Exchange Commission (the "SEC"). Our consolidated financial statements include the accounts of Grocery Outlet Holding Corp. and its wholly owned subsidiary. All intercompany balances and transactions were eliminated. In the opinion of management, these consolidated financial statements include all adjustments, consisting of normal recurring adjustments, necessary for a fair statement of the results for the periods presented. Beginning with the first quarter of fiscal 2023, certain prior period amounts in the consolidated statements of operations and comprehensive income have been reclassified to conform to the current period presentation. Specifically, in order to enhance the comparability of our results with our peers, depreciation and amortization expenses and share-based compensation expenses are now included in selling, general and administrative expenses. The reclassification of these items had no impact on net income, earnings per share, or retained earnings in the current or prior periods.</w:t>
      </w:r>
    </w:p>
    <w:p>
      <w:pPr>
        <w:spacing w:after="0" w:line="8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policy relating to long-lived asset impairment to be a significant accounting policy that involves management's estimate and judgment.</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We manage our business as one operating segment. In addition, all of our sales were made to customers located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property and equipment is located in the U.S.</w:t>
      </w:r>
    </w:p>
    <w:p>
      <w:pPr>
        <w:spacing w:after="0" w:line="9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All cash equivalents are unrestricted and available for immediate use. Cash and cash equivalents consisted primarily of cash held in checking and money market accounts as of December 30, 2023 and December 31, 2022.</w:t>
      </w:r>
    </w:p>
    <w:p>
      <w:pPr>
        <w:spacing w:after="0" w:line="6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Allowance for Independent Operator ("IO") Receivables and IO Notes and Other Accounts Receivable </w:t>
      </w:r>
      <w:r>
        <w:rPr>
          <w:rFonts w:ascii="Times New Roman" w:cs="Times New Roman" w:eastAsia="Times New Roman" w:hAnsi="Times New Roman"/>
          <w:sz w:val="18"/>
          <w:szCs w:val="18"/>
          <w:color w:val="auto"/>
        </w:rPr>
        <w:t>— We maintain allowances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accruals for estimated losses of amounts advanced to IOs and other third parties determined to be uncollectible. See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Independent Operator Notes and Independent Operator Receivables, for additional information.</w:t>
      </w:r>
    </w:p>
    <w:p>
      <w:pPr>
        <w:spacing w:after="0" w:line="63"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that potentially subject us to concentrations of credit risk consist primarily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and notes receivable. Although we deposit our cash with creditworthy financial institutions, our deposits typically exceed federally insured limits. To date, we have not experienced any losses on our cash deposits. No single customer or store represented more than 10% of net sales for the fiscal years ended December 30, 2023, December 31, 2022 and January 1, 2022. No single customer or IO represented more than 10% of accounts receivable or notes receivable as of December 30, 2023 and December 31, 2022.</w:t>
      </w:r>
    </w:p>
    <w:p>
      <w:pPr>
        <w:spacing w:after="0" w:line="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Merchandise Inventories </w:t>
      </w:r>
      <w:r>
        <w:rPr>
          <w:rFonts w:ascii="Times New Roman" w:cs="Times New Roman" w:eastAsia="Times New Roman" w:hAnsi="Times New Roman"/>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is stated at cost less accumulated depreciation and includes expenditures for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to leased premises. Depreciation of property and equipment is calculated using the straight-line method over the estimated useful lives of the assets, generally ranging from three to 15 years. Amortization of leasehold improvements is calculated based on the shorter of their estimated useful life or the remaining terms of the lease. Remaining lease terms currently range from one to 20 years.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 through undiscounted future cash flows derived from their use and eventual disposition. For purposes of this assessment, long-lived assets are grouped with other assets and liabilities at the lowest level for which identifiable cash flows are largely independent of the cash flows of other assets and liabilities, primarily at an individual store level. If the sum of the undiscounted future cash flows is less than the carrying amount of an asset, we record an impairment loss for the amount by which the carrying amount of the asset exceeds its fair value. The total amount of property and equipment, including store assets, and operating lease right-of-use assets as of December 30, 2023 were $642.5 million and $945.7 million, respectively, and as of December 31, 2022 were $560.7 million and $902.2 million, respectively. The estimated fair value of the asset or asset group is based on the estimated discounted future cash flows of the asset or asset group using a discount rate commensurate with the related risk. There were no adjustments to the carrying value of long-lived assets due to impairment charges during fiscal 2023, 2022 and 2021. See NOTE 3—Property and Equipment and NOTE 4—Leases for additional information.</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an arrangement is a lease at inception. Operating leases are included in operating lease right-of-use assets, current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long-term lease liabilities in our consolidated balance sheets. Finance leases are included in other assets, current lease liabilities, and long-term lease liabilities in our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 We have both goodwill and intangible assets recorded on our consolidated balance sheets.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evaluation, based on discounted cash flows, is performed which requires us to estimate future cash flows, growth rates and economic and market conditions. If the quantitative evaluation indicates that goodwill is not recoverable, an impairment loss is calculated and recognized during that period. Measurement of such an impairment loss would be based on the excess of the carrying amount over fair value. There were no goodwill impairment charges recorded during the fiscal years ended December 30, 2023, December 31, 2022 and January 1, 2022. There were no changes in the carrying amount of goodwill for the fiscal years ended December 30, 2023, December 31, 2022, and January 1, 2022.</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Intangible assets include trademarks, computer software, and liquor licenses. Trademarks represent the value of all our trademarks and trade names in the marketplace. We are amortizing the value assigned to the trade names on a straight-line basis over 15 years. Computer software includes both acquired software and eligible costs to develop internal-use software that are incurred during the application development stage. These assets are amortized over their estimated useful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lives of three to 10 years. Liquor license assets have been classified as indefinite-lived intangible assets and accordingly, are not subject to amortization. We review our intangible assets for impairment when events or changes in circumstances indicate that the carrying amount may not be recoverable. If the carrying amount of the intangible assets are not recoverable, the impairment is measured as the amount by which the carrying value of the intangible asset exceeds its fair value. There were no impairments of intangible assets recognized during the fiscal years ended December 30, 2023, December 31, 2022 and January 1, 2022.</w:t>
      </w:r>
    </w:p>
    <w:p>
      <w:pPr>
        <w:spacing w:after="0" w:line="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Fair value is defined as the exchange price, or exit price, representing the amount that would be received to sell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or inputs that are observable</w:t>
      </w:r>
    </w:p>
    <w:p>
      <w:pPr>
        <w:spacing w:after="0" w:line="117" w:lineRule="exact"/>
        <w:rPr>
          <w:sz w:val="20"/>
          <w:szCs w:val="20"/>
          <w:color w:val="auto"/>
        </w:rPr>
      </w:pPr>
    </w:p>
    <w:p>
      <w:pPr>
        <w:ind w:lef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there is little or no market data, which requires us to develop our own assumptions when pricing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such as cash flow modeling assumptions.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recurring or non-recurring basis as of December 30, 2023 or December 31, 2022. Generally, assets are recorded at fair value on a non-recurring basis as a result of impairment charges. See NOTE 3—Property and Equipment and NOTE 5 —Goodwill and Intangible Assets, for additional information. There were no transfers of assets or liabilities between levels within the fair value hierarchy during the fiscal years ended December 30, 2023 or December 31, 2022.</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assets and liabilities are carried at cost, which generally approximates their fair value, as described below:</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IO receivables, other accounts receivable and accounts payable </w:t>
      </w:r>
      <w:r>
        <w:rPr>
          <w:rFonts w:ascii="Times New Roman" w:cs="Times New Roman" w:eastAsia="Times New Roman" w:hAnsi="Times New Roman"/>
          <w:sz w:val="18"/>
          <w:szCs w:val="18"/>
          <w:color w:val="auto"/>
        </w:rPr>
        <w:t>— The carrying value of such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approximates their fair value due to factors such as their short-term nature, their variable interest rates or the effect of the related allowance for expected credit losses.</w:t>
      </w:r>
    </w:p>
    <w:p>
      <w:pPr>
        <w:spacing w:after="0" w:line="6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IO notes receivable (net) </w:t>
      </w:r>
      <w:r>
        <w:rPr>
          <w:rFonts w:ascii="Times New Roman" w:cs="Times New Roman" w:eastAsia="Times New Roman" w:hAnsi="Times New Roman"/>
          <w:sz w:val="18"/>
          <w:szCs w:val="18"/>
          <w:color w:val="auto"/>
        </w:rPr>
        <w:t>— The carrying value of such financial instruments approximates their fair value due to the effect of the related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expected credit losses.</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carrying amounts and estimated fair values of our significant financial liabilities that are not recorded at fair value on the consolidated balance sheets (amounts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5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4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term loans (Level 2)</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292,732</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294,375</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379,650</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383,075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22" w:lineRule="exact"/>
        <w:rPr>
          <w:sz w:val="20"/>
          <w:szCs w:val="20"/>
          <w:color w:val="auto"/>
        </w:rPr>
      </w:pPr>
    </w:p>
    <w:p>
      <w:pPr>
        <w:ind w:left="500" w:hanging="492"/>
        <w:spacing w:after="0" w:line="262"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amounts of our senior term loans as of December 30, 2023 and December 31, 2022 are net of unamortized debt discounts of zero and $0.6 million, respectively, and debt issuance costs of $1.6 million and $4.7 million, respectively.</w:t>
      </w:r>
    </w:p>
    <w:p>
      <w:pPr>
        <w:spacing w:after="0" w:line="3" w:lineRule="exact"/>
        <w:rPr>
          <w:rFonts w:ascii="Times New Roman" w:cs="Times New Roman" w:eastAsia="Times New Roman" w:hAnsi="Times New Roman"/>
          <w:sz w:val="16"/>
          <w:szCs w:val="16"/>
          <w:color w:val="auto"/>
        </w:rPr>
      </w:pPr>
    </w:p>
    <w:p>
      <w:pPr>
        <w:jc w:val="both"/>
        <w:ind w:left="500" w:hanging="492"/>
        <w:spacing w:after="0" w:line="257" w:lineRule="auto"/>
        <w:tabs>
          <w:tab w:leader="none" w:pos="50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estimated fair value of our current senior term loan borrowings under our 2023 Credit Agreement, as defined in Note 6—Long-term Debt, was deemed to approximate the carrying value, excluding unamortized debt issuance costs, because the interest rate is variable with short reset periods and is reflective of the current market rate.</w:t>
      </w:r>
    </w:p>
    <w:p>
      <w:pPr>
        <w:spacing w:after="0" w:line="2" w:lineRule="exact"/>
        <w:rPr>
          <w:rFonts w:ascii="Times New Roman" w:cs="Times New Roman" w:eastAsia="Times New Roman" w:hAnsi="Times New Roman"/>
          <w:sz w:val="16"/>
          <w:szCs w:val="16"/>
          <w:i w:val="1"/>
          <w:iCs w:val="1"/>
          <w:color w:val="auto"/>
        </w:rPr>
      </w:pPr>
    </w:p>
    <w:p>
      <w:pPr>
        <w:ind w:left="500" w:right="20" w:hanging="492"/>
        <w:spacing w:after="0" w:line="298" w:lineRule="auto"/>
        <w:tabs>
          <w:tab w:leader="none" w:pos="50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estimated fair value of our prior senior term loan, as defined in Note 6—Long-term Debt, was determined based on the average quoted bid-ask prices for the prior senior term loan in an over-the-counter market on the last trading day of the period presented.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revenue from the sale of products at the point of sale, net of any taxes or deposits collected and remitted to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December 30, 2023 and December 31, 2022.</w:t>
      </w:r>
    </w:p>
    <w:p>
      <w:pPr>
        <w:spacing w:after="0" w:line="6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Gift Cards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 a deferred revenue liability when a Grocery Outlet gift card is sold. Revenue related to gift cards is recognized as the gift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$3.2 million and $3.6 million as of December 30, 2023 and December 31, 2022, respectively. Breakage amounts were $0.2 million, $0.3 million and $0.3 million for the fiscal years ended December 30, 2023, December 31, 2022 and January 1, 2022, respectively.</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Disaggregated Revenues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presents net sales revenue by type of product for the fiscal years ended December 30,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January 1, 2022 (amounts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Perishable </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1,067,198</w:t>
            </w:r>
          </w:p>
        </w:tc>
      </w:tr>
      <w:tr>
        <w:trPr>
          <w:trHeight w:val="229"/>
        </w:trPr>
        <w:tc>
          <w:tcPr>
            <w:tcW w:w="6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Non-perishable </w:t>
            </w:r>
            <w:r>
              <w:rPr>
                <w:rFonts w:ascii="Times New Roman" w:cs="Times New Roman" w:eastAsia="Times New Roman" w:hAnsi="Times New Roman"/>
                <w:sz w:val="26"/>
                <w:szCs w:val="26"/>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2,564,992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2,305,901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2,012,384</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3,079,582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22"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Perishable departments include dairy and deli; produce and floral; and fresh meat and seafood.</w:t>
      </w:r>
    </w:p>
    <w:p>
      <w:pPr>
        <w:spacing w:after="0" w:line="2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Non-perishable departments include non-perishable grocery; general merchandise; health and beauty care; frozen foods; and beer and wine.</w:t>
      </w:r>
    </w:p>
    <w:p>
      <w:pPr>
        <w:spacing w:after="0" w:line="11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 Cost of sales includes, among other things, merchandise costs, inventory markdowns, shrink, transportation, third-party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distribution and warehousing costs, including depreciation.</w:t>
      </w:r>
    </w:p>
    <w:p>
      <w:pPr>
        <w:spacing w:after="0" w:line="4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Marketing and Advertising Expenses </w:t>
      </w:r>
      <w:r>
        <w:rPr>
          <w:rFonts w:ascii="Times New Roman" w:cs="Times New Roman" w:eastAsia="Times New Roman" w:hAnsi="Times New Roman"/>
          <w:sz w:val="18"/>
          <w:szCs w:val="18"/>
          <w:color w:val="auto"/>
        </w:rPr>
        <w:t>— Costs for store promotions, newspaper, television, radio and other media advertising are expensed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promotion or advertising takes place. Advertising costs are included in SG&amp;A in the accompanying consolidated statements of operations and comprehensive income and amounted to $36.4 million, $34.6 million and $32.6 million, respectively, in the fiscal years ended December 30, 2023, December 31, 2022 and January 1, 2022.</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Awards </w:t>
      </w:r>
      <w:r>
        <w:rPr>
          <w:rFonts w:ascii="Times New Roman" w:cs="Times New Roman" w:eastAsia="Times New Roman" w:hAnsi="Times New Roman"/>
          <w:sz w:val="18"/>
          <w:szCs w:val="18"/>
          <w:color w:val="auto"/>
        </w:rPr>
        <w:t>— We estimate the fair value of restricted stock units ("RSUs") and performance-based restricted stock units ("PSUs")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closing price of our common stock as reported on the Nasdaq Global Select Market on the date of grant. The PSUs vest in one installment after a three year performance period based on the achievement of cumulative operating goals.</w:t>
      </w:r>
    </w:p>
    <w:p>
      <w:pPr>
        <w:spacing w:after="0" w:line="67"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for share-based payment awards with only a service condition on a straight-line basis over the requisite service period, which is generally the award's vesting period. Vesting of these awards would be accelerated for certain employees in the event of a change in control as well as certain termination events. Compensation expense for share-based payment awards subject to vesting based upon the achievement of a performance condition is recognized on a graded-vesting basis at the time the achievement of the performance condition becomes probable.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 share-based award forfeitures as they occur rather than estimating by applying a forfeiture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recognize share-based compensation expense over the performance period and/or requisite service period based on the fair market value of the award as of the grant date, we will not know the actual amount of tax benefit an award will generate until such award is exercised (for stock options) or vested (for RSUs or PSUs). Until such award is exercised or vested we assume that the amount ultimately recognized for tax purposes is the same amount we are currently recognizing in our operating results, that is for "book" purposes. Consequently, our deferred tax asset related to share-based compensation expense, which totaled $11.5 million as of December 30, 2023, is based on each qualifying award's grant date fair value rather than the award's to-be-determined exercise date intrinsic value (or vesting date fair value). For awards exercised or vested during our fiscal year ended December 30, 2023, the difference between the grant date fair value and the exercise or vest date intrinsic value totaled $16.2 million. If the share price for our common stock were to depreciate for a sustained period of time, we could be required to recognize a tax shortfall. Such shortfalls could have a material effect on our cash flows and financial results. See NOTE 8—Share-based Awards and NOTE 10—Income Taxes, for additional information.</w:t>
      </w:r>
    </w:p>
    <w:p>
      <w:pPr>
        <w:spacing w:after="0" w:line="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taxes are accounted for using an asset and liability approach that requires recognition of deferred tax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expected future tax consequences of events that have been recognized in our consolidated financial statements or tax returns. In estimating future tax consequences, all expected future events are considered, other than changes in the tax law. A valuation allowance is established, when necessary, to reduce net deferred income tax assets to the amount expected to be realized. We have not recorded any valuation allowances against our deferred income tax balances for the fiscal years ended December 30, 2023 and December 31, 2022. Significant items comprising our future tax benefits and liabilities (deferred tax assets and liabilities) include lease liability obligations, right-of-use assets, depreciation and amortization, net operating losses and other carryforwards, goodwill and share-based compensation expense.</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accrued on any unrecognized tax benefits as a component of income tax expense. We record uncertain tax positions in accordance with Accounting Standards Codification ("ASC") Topic 740, Income Taxes, on the basis of a two-step process in which (i) we determine whether it is more likely than not that the tax positions will be sustained on the basis of the technical merits of the position and (ii) for those tax positions that meet the more likely-than-not recognition threshold, we recognize the largest amount of tax benefit that is more than 50 percent likely to be realized upon ultimate settlement with the related tax authority.</w:t>
      </w:r>
    </w:p>
    <w:p>
      <w:pPr>
        <w:spacing w:after="0" w:line="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 In accordance with the variable interest entities sub-section of ASC Topic 810, Consolidation, we assess at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had 466, 438 and 411 stores operated by IOs as of December 30, 2023, December 31, 2022 and January 1, 2022,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consignor of all merchandise to each IO, the aggregate net sales proceeds from merchandise sales belongs to us. Net sales related to IO stores were $3.9 billion, $3.5 billion, and $3.0 billion for the fiscal years ended December 30, 2023, December 31, 2022, and January 1, 2022,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$621.7 million, $533.1 million, and $463.8 million for the fiscal years ended December 30, 2023, December 31, 2022 and January 1, 2022, respectively. IO commissions of $21.7 million and $6.2 million were included in accrued and other current liabilities as of December 30, 2023 and December 31, 2022,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 IO may fund its initial store investment from existing capital, a third-party loan or most commonly through a loan from us, as further discussed in NOTE 2—Independent Operator Notes and Independent Operator Receivables.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we are not the primary beneficiary of these VIEs.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maximum exposure, in accordance with ASC Topic 810, to the IOs is generally limited to the IO notes and IO receivables due from these entities, which was $59.2 million and $48.1 million as of December 30, 2023 and December 31, 2022, respectively. See NOTE 2—Independent Operator Notes and Independent Operator Receivables, for additional information.</w:t>
      </w:r>
    </w:p>
    <w:p>
      <w:pPr>
        <w:spacing w:after="0" w:line="64"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18"/>
          <w:szCs w:val="18"/>
          <w:color w:val="auto"/>
        </w:rPr>
        <w:t>— Basic net income per share is calculated using net income available to common stockholders divided by the weighted-average number of common shares outstanding during the period. Diluted net income per share reflects the dilutive effects of stock options and RSUs outstanding during the period, to the extent such securities would not be anti-dilutive, as well as dilutive PSUs, and is determined using the treasury stock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Update ("ASU") No. 2022-02 </w:t>
      </w:r>
      <w:r>
        <w:rPr>
          <w:rFonts w:ascii="Times New Roman" w:cs="Times New Roman" w:eastAsia="Times New Roman" w:hAnsi="Times New Roman"/>
          <w:sz w:val="18"/>
          <w:szCs w:val="18"/>
          <w:color w:val="auto"/>
        </w:rPr>
        <w:t>— In March 2022, the Financial Accounting Standards Board ("FASB") issued ASU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2022-02, Troubled Debt Restructurings and Vintage Disclosures ("ASU 2022-02"). ASU 2022-02 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We adopted ASU 2022-02 beginning in the first quarter of fiscal 2023. The adoption of ASU 2022-02 had no material impact on our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No. 2023-07 </w:t>
      </w:r>
      <w:r>
        <w:rPr>
          <w:rFonts w:ascii="Times New Roman" w:cs="Times New Roman" w:eastAsia="Times New Roman" w:hAnsi="Times New Roman"/>
          <w:sz w:val="18"/>
          <w:szCs w:val="18"/>
          <w:color w:val="auto"/>
        </w:rPr>
        <w:t>— In November 2023, the FASB issued ASU No. 2023-07, Segment Reporting (Topic 280) ("ASU 2023-07"). ASU 2023-07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fiscal years beginning after December 15, 2023 and interim periods within fiscal years beginning after December 15, 2024. We will adopt ASU 2023-07 upon the effective date and expect it to only impact our disclosures with no impact on our consolidated financial statements.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No. 2023-09 </w:t>
      </w:r>
      <w:r>
        <w:rPr>
          <w:rFonts w:ascii="Times New Roman" w:cs="Times New Roman" w:eastAsia="Times New Roman" w:hAnsi="Times New Roman"/>
          <w:sz w:val="18"/>
          <w:szCs w:val="18"/>
          <w:color w:val="auto"/>
        </w:rPr>
        <w:t>— In December 2023, the FASB issued ASU No. 2023-09, Income Taxes (Topic 740) ("ASU 2023-09"). ASU 2023-09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In addition to new disclosures associated with the rate reconciliation, the ASU requires information pertaining to taxes paid (net of refunds received) to be disaggregated for federal, state, and foreign taxes and further disaggregated for specific jurisdictions to the extent the related amounts exceed a quantitative threshold. ASU 2023-09 is effective for fiscal years beginning after December 15, 2024. We will adopt ASU 2023-09 upon the effective date and expect it to only impact our disclosures with no impact on our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2—Independent Operator Notes and Independent Operator Receivables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amounts included in IO notes and IO receivables consist primarily of funds we loaned to IOs, net of estimated uncollectible amounts. IO notes, which are payable on demand and have no maturity date, typically bear interest at rates between 5.50% and 9.95%. Accrued interest receivable on IO notes is included within the "independent operator receivables and current portion of independent operator notes, net of allowance" line item on the consolidated balance sheets and was $1.8 million and $0.9 million as of December 30, 2023 and December 31, 2022, respectively. There were no IO notes that were past due or on a non-accrual status due to delinquency as of December 30, 2023 or December 31, 2022. Notes and receivables from our IOs participating in our TCAP, as defined below, are not considered to be past due or on a non-accrual status due to delinquency and are excluded from such measures.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2" w:lineRule="exact"/>
        <w:rPr>
          <w:sz w:val="20"/>
          <w:szCs w:val="20"/>
          <w:color w:val="auto"/>
        </w:rPr>
      </w:pPr>
    </w:p>
    <w:p>
      <w:pPr>
        <w:jc w:val="both"/>
        <w:ind w:left="660" w:hanging="328"/>
        <w:spacing w:after="0" w:line="261"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6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Non-TCAP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from IOs with stores that have been open for more than 18 months that are not participating in TCAP as of the end of each reporting period.</w:t>
      </w:r>
    </w:p>
    <w:p>
      <w:pPr>
        <w:spacing w:after="0" w:line="46"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New store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from IOs with stores that have been open for less than 18 months as of the end of each reporting period, and may or may not be participating in TCAP.</w:t>
      </w:r>
    </w:p>
    <w:p>
      <w:pPr>
        <w:spacing w:after="0" w:line="5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54" w:lineRule="exact"/>
        <w:rPr>
          <w:sz w:val="20"/>
          <w:szCs w:val="20"/>
          <w:color w:val="auto"/>
        </w:rPr>
      </w:pPr>
    </w:p>
    <w:p>
      <w:pPr>
        <w:ind w:firstLine="486"/>
        <w:spacing w:after="0" w:line="288" w:lineRule="auto"/>
        <w:rPr>
          <w:sz w:val="20"/>
          <w:szCs w:val="20"/>
          <w:color w:val="auto"/>
        </w:rPr>
      </w:pPr>
      <w:r>
        <w:rPr>
          <w:rFonts w:ascii="Times New Roman" w:cs="Times New Roman" w:eastAsia="Times New Roman" w:hAnsi="Times New Roman"/>
          <w:sz w:val="18"/>
          <w:szCs w:val="18"/>
          <w:color w:val="auto"/>
        </w:rPr>
        <w:t>Amounts due from IOs and the related allowances as of December 30, 2023 and December 31, 2022 consisted of the following (amounts in thousands)</w:t>
      </w:r>
      <w:r>
        <w:rPr>
          <w:rFonts w:ascii="Times New Roman" w:cs="Times New Roman" w:eastAsia="Times New Roman" w:hAnsi="Times New Roman"/>
          <w:sz w:val="19"/>
          <w:szCs w:val="19"/>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r>
      <w:tr>
        <w:trPr>
          <w:trHeight w:val="335"/>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Long-term Portion</w:t>
            </w:r>
          </w:p>
        </w:tc>
      </w:tr>
      <w:tr>
        <w:trPr>
          <w:trHeight w:val="23"/>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28,134</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28,134</w:t>
            </w:r>
          </w:p>
        </w:tc>
      </w:tr>
      <w:tr>
        <w:trPr>
          <w:trHeight w:val="20"/>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2"/>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r>
      <w:tr>
        <w:trPr>
          <w:trHeight w:val="335"/>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Long-term Portion</w:t>
            </w:r>
          </w:p>
        </w:tc>
      </w:tr>
      <w:tr>
        <w:trPr>
          <w:trHeight w:val="23"/>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22,535</w:t>
            </w: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22,535</w:t>
            </w:r>
          </w:p>
        </w:tc>
      </w:tr>
      <w:tr>
        <w:trPr>
          <w:trHeight w:val="21"/>
        </w:trPr>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activity in the IO notes and IO receivables allowance was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IO notes and IO receivables reserves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uncollectible IO notes and IO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w:t>
            </w:r>
          </w:p>
        </w:tc>
      </w:tr>
      <w:tr>
        <w:trPr>
          <w:trHeight w:val="21"/>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write-off of IO notes and IO receivables by year of origination for the fiscal year ended December 30, 2023 (amounts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gridSpan w:val="3"/>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11240" w:type="dxa"/>
            <w:vAlign w:val="bottom"/>
            <w:gridSpan w:val="22"/>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outstanding gross balance of IO notes by fiscal year of origination and credit quality indicator as of December 30,</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(amounts 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 of Origination</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Quality Indicator</w:t>
            </w: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40" w:type="dxa"/>
            <w:vAlign w:val="bottom"/>
            <w:tcBorders>
              <w:bottom w:val="single" w:sz="8" w:color="auto"/>
            </w:tcBorders>
            <w:vMerge w:val="continue"/>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Non-TCAP</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23"/>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TCAP IO Notes</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Notes of IOs participating in our TCAP represented 51.6% and 49.7% of total IO note balances as of December 30, 2023 and December 31, 2022, respectively.</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total of $5.3 million of IO notes were added into our TCAP during the fiscal year ended December 30, 2023. The weighted average contractual interest rate of such IO notes was reduced from 9.95% and, as of December 30, 2023, was 5.50%. In addition, $2.8 million of IO notes were transferred from TCAP to Non-TCAP during the fiscal year ended December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3—Property and Equipment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as of December 30, 2023 and December 31, 2022 consisted of the following (amounts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Property and</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3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Property and</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 At Cost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Amortization</w:t>
            </w:r>
          </w:p>
        </w:tc>
        <w:tc>
          <w:tcPr>
            <w:tcW w:w="180" w:type="dxa"/>
            <w:vAlign w:val="bottom"/>
          </w:tcPr>
          <w:p>
            <w:pPr>
              <w:spacing w:after="0"/>
              <w:rPr>
                <w:sz w:val="17"/>
                <w:szCs w:val="17"/>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Equipment, Net</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277,931</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642,462</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250,451</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w:t>
            </w: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(324,986)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560,746</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Construction in progress is primarily composed of leasehold improvements and fixtures and equipment related to new or remodeled stores where construction had not been completed at year-end.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on property and equipment for fiscal 2023, 2022 and 2021 was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Location</w:t>
            </w:r>
          </w:p>
        </w:tc>
        <w:tc>
          <w:tcPr>
            <w:tcW w:w="220" w:type="dxa"/>
            <w:vAlign w:val="bottom"/>
          </w:tcPr>
          <w:p>
            <w:pPr>
              <w:spacing w:after="0"/>
              <w:rPr>
                <w:sz w:val="11"/>
                <w:szCs w:val="11"/>
                <w:color w:val="auto"/>
              </w:rPr>
            </w:pPr>
          </w:p>
        </w:tc>
        <w:tc>
          <w:tcPr>
            <w:tcW w:w="13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7"/>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6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61,956</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depreciation expense on property and equipment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30, 2023 and December 31, 2022, we leased 14 and 15 of our store locations, respectively, and one warehouse location from related parties. See NOTE 11—Related Party Transactions, for additional information.</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30, 2023, we had executed leases for 41 store locations that we had not yet taken possession of with total undiscounted future lease payments of $229.5 million and lease terms through 2043.</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upon our initial investment in store leasehold improvements, we utilize an initial, reasonably-certain lease life of 15 years. Most leases include one or more options to renew, with renewal terms that can extend the lease term from five to 15 years or more. Our leases do not include any material residual value guarantees or material restrictive covenants. We also have non-cancelable subleases with unrelated third parties with future minimum rental receipts as of December 30, 2023 totaling $4.0 million ending in various years through 2036, which have not been deducted from the future minimum lease payments.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classification of our right-of-use lease assets and lease liabilities was as follows (amounts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902,163</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assets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23"/>
        </w:trPr>
        <w:tc>
          <w:tcPr>
            <w:tcW w:w="3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lease assets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907,934</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976,345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1,035,345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Classification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1"/>
                <w:szCs w:val="11"/>
                <w:color w:val="auto"/>
              </w:rPr>
            </w:pPr>
          </w:p>
        </w:tc>
        <w:tc>
          <w:tcPr>
            <w:tcW w:w="13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200"/>
        </w:trPr>
        <w:tc>
          <w:tcPr>
            <w:tcW w:w="3620" w:type="dxa"/>
            <w:vAlign w:val="bottom"/>
            <w:gridSpan w:val="2"/>
            <w:vMerge w:val="continue"/>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123,799</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right-of-use assets</w:t>
            </w: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0"/>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leased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175"/>
        </w:trPr>
        <w:tc>
          <w:tcPr>
            <w:tcW w:w="3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lease cost</w:t>
            </w: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176"/>
        </w:trPr>
        <w:tc>
          <w:tcPr>
            <w:tcW w:w="3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Sublease income</w:t>
            </w:r>
          </w:p>
        </w:tc>
        <w:tc>
          <w:tcPr>
            <w:tcW w:w="2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supply chain related lease costs herein are included in cost of sales.</w:t>
      </w:r>
    </w:p>
    <w:p>
      <w:pPr>
        <w:spacing w:after="0" w:line="230"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Maturities of lease liabilities as of December 30, 2023 were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6"/>
                <w:szCs w:val="16"/>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148,993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142,302</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842,050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843,103</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1,559,074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(463,211)</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tcBorders>
              <w:bottom w:val="single" w:sz="8" w:color="CCEEFF"/>
            </w:tcBorders>
            <w:vMerge w:val="continue"/>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1,095,863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weighted-average lease terms and discount rates of operating and finance leases were as follows: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10.8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years</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 years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years</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0" w:type="dxa"/>
            <w:vAlign w:val="bottom"/>
          </w:tcPr>
          <w:p>
            <w:pPr>
              <w:spacing w:after="0"/>
              <w:rPr>
                <w:sz w:val="1"/>
                <w:szCs w:val="1"/>
                <w:color w:val="auto"/>
              </w:rPr>
            </w:pPr>
          </w:p>
        </w:tc>
      </w:tr>
      <w:tr>
        <w:trPr>
          <w:trHeight w:val="234"/>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r>
        <w:trPr>
          <w:trHeight w:val="954"/>
        </w:trPr>
        <w:tc>
          <w:tcPr>
            <w:tcW w:w="4240" w:type="dxa"/>
            <w:vAlign w:val="bottom"/>
          </w:tcPr>
          <w:p>
            <w:pPr>
              <w:spacing w:after="0"/>
              <w:rPr>
                <w:sz w:val="24"/>
                <w:szCs w:val="24"/>
                <w:color w:val="auto"/>
              </w:rPr>
            </w:pPr>
          </w:p>
        </w:tc>
        <w:tc>
          <w:tcPr>
            <w:tcW w:w="2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125,221</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cash flows from finance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139,663</w:t>
            </w:r>
          </w:p>
        </w:tc>
        <w:tc>
          <w:tcPr>
            <w:tcW w:w="0" w:type="dxa"/>
            <w:vAlign w:val="bottom"/>
          </w:tcPr>
          <w:p>
            <w:pPr>
              <w:spacing w:after="0"/>
              <w:rPr>
                <w:sz w:val="1"/>
                <w:szCs w:val="1"/>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87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6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Information regarding our goodwill and intangible assets as of December 30, 2023 was as follows (amounts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23"/>
                <w:szCs w:val="2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47,043</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826,499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our goodwill and intangible assets as of December 31, 2022 was as follows (amounts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26,396</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55,169</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811,936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$10.1 million, $6.6 million, and $6.6 million for the fiscal years ended December 30, 2023, December 31, 2022, and January 1, 2022,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future amortization expense related to finite-lived intangible assets as of December 30, 2023 is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6—Long-term Debt</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8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23"/>
                <w:szCs w:val="2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term loan due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Senior term loan due 2028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gross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debt discounts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less unamortized debt discounts and debt issuance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379,650</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379,650</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21, 2023, we entered into a credit agreement with Bank of America, N.A., as administrative agent and collateral agent, and the other parties thereto (the "2023 Credit Agreement"). The 2023 Credit Agreement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revolving credit facility includes sub-commitments for $50.0 million letters of credit and $25.0 million of swingline loans. The senior term loan was borrowed in full at closing, and $25.0 million of the revolving credit facility was borrowed at closing.</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Also on February 21, 2023, we repaid all of the outstanding indebtedness under our Prior First Lien Credit Agreement, defined below, as well as fees and expenses in connection therewith. All obligations of the Company’s subsidiaries under the Prior First Lien Credit Agreement were discharged and the agreement was terminated as of such date. In connection with the closing of the 2023 Credit Agreement and repayment of the Prior First Lien Credit Agreement and in accordance with ASC Topic 470-50, Debt-Modifications and Extinguishments, we wrote off $5.1 million of previously unamortized debt issuance costs and debt discounts and incurred $0.2 million in debt modification costs, which were recorded within loss on debt extinguishment and modification for the fiscal year ended December 30, 2023. Furthermore, a total of $4.6 million of creditor and third-party debt issuance costs were capitalized or carried over from the prior credit facilities, as defined below, and will be amortized over the term of the new credit facilities.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Borrowings under the 2023 Credit Agreement bear interest at a rate equal to, at our option, either (a) the base rate, which is defined as a fluctuating rate per annum equal to the greatest of (i) the federal funds rate then in effect, plus 0.50%, (ii)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on the basis of a one, three or six month interest period, plus 0.10%, subject to the interest rate floors set forth therein, plus an applicable margin ranging from 1.75% to 2.75% based on our Total Net Leverage Ratio. As of December 30, 2023, interest on borrowings under the new credit facilities was based on one-month Term SOFR with an applicable margin of 2.00%.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new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new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obligations under the 2023 Credit Agreement are unconditionally guaranteed by the Company’s wholly owned restricted subsidiary, subject to certain exceptions. All obligations under the 2023 Credit Agreement, and the guarantee of such obligations, are secured, subject to permitted liens and other exceptions, by substantially all of the Company’s assets and those of the subsidiary guarantor.</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2023 Credit Agreement requires us to make scheduled amortization payments of the senior term loan. We may voluntarily prepay the new credit facilities, in whole or in part, at any time without premium or penalty, subject to reimbursement of the lenders’ breakage and redeployment costs in applicable cases.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 due 2028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senior term loan under our 2023 Credit Agreement matures on February 21, 2028 and had an interest rate of 7.46% as of December 30, 2023.</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30, 2023 we had $4.2 million of outstanding letters of credit and $395.8 million of remaining borrowing capacity available under the revolving credit facility, which matures on February 21, 2028. The interest rate on the revolving credit facility was 7.46% as of December 30, 2023. As discussed above, $25.0 million of the revolving credit facility was borrowed at closing. On April 21, 2023, we repaid the $25.0 million of principal on our revolving credit facility. No amounts were outstanding under the revolving credit facility as of December 30, 2023. Since the April 21, 2023 repayment, no amounts were borrowed under this revolving credit facility.</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pay a quarterly commitment fee ranging from 0.15% to 0.30% on the daily unused amount of the commitment under the revolving credit facility based upon our Total Net Leverage Ratio. We are also required to pay fronting fees and other customary fees for letters of credit issued under the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First Lien Credit Agreement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One of our former wholly owned subsidiaries, which has since been merged with and into Grocery Outlet Holding Corp., was the borrower under a first lien credit agreement (the "Prior First Lien Credit Agreement") with a syndicate of lenders that consisted of a $385.0 million senior term loan (the "prior senior term loan") and a revolving credit facility (the "prior revolving credit facility" and, together with the prior senior term loan, the "prior credit facilities") for an amount up to $100.0 million.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Prior Senior Term Loan due 2025</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prior senior term loan under our Prior First Lien Credit Agreement had a maturity of October 22, 2025 and had an applicable margin of 2.75% for Eurodollar loans and 1.75% for base rate loans.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29, 2022, we prepaid $75.0 million of principal on the prior senior term loan outstanding under our Prior First Lien Credit Agreement. In connection with the payment, we wrote off $1.3 million of previously unamortized debt issuance costs and debt discounts.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discussed above, on February 21, 2023, in connection with the closing of the 2023 Credit Agreement, we repaid the remaining $385.0 million of principal on the prior senior term loan outstanding under our Prior First Lien Credit Agreement.</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Prior Revolving Credit Facility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prior revolving credit facility under our Prior First Lien Credit Agreement had a maturity of October 23, 2023. No amounts were outstanding under the prior revolving credit facility as of December 31, 2022 and no amounts were outstanding as of final repayment of the Prior First Lien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were required to pay a quarterly commitment fee ranging from 0.25% to 0.50% on the daily unused amount of the commitment under the prior revolving credit facility based upon the leverage ratio defined in the agreement and certain criteria specified in the agreement. We were also required to pay fronting fees and other customary fees for letters of credit issued under the prior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subsidiary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subsidiary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30, 2023, we were in compliance with all applicable financial covenant requirements for our 2023 Credit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maturities of debt as of December 30, 2023 were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 net, consisted of the following (amounts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2"/>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loans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 and Modification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on debt extinguishment and modification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debt issuance costs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debt discounts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modification costs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7—Stockholders' Equity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30, 2023, the total amount of the Company’s authorized capital stock consisted of 500,000,000 shares of common stock, par value $0.001 per share, and 50,000,000 shares of undesignated preferred stock, par value of $0.001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did not have any shares of preferred stock issued or outstanding as of December 30, 2023. Our Board of Directors has the authority to issue shares of preferred stock from time to time on terms it may determine, with respect to any series of preferred stock, the powers (including voting powers), preferences and relative, participating, optional and other special rights, and the qualifications, limitations or restrictions thereof as the board of directors may from time to time determine, which could affect the relative voting power or other rights of the holders of our common stock. The issuance of preferred stock could have the effect of decreasing the trading price of our common stock, restricting dividends on the common stock, diluting the voting power of our common stock, or subordinating the liquidation rights of the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 repurchased when the Company might otherwise be precluded from doing so under securities laws). Any repurchased shares are constructively retired and returned to an unissued status.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30, 2023, we repurchased 254,516 shares of common stock totaling $6.8 million at an average price of $26.75 per share in open-market transactions pursuant to a Rule 10b5-1 plan. During the fiscal year ended December 31, 2022, we repurchased 139,718 shares of common stock totaling $3.5 million at an average price of $24.70 per share in open-market transactions pursuant to a Rule 10b5-1 plan. As of December 30, 2023, we had $89.8 million of repurchase authority remaining under the share repurchase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Globe Holding Corp. 2014 Stock Incentive Plan (the "2014 Plan") became effective on October 21, 2014. Under the 2014 Plan, we granted stock options and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4, 2019, our Board of Directors and stockholders approved the Grocery Outlet Holding Corp. 2019 Incentive Plan (the "2019 Plan"). A total of 4,597,862 shares of common stock were reserved for issuance under the 2019 Plan at that time. In addition, on the first day of each fiscal year beginning in fiscal 2020 and ending in fiscal 2029, the 2019 Plan provides for an annual automatic increase of the shares reserved for issuance in an amount equal to the positive difference between (i) 4% of the "outstanding common stock" (as defined in the 2019 Plan) on the last day of the immediately preceding fiscal year and (ii) the plan share reserve on the last day of the immediately preceding fiscal year, or a lesser number as determined by our Board of Directors. As of December 30, 2023, there were a total of 7,242,549 shares of common stock reserved for issuance under the 2019 Plan, which includes 429,826 shares added effective January 1, 2023 per the above noted annual automatic increase. As of December 30, 2023, there were 2,950,047 remaining shares available for issuance of new equity awards under the 2019 Plan.</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Long-term incentive programs ("LTIPs") under the 2019 Plan consist of time-based RSUs and PSUs. RSUs granted under the LTIPs generally vest over one to three years. Half of the total PSUs granted under the LTIPs will vest upon the achievement of certain revenue-based performance targets ("Tranche I PSUs") and half will vest upon the achievement of certain adjusted EBITDA-based performance targets ("Tranche II PSUs") as determined by the Compensation Committee following the last day of a three-year performance period. The number of PSUs ultimately earned will equal the number of Tranche I and Tranche II PSUs granted multiplied by the applicable percentage of actual revenue and adjusted-EBITDA performance target levels achieved, and can range from 0% to 200% of the number of PSUs granted.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Determination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stock option, RSU and PSU awards is determined as of the grant date. For time-based stock options, a Black-Scholes valuation model was utilized to estimate the fair value of the awards. For performance-based stock options, a Monte Carlo simulation approach implemented in a risk-neutral framework was utilized to estimate the fair value of the awards. For RSUs and PSUs, the closing price of our common stock as reported on the grant date is utilized to estimate the fair value of the awards.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respective valuation methods resulted in weighted-average grant date fair values for RSUs and PSUs granted during fiscal 2023, 2022 and 2021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r>
    </w:tbl>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award any time-based or performance-based stock options during fiscal 2023, 2022 and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equity incentive plans during fiscal 2023,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Time-Based Stock Options</w:t>
            </w:r>
          </w:p>
        </w:tc>
        <w:tc>
          <w:tcPr>
            <w:tcW w:w="306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Performance-Based Stock Options</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January 2,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2,325,580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3,135,141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2,562,774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exercisable as of December 30, 2023</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2,081,490</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227,605</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total intrinsic value of time-based stock options exercised was $11.7 million, $7.1 million and $15.5 million for fiscal 2023, 2022 and 2021, respectively. The total intrinsic value of performance-based stock options exercised was $15.9 million, $29.9 million and $20.0 million for fiscal 2023, 2022 and 2021, respectively. Intrinsic value represents the difference between the current fair value of the underlying stock and the exercise price of the stock option.</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under all equity incentive plans during fiscal 2023,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857,820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PSU activity under the 2019 Plan during fiscal 2023,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6"/>
                <w:szCs w:val="26"/>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Adjustment for expected performance achievement </w:t>
            </w:r>
            <w:r>
              <w:rPr>
                <w:rFonts w:ascii="Times New Roman" w:cs="Times New Roman" w:eastAsia="Times New Roman" w:hAnsi="Times New Roman"/>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6"/>
                <w:szCs w:val="26"/>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Adjustment for expected performance achievement </w:t>
            </w:r>
            <w:r>
              <w:rPr>
                <w:rFonts w:ascii="Times New Roman" w:cs="Times New Roman" w:eastAsia="Times New Roman" w:hAnsi="Times New Roman"/>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6"/>
                <w:szCs w:val="26"/>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Adjustment for expected performance achievement </w:t>
            </w:r>
            <w:r>
              <w:rPr>
                <w:rFonts w:ascii="Times New Roman" w:cs="Times New Roman" w:eastAsia="Times New Roman" w:hAnsi="Times New Roman"/>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Unvested balance as of December 30, 2023 </w:t>
            </w:r>
            <w:r>
              <w:rPr>
                <w:rFonts w:ascii="Times New Roman" w:cs="Times New Roman" w:eastAsia="Times New Roman" w:hAnsi="Times New Roman"/>
                <w:sz w:val="23"/>
                <w:szCs w:val="23"/>
                <w:color w:val="auto"/>
                <w:vertAlign w:val="superscript"/>
              </w:rPr>
              <w:t>(3)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initial grant of PSUs based on performance target level achievement of 100%.</w:t>
      </w:r>
    </w:p>
    <w:p>
      <w:pPr>
        <w:spacing w:after="0" w:line="7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adjustment to previously granted PSUs based on performance expectations as of the end of each respective reporting period.</w:t>
      </w:r>
    </w:p>
    <w:p>
      <w:pPr>
        <w:spacing w:after="0" w:line="59"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424,341 PSUs could potentially be included if the maximum performance level of 200% is reached for all PSUs outstanding as of December 30,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recognize compensation expense for stock options, RSUs, and PSUs by amortizing the grant date fair value on a straight-line basis over the expected vesting period to the extent we determine the vesting of the grant is probable.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Share-based compensation expense and the related tax benefit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stock options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29"/>
        </w:trPr>
        <w:tc>
          <w:tcPr>
            <w:tcW w:w="6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Dividends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656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right="20" w:hanging="492"/>
        <w:spacing w:after="0" w:line="290"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dividends paid upon vesting of share-based awards as a result of dividends declared in connection with recapitalizations that occurred in fiscal 2018 and 2016.</w:t>
      </w:r>
    </w:p>
    <w:p>
      <w:pPr>
        <w:ind w:left="500" w:hanging="492"/>
        <w:spacing w:after="0" w:line="298"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recognized income tax benefit related to share-based compensation expense was $8.3 million, $8.7 million and $4.7 million for fiscal 2023, 2022 and 2021, respectively.</w:t>
      </w:r>
    </w:p>
    <w:p>
      <w:pPr>
        <w:spacing w:after="0" w:line="14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Share-based compensation expense qualifying for capitalization was insignificant for each of the fiscal years ended December 30, 2023, December 31, 2022 and January 1, 2022. Accordingly, no share-based compensation expense was capitalized during these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Time-Based Stock Options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Unamortized compensation cost related to unvested time-based stock options was immaterial as of December 30, 2023.</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unamortized compensation cost related to performance-based stock options as of December 30, 2023.</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Time-Based RSUs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Unamortized compensation expense for RSUs was $15.2 million as of December 30, 2023, which is expected to be amortized over a weighted average period of approximately 1.9 years.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Unamortized compensation cost related to the expected level of achievement of unvested PSUs was $21.3 million as of December 30, 2023, which is expected to be amortized over a weighted average period of approximately 1.7 years.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time-based stock options and RSU share-based awards that were outstanding on the dividend date of October 22, 2018 and that vested in fiscal 2023, fiscal 2022, and fiscal 2021, we made dividend payments as these awards vested.</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paid $0.1 million and $0.2 million of dividends during the fiscal years ended December 31, 2022 and January 1, 2022, respectively, which were included in share-based compensation expense. We paid less than $0.1 million of dividends during the fiscal year ended December 30, 2023. There was no unamortized compensation cost related to future dividend payments on unvested time-based stock options and RSU share-based awards as of December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9—Retirement Plans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make contributions to the UFCW—Northern California Employers Joint Pension Trust Fund (the "Pension Fund") and the UFCW—Benefits Trust Fund ("Benefits Fund"), each a multiemployer plan, established for the benefit of union employees at two company operated stores under the terms of a collective bargaining agreement. We currently operate under a collective bargaining agreement that expires on February 28, 2026. Minimum contributions outside of the agreed upon contractual rates are not required for the Pension Fund. Payments into the Pension Fund were $0.6 million, $0.5 million, and $0.6 million for the fiscal years ended December 30, 2023, December 31, 2022, and January 1, 2022, respectively. We paid no surcharges to the Pension Fund.</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risks of participating in a multiemployer pension plan such as the Pension Fund are different from single-employer pension plans in the following aspects:</w:t>
      </w:r>
    </w:p>
    <w:p>
      <w:pPr>
        <w:spacing w:after="0" w:line="54" w:lineRule="exact"/>
        <w:rPr>
          <w:sz w:val="20"/>
          <w:szCs w:val="20"/>
          <w:color w:val="auto"/>
        </w:rPr>
      </w:pPr>
    </w:p>
    <w:p>
      <w:pPr>
        <w:ind w:left="1140" w:hanging="322"/>
        <w:spacing w:after="0" w:line="282" w:lineRule="auto"/>
        <w:tabs>
          <w:tab w:leader="none" w:pos="11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53"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53" w:lineRule="exact"/>
        <w:rPr>
          <w:rFonts w:ascii="Times New Roman" w:cs="Times New Roman" w:eastAsia="Times New Roman" w:hAnsi="Times New Roman"/>
          <w:sz w:val="18"/>
          <w:szCs w:val="18"/>
          <w:color w:val="auto"/>
        </w:rPr>
      </w:pPr>
    </w:p>
    <w:p>
      <w:pPr>
        <w:ind w:left="1140" w:hanging="322"/>
        <w:spacing w:after="0" w:line="282" w:lineRule="auto"/>
        <w:tabs>
          <w:tab w:leader="none" w:pos="11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stop participating in its multiemployer pension plan, we may be required to pay those plans an amount based on our proportionate share of the underfunded status of such plan, referred to as a withdrawal liability.</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our participation in the Pension Fund for the annual period ended December 31, 2022, the latest available information from the Pension Fund. All such information is based on information we received from the Pension Fund.</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Pension Fund's Employer Identification Number is 946313554 and the Plan Number is -001. Our contributions represented less than 5% of the total contributions to the Pension Fund. Under the provisions of the Pension Protection Act (PPA) zone status, the Pension Fund was in critical status during the plan year. Among other factors, generally, plans in critical status are less than 65 percent funded. In an effort to improve the Pension Fund's funding situation, the trustees adopted a rehabilitation plan on July 8, 2010 and most recently updated it on May 3, 2022. The rehabilitation plan changes the benefits for participants who retire and commence a pension on or after January 1, 2012, and changes future benefit accruals earned on or after January 1, 2012. Except in limited circumstances, the pensions of participants and beneficiaries whose pension effective date is before January 1, 2012, are not affected.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Benefits Fund provides medical, dental, pharmacy, vision, and other ancillary benefits to active employees and retirees. The majority of our contributions cover active employees and as such, may not constitute contributions to a postretirement benefit plan. However, we are unable to separate contribution amounts to the postretirement benefit part of the Benefits Fund from contribution amounts paid to the active employee part of the Benefits Fund. Payments into the Benefits Fund were $1.4 million, $1.2 million, and $1.4 million for the fiscal years ended December 30, 2023, December 31, 2022, and January 1, 2022, respectively.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our nonunion employees, we offered the following plans during fiscal 2023, 2022 or 2021:</w:t>
      </w:r>
    </w:p>
    <w:p>
      <w:pPr>
        <w:spacing w:after="0" w:line="117" w:lineRule="exact"/>
        <w:rPr>
          <w:sz w:val="20"/>
          <w:szCs w:val="20"/>
          <w:color w:val="auto"/>
        </w:rPr>
      </w:pPr>
    </w:p>
    <w:p>
      <w:pPr>
        <w:ind w:left="1300" w:right="20" w:hanging="482"/>
        <w:spacing w:after="0" w:line="282" w:lineRule="auto"/>
        <w:tabs>
          <w:tab w:leader="none" w:pos="12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and 2021, a defined contribution retirement plan for warehouse employees, which required an annual contribution of 15% of eligible salaries. This defined contribution retirement plan was available to nonunion employees who met certain service criteria.</w:t>
      </w:r>
    </w:p>
    <w:p>
      <w:pPr>
        <w:spacing w:after="0" w:line="53"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and 2021, a noncontributory profit-sharing plan for administrative personnel and, for fiscal 2023, for administrative and warehouse personnel, in each case under which the Board of Directors may authorize an annual contribution of up to 15% of eligible salaries. This profit-sharing plan is available to nonunion employees who meet certain service criteria.</w:t>
      </w:r>
    </w:p>
    <w:p>
      <w:pPr>
        <w:spacing w:after="0" w:line="6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expensed $6.8 million, $6.9 million and $1.5 million for contributions to the two plans described above in (a) and (b) for the fiscal years ended December 30, 2023, December 31, 2022, and January 1, 2022, respectively.</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retirement plan for warehouse employees, which is available to those employees who meet certain service criteria.</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retirement plan for administrative personnel, which is available to those employees who meet certain service criteria.</w:t>
      </w:r>
    </w:p>
    <w:p>
      <w:pPr>
        <w:spacing w:after="0" w:line="117" w:lineRule="exact"/>
        <w:rPr>
          <w:rFonts w:ascii="Times New Roman" w:cs="Times New Roman" w:eastAsia="Times New Roman" w:hAnsi="Times New Roman"/>
          <w:sz w:val="18"/>
          <w:szCs w:val="18"/>
          <w:color w:val="auto"/>
        </w:rPr>
      </w:pPr>
    </w:p>
    <w:p>
      <w:pPr>
        <w:ind w:left="1300" w:right="20" w:hanging="482"/>
        <w:spacing w:after="0" w:line="282" w:lineRule="auto"/>
        <w:tabs>
          <w:tab w:leader="none" w:pos="12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obligated to match any employee contributions for the 401(k) retirement plans. However, for certain employees who meet certain service criteria, we have a 401(k) retirement plan under which we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will match employee contributions at a rate of 35% of each participating employee's contributions, not to exceed 6% of wages. We expensed an insignificant amount for contributions to this plan for each of the fiscal years ending December 30, 2023, December 31, 2022, and January 1,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Income before income taxes consisted entirely of income from domestic operations of $104.1 million, $75.7 million, and $77.5 million for the fiscal years ended December 30, 2023, December 31, 2022, and January 1, 2022,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income tax expense consisted of the following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50"/>
        </w:trPr>
        <w:tc>
          <w:tcPr>
            <w:tcW w:w="6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w:t>
            </w: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50"/>
        </w:trPr>
        <w:tc>
          <w:tcPr>
            <w:tcW w:w="6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rate reconciliation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our effective income tax rate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7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right"/>
              <w:ind w:right="374"/>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44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at federal statutory rates</w:t>
            </w:r>
          </w:p>
        </w:tc>
        <w:tc>
          <w:tcPr>
            <w:tcW w:w="8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162(m) compensation limitation on covered employees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federal tax benefits from exercise and vest of share-based awards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433"/>
              <w:spacing w:after="0"/>
              <w:rPr>
                <w:sz w:val="20"/>
                <w:szCs w:val="20"/>
                <w:color w:val="auto"/>
              </w:rPr>
            </w:pPr>
            <w:r>
              <w:rPr>
                <w:rFonts w:ascii="Times New Roman" w:cs="Times New Roman" w:eastAsia="Times New Roman" w:hAnsi="Times New Roman"/>
                <w:sz w:val="18"/>
                <w:szCs w:val="18"/>
                <w:color w:val="auto"/>
              </w:rPr>
              <w:t>91</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 (amounts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 obligation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289,539</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48,409</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Reserves and allowances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transaction costs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370,359</w:t>
            </w: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(81,167)</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(255,256)</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(43,488)</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transaction costs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3"/>
        </w:trPr>
        <w:tc>
          <w:tcPr>
            <w:tcW w:w="8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(390,141)</w:t>
            </w:r>
          </w:p>
        </w:tc>
      </w:tr>
      <w:tr>
        <w:trPr>
          <w:trHeight w:val="223"/>
        </w:trPr>
        <w:tc>
          <w:tcPr>
            <w:tcW w:w="8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net operating loss carryforwards of $145.0 million for federal income tax purposes, which carries forward indefinitely. There are also net operating loss carryforwards of $18.0 million for state income tax purposes, which begin to expire in 2029. Based on our analysis, our projected net operating losses to be utilized in future years will not be affected by this annual limitation.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the use of the existing deferred tax assets. A significant piece of objective positive evidence was the cumulative income incurred over the three-year period ended December 30, 2023. Based on our current assessment, we anticipate it is more likely than not that we will generate sufficient taxable income to realize all of our material deferred tax assets. As such we did not record a valuation allowance against these material deferred tax assets as of December 30, 2023.</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policy is to recognize interest and penalties associated with uncertain tax positions as part of the income tax provision in our consolidated statements of operations and comprehensive income and include accrued interest and penalties with the related income tax liability on our consolidated balance sheets. To date, we have not recognized any interest and penalties, nor have we accrued for or made payments for interest and penalties. We had no uncertain tax positions as of December 30, 2023 and December 31, 2022, respectively, and do not anticipate having any material uncertain tax positions within the next 12 months.</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jurisdictions. As of December 30, 2023, our tax returns remain open to examination by the tax authorities for tax years 2012 to 2022 for U.S. federal and for various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30, 2023 and December 31, 2022, we leased 14 and 15 store locations, respectively, and one warehouse location from entities in which </w:t>
      </w:r>
      <w:r>
        <w:rPr>
          <w:rFonts w:ascii="Times New Roman" w:cs="Times New Roman" w:eastAsia="Times New Roman" w:hAnsi="Times New Roman"/>
          <w:sz w:val="18"/>
          <w:szCs w:val="18"/>
          <w:color w:val="231F20"/>
        </w:rPr>
        <w:t>Eric Lindberg, Jr., Chairman of our Board of Directors (and formerly our Chief Executive Officer until December 31, 2022), and MacGregor 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Jr., who served as Vice Chairman of our Board of Directors until September 1, 2022, or their respective families, had a direct or indirect financial interest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of December 30, 2023, the right-of-use assets and lease liabilities related to these properties was $42.6 million and $47.6 million, respectively. As of December 31, 2022, the right-of-use assets and lease liabilities related to these properties was $40.5 million and $45.5 million, respectively. These related parties received aggregate lease payments from us of $6.8 million, $6.8 million, and $6.1 million for the fiscal years ended December 30, 2023, December 31, 2022, and January 1, 2022,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Operator Notes and Independent Operator Receivables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offer interest-bearing notes to IOs and the gross amount of IO operating notes and IO receivables due was $59.2 million and $48.1 million as of December 30, 2023 and December 31, 2022, respectively. See NOTE 2—Independent Operator Notes and Independent Operator Receivables, for additional information.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12—Commitments and Contingencies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we will provide disclosure regarding the contingency. Management believes that we do not have any pending litigation that, separately or in the aggregate, would have a material adverse effect on our results of operations, financial condition or cash flows.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per share (amounts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22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62,310</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95,725</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options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RSUs and PSUs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6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Weighted-average shares outstanding - diluted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99,418</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line="298"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required to include in diluted weighted-average shares outstanding contingently issuable shares that would be issued assuming the end of our reporting period was the end of the relevant PSU award contingency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common share equivalents were excluded from the calculation of diluted earnings per share because their effect would have been anti-dilutive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31"/>
        </w:trPr>
        <w:tc>
          <w:tcPr>
            <w:tcW w:w="6560" w:type="dxa"/>
            <w:vAlign w:val="bottom"/>
          </w:tcPr>
          <w:p>
            <w:pPr>
              <w:spacing w:after="0"/>
              <w:rPr>
                <w:sz w:val="11"/>
                <w:szCs w:val="11"/>
                <w:color w:val="auto"/>
              </w:rPr>
            </w:pPr>
          </w:p>
        </w:tc>
        <w:tc>
          <w:tcPr>
            <w:tcW w:w="120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77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14—Subsequent Event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14, 2024, Grocery Outlet Inc., our wholly owned subsidiary, entered into a Stock Purchase Agreement (the "Purchase Agreement") with BBGO Acquisition, Inc., a Delaware corporation ("Holdings"), specified parties therein that beneficially own Holdings (the "Sellers"), and Southvest Fund VII, L.P., a Delaware limited partnership (the "Sellers' Representative", and together with the Sellers, the "Seller Parties" and, together with Holdings and Grocery Outlet Inc., the "Parties") to acquire all of the issued and outstanding capital stock of Holdings for approximately $62.0 million in cash, subject to customary purchase price adjustments (the "Transaction"). We expect to finance the Transaction with available cash.</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Holdings is the owner of all of the issued and outstanding capital stock of The Bargain Barn, Inc., a Tennessee corporation doing business as United Grocery Outlet ("United Grocery Outlet"). United Grocery Outlet operates 40 discount grocery stores across six states in the southeastern United States.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each of the Seller Parties and Grocery Outlet. The Parties have agreed to a representation and warranty insurance policy for the benefit of Grocery Outlet regarding specified breaches of representations and warranties, subject to specified exclusions and deductibles. The obligations of the Parties to consummate the Transaction are subject to the satisfaction or waiver of customary closing conditions. The Transaction is expected to close early in the second quarter of fiscal 2024.</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Purchase Agreement may be terminated at any time prior to closing by mutual written consent of the Parties, or by either Grocery Outlet or the Sellers (i) if the closing has not occurred on or prior to April 10, 2024, (ii) if the other party materially breaches or fails to perform under the Purchase Agreement and fails to timely cure, or (iii) if the Transaction is prohibited by a governmental entity or by applicable law. Until the closing of the Transaction or the earlier termination of the Purchase Agreement, the Sellers are subject to restrictive covenants regarding an alternative transaction.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have concluded that our disclosure controls and procedures were not effective as a result of the material weakness in our internal control over financial reporting, described below, as of December 30, 2023. A "material weakness" is a deficiency, or a combination of deficiencies, in internal control over financial reporting, such that there is a reasonable possibility that a material misstatement in annual or interim financial statements will not be prevented or detected on a timely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by Rule 13a-15(f) of the Exchange Act. The Company's management conducted an assessment of the Company's internal control over financial reporting based on the framework established by the Committee of Sponsoring Organizations of the Treadway Commission in Internal Control - Integrated Framework (2013). In connection with this assessment, the Company’s management identified deficiencies in the design and operating effectiveness of controls in its internal control over financial reporting related to certain information technology general computer controls ("ITGC’s"). The replacement of components of our enterprise resource planning system in late August 2023 led to a significant increase in the volume of transactions across user access, program change management, and IT operations for which our existing controls were not designed to address. As a result, certain of the Company’s related business controls that are dependent upon the affected ITGC’s were also deemed ineffective. We did not identify any misstatements to the consolidated financial statements as of and for the year ended December 30, 2023 because of these control deficiencies. However, the pervasive impact of these control deficiencies to the Company's internal control over financial reporting created a reasonable possibility that a material misstatement to the consolidated financial statements would not be prevented or detected on a timely basis. Therefore, we concluded that the deficiencies represent a material weakness in our internal control over financial reporting and, as such, our internal control over financial reporting was not effective as of December 30, 2023.</w:t>
      </w:r>
    </w:p>
    <w:p>
      <w:pPr>
        <w:spacing w:after="0" w:line="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who audited the fiscal 2023 consolidated financial statements included in this Annual Report on Form 10-K, issued an adverse report on the Company’s internal control over financial reporting reflecting this material weakness as of December 30, 2023 as stated in its report which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is in the process of establishing a remediation plan and expects its remediation efforts will involve implementing additional controls or a redesign of controls to ensure that user access, program change management and IT operations controls are designed and operating effectively. These remediation efforts began during the fiscal quarter ended December 30, 2023 and are expected to be completed during the fiscal year ending December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than the material weakness described above, which was identified by management as part of the Company annual assessment of internal control over financial reporting, during the fiscal quarter ended December 30, 2023,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Grocery Outlet Holding Corp. and subsidiaries (the "Company") as of December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30, 2023,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30, 2023, of the Company and our report dated February 28,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Information Technology Controls (GITCs)</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identified deficiencies in the design and operating effectiveness of controls in its internal control over financial reporting related to certain information technology general computer controls ("ITGC's"). The replacement of components of the Company's enterprise resource planning system in late August 2023 led to a significant increase in the volume of transactions across user access, program change management, and IT operations for which their existing controls were not designed to address. As a result, certain of the Company's related business controls that are dependent upon the affected ITGC's were also deemed ineffective. The Company concluded that the pervasive impact of these control deficiencies to the Company's internal control over financial reporting created a reasonable possibility that a material misstatement to the consolidated financial statements would not be prevented or detected on a timely basis.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weakness was considered in determining the nature, timing, and extent of audit tests applied in our audit of the consolidated financial statements as of and for the year ended December 30, 2023, of the Company, and this report does not affect our report on such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13 weeks ended December 30, 2023, none of our directors or Officers (as such term is defined under Section 16 of the Exchange Act)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sections entitled "Corporate Governance and Board Matters," "Executive Officers," "Proposals for Consideration at Annual Meeting – Proposal 1 – Election of Class II Directors" and "Additional Information" in our definitive Proxy Statement related to the 2024 Annual Meeting of Stockholders to be filed with the SEC within 120 days of our fiscal year ended December 30, 2023 (the "2024 Proxy Statement").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sections entitled "Compensation Discussion and Analysis," "Named Executive Officer Compensation Tables" (excluding the information under the subheading "Pay Versus Performance"), "Corporate Governance and Board Matters – Director Compensation," "Corporate Governance and Board Matters – Board of Directors – Compensation Committee Interlocks and Insider Participation," and "Compensation Committee Report" in our 2024 Proxy Statement. However, the Compensation Committee Report included in such 2024 Proxy Statement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sections entitled "Security Ownership of Certain Beneficial Owners and Management," and "Securities Authorized for Issuance Under Equity Compensation Plans" in our 2024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sections entitled "Certain Relationships and Related Party Transactions," and "Corporate Governance and Board Matters – Board of Directors – Director Independence" in our 2024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 entitled "Other Audit and Risk Committee Matters" in our 2024 Proxy Statement.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Index to Consolidated Financial Statements</w:t>
      </w:r>
      <w:r>
        <w:rPr>
          <w:rFonts w:ascii="Times New Roman" w:cs="Times New Roman" w:eastAsia="Times New Roman" w:hAnsi="Times New Roman"/>
          <w:sz w:val="18"/>
          <w:szCs w:val="18"/>
          <w:color w:val="auto"/>
        </w:rPr>
        <w:t xml:space="preserve"> at "Item 8.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either not required, not applicable, not present in amounts sufficient to require submission of the schedule, or the required information is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gridSpan w:val="2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2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6"/>
                <w:szCs w:val="16"/>
                <w:b w:val="1"/>
                <w:bCs w:val="1"/>
                <w:color w:val="auto"/>
              </w:rPr>
              <w:t>File</w:t>
            </w:r>
          </w:p>
        </w:tc>
        <w:tc>
          <w:tcPr>
            <w:tcW w:w="126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8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14"/>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2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6"/>
          </w:tcPr>
          <w:p>
            <w:pPr>
              <w:spacing w:after="0" w:line="18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Restated Certificate of Incorporation of Grocery Outlet Holding Corp.</w:t>
              </w:r>
            </w:hyperlink>
          </w:p>
        </w:tc>
        <w:tc>
          <w:tcPr>
            <w:tcW w:w="20" w:type="dxa"/>
            <w:vAlign w:val="bottom"/>
          </w:tcPr>
          <w:p>
            <w:pPr>
              <w:spacing w:after="0"/>
              <w:rPr>
                <w:sz w:val="16"/>
                <w:szCs w:val="16"/>
                <w:color w:val="auto"/>
              </w:rPr>
            </w:pPr>
          </w:p>
        </w:tc>
        <w:tc>
          <w:tcPr>
            <w:tcW w:w="6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6/10/2022</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Amended and Restated Bylaws of Grocery Outlet Holding Corp.</w:t>
              </w:r>
            </w:hyperlink>
          </w:p>
        </w:tc>
        <w:tc>
          <w:tcPr>
            <w:tcW w:w="380" w:type="dxa"/>
            <w:vAlign w:val="bottom"/>
            <w:tcBorders>
              <w:top w:val="single" w:sz="8" w:color="0000FF"/>
            </w:tcBorders>
          </w:tcPr>
          <w:p>
            <w:pPr>
              <w:spacing w:after="0"/>
              <w:rPr>
                <w:sz w:val="18"/>
                <w:szCs w:val="18"/>
                <w:color w:val="auto"/>
              </w:rPr>
            </w:pPr>
          </w:p>
        </w:tc>
        <w:tc>
          <w:tcPr>
            <w:tcW w:w="960" w:type="dxa"/>
            <w:vAlign w:val="bottom"/>
            <w:gridSpan w:val="13"/>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4/8/2022</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Stock Certificate for Common Stock</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Stockholders Agreement by and among Grocery Outlet</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3/25/2020</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Holding Corp. and the other parties named therein</w:t>
              </w:r>
            </w:hyperlink>
          </w:p>
        </w:tc>
        <w:tc>
          <w:tcPr>
            <w:tcW w:w="2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Description of Grocery Outlet Holding Corp.'s Securities</w:t>
              </w:r>
            </w:hyperlink>
          </w:p>
        </w:tc>
        <w:tc>
          <w:tcPr>
            <w:tcW w:w="1900" w:type="dxa"/>
            <w:vAlign w:val="bottom"/>
            <w:gridSpan w:val="16"/>
          </w:tcPr>
          <w:p>
            <w:pPr>
              <w:spacing w:after="0"/>
              <w:rPr>
                <w:sz w:val="20"/>
                <w:szCs w:val="2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3/1/2023</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19"/>
                <w:szCs w:val="19"/>
                <w:color w:val="auto"/>
              </w:rPr>
            </w:pPr>
          </w:p>
        </w:tc>
        <w:tc>
          <w:tcPr>
            <w:tcW w:w="34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Globe Holding Corp. 2014 Stock Incentive Plan</w:t>
              </w:r>
            </w:hyperlink>
          </w:p>
        </w:tc>
        <w:tc>
          <w:tcPr>
            <w:tcW w:w="2540" w:type="dxa"/>
            <w:vAlign w:val="bottom"/>
            <w:gridSpan w:val="19"/>
          </w:tcPr>
          <w:p>
            <w:pPr>
              <w:spacing w:after="0"/>
              <w:rPr>
                <w:sz w:val="19"/>
                <w:szCs w:val="19"/>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0" w:type="dxa"/>
            <w:vAlign w:val="bottom"/>
          </w:tcPr>
          <w:p>
            <w:pPr>
              <w:spacing w:after="0"/>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Time Vesting Stock Option Grant Notice and Agreement</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(Globe Holding Corp. 2014 Stock Incentive Plan) (Eric J. Lindberg, Jr.),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00" w:type="dxa"/>
            <w:vAlign w:val="bottom"/>
            <w:gridSpan w:val="22"/>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October 21,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Performance Vesting Stock Option Grant Notice and Agreement (Globe</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Holding Corp. 2014 Stock Incentive Plan) (Charles C. Bracher, Robert J.</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Sheedy, Jr., Steven K. Wilson)</w:t>
              </w:r>
            </w:hyperlink>
          </w:p>
        </w:tc>
        <w:tc>
          <w:tcPr>
            <w:tcW w:w="36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Time Vesting Stock Option Grant Notice and Agreement (Globe</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Holding Corp. 2014 Stock Incentive Plan) (Charles C. Bracher, Robert J.</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Sheedy, Jr., Steven K. Wilson)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10.5†</w:t>
            </w: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Grocery Outlet Holding Corp. 2019 Incentive Plan</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10.6†</w:t>
            </w:r>
          </w:p>
        </w:tc>
        <w:tc>
          <w:tcPr>
            <w:tcW w:w="20" w:type="dxa"/>
            <w:vAlign w:val="bottom"/>
          </w:tcPr>
          <w:p>
            <w:pPr>
              <w:spacing w:after="0"/>
              <w:rPr>
                <w:sz w:val="18"/>
                <w:szCs w:val="18"/>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Nonqualified Option Grant and Award Agreement (Grocery Outlet</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Holding Corp. 2019 Incentive Plan)</w:t>
              </w:r>
            </w:hyperlink>
          </w:p>
        </w:tc>
        <w:tc>
          <w:tcPr>
            <w:tcW w:w="322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10.7†</w:t>
            </w:r>
          </w:p>
        </w:tc>
        <w:tc>
          <w:tcPr>
            <w:tcW w:w="20" w:type="dxa"/>
            <w:vAlign w:val="bottom"/>
          </w:tcPr>
          <w:p>
            <w:pPr>
              <w:spacing w:after="0"/>
              <w:rPr>
                <w:sz w:val="19"/>
                <w:szCs w:val="19"/>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2021 Form of Restricted Stock Unit Grant and Agreement (Grocery Outlet</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Holding Corp. 2019 Stock Incentive Plan)</w:t>
              </w:r>
            </w:hyperlink>
          </w:p>
        </w:tc>
        <w:tc>
          <w:tcPr>
            <w:tcW w:w="29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10.8†</w:t>
            </w:r>
          </w:p>
        </w:tc>
        <w:tc>
          <w:tcPr>
            <w:tcW w:w="20" w:type="dxa"/>
            <w:vAlign w:val="bottom"/>
          </w:tcPr>
          <w:p>
            <w:pPr>
              <w:spacing w:after="0"/>
              <w:rPr>
                <w:sz w:val="19"/>
                <w:szCs w:val="19"/>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2021 Form of Performance Stock Unit Grant and Agreement (Grocery Outlet</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Holding Corp. 2019 Stock Incentive Plan)</w:t>
              </w:r>
            </w:hyperlink>
          </w:p>
        </w:tc>
        <w:tc>
          <w:tcPr>
            <w:tcW w:w="29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10.9†</w:t>
            </w:r>
          </w:p>
        </w:tc>
        <w:tc>
          <w:tcPr>
            <w:tcW w:w="20" w:type="dxa"/>
            <w:vAlign w:val="bottom"/>
          </w:tcPr>
          <w:p>
            <w:pPr>
              <w:spacing w:after="0"/>
              <w:rPr>
                <w:sz w:val="19"/>
                <w:szCs w:val="19"/>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Performance Stock Unit Grant and Agreement (Grocery Outlet Holding</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Corp. 2019 Stock Incentive Plan) (effective October 2021)</w:t>
              </w:r>
            </w:hyperlink>
          </w:p>
        </w:tc>
        <w:tc>
          <w:tcPr>
            <w:tcW w:w="1560" w:type="dxa"/>
            <w:vAlign w:val="bottom"/>
            <w:tcBorders>
              <w:top w:val="single" w:sz="8" w:color="0000FF"/>
            </w:tcBorders>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0"/>
                <w:szCs w:val="20"/>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Restricted Stock Unit Grant and Agreement (Grocery Outlet Holding</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Corp. 2019 Stock Incentive Plan) (effective October 2021)</w:t>
              </w:r>
            </w:hyperlink>
          </w:p>
        </w:tc>
        <w:tc>
          <w:tcPr>
            <w:tcW w:w="1380" w:type="dxa"/>
            <w:vAlign w:val="bottom"/>
            <w:tcBorders>
              <w:top w:val="single" w:sz="8" w:color="0000FF"/>
            </w:tcBorders>
            <w:gridSpan w:val="3"/>
          </w:tcPr>
          <w:p>
            <w:pPr>
              <w:spacing w:after="0"/>
              <w:rPr>
                <w:sz w:val="13"/>
                <w:szCs w:val="13"/>
                <w:color w:val="auto"/>
              </w:rPr>
            </w:pPr>
          </w:p>
        </w:tc>
        <w:tc>
          <w:tcPr>
            <w:tcW w:w="28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2023 Form of Performance Stock Unit Grant and Agreement (Grocery Outlet</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5/10/2023</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Holding Corp. 2019 Stock Incentive Plan)</w:t>
              </w:r>
            </w:hyperlink>
          </w:p>
        </w:tc>
        <w:tc>
          <w:tcPr>
            <w:tcW w:w="29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9"/>
                <w:szCs w:val="19"/>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Restricted Stock Unit Grant and Agreement (Grocery Outlet Holding Corp.</w:t>
              </w:r>
            </w:hyperlink>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3/1/2023</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2019 Stock Incentive Plan) (CEO Form)</w:t>
              </w:r>
            </w:hyperlink>
          </w:p>
        </w:tc>
        <w:tc>
          <w:tcPr>
            <w:tcW w:w="12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20"/>
          </w:cols>
          <w:pgMar w:left="320" w:top="12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10.13†</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Restricted Stock Unit Grant and Agreement for Non-Employee</w:t>
              </w:r>
            </w:hyperlink>
          </w:p>
        </w:tc>
      </w:tr>
      <w:tr>
        <w:trPr>
          <w:trHeight w:val="155"/>
        </w:trPr>
        <w:tc>
          <w:tcPr>
            <w:tcW w:w="9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Directors (Grocery Outlet Holding Corp. 2019 Stock Incentive Plan) (effective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6180" w:type="dxa"/>
            <w:vAlign w:val="bottom"/>
            <w:gridSpan w:val="39"/>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June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10.14†</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Non-Employee Director Compensation Policy (as amended November 2, 2022</w:t>
              </w:r>
            </w:hyperlink>
          </w:p>
        </w:tc>
      </w:tr>
      <w:tr>
        <w:trPr>
          <w:trHeight w:val="156"/>
        </w:trPr>
        <w:tc>
          <w:tcPr>
            <w:tcW w:w="920" w:type="dxa"/>
            <w:vAlign w:val="bottom"/>
          </w:tcPr>
          <w:p>
            <w:pPr>
              <w:spacing w:after="0"/>
              <w:rPr>
                <w:sz w:val="13"/>
                <w:szCs w:val="13"/>
                <w:color w:val="auto"/>
              </w:rPr>
            </w:pPr>
          </w:p>
        </w:tc>
        <w:tc>
          <w:tcPr>
            <w:tcW w:w="61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 as effective January 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10.15†</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Grocery Outlet Holding Corp. Directors Deferral Plan</w:t>
              </w:r>
            </w:hyperlink>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10.16†</w:t>
            </w:r>
          </w:p>
        </w:tc>
        <w:tc>
          <w:tcPr>
            <w:tcW w:w="40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Grocery Outlet Holding Corp. Executive Severance Plan</w:t>
              </w:r>
            </w:hyperlink>
          </w:p>
        </w:tc>
        <w:tc>
          <w:tcPr>
            <w:tcW w:w="2140" w:type="dxa"/>
            <w:vAlign w:val="bottom"/>
            <w:gridSpan w:val="29"/>
          </w:tcPr>
          <w:p>
            <w:pPr>
              <w:spacing w:after="0"/>
              <w:rPr>
                <w:sz w:val="18"/>
                <w:szCs w:val="18"/>
                <w:color w:val="auto"/>
              </w:rPr>
            </w:pPr>
          </w:p>
        </w:tc>
      </w:tr>
      <w:tr>
        <w:trPr>
          <w:trHeight w:val="209"/>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10.17†</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Grocery Outlet Inc. 2019 Annual Incentive Plan (Amended and Restated</w:t>
              </w:r>
            </w:hyperlink>
          </w:p>
        </w:tc>
      </w:tr>
      <w:tr>
        <w:trPr>
          <w:trHeight w:val="156"/>
        </w:trPr>
        <w:tc>
          <w:tcPr>
            <w:tcW w:w="920" w:type="dxa"/>
            <w:vAlign w:val="bottom"/>
          </w:tcPr>
          <w:p>
            <w:pPr>
              <w:spacing w:after="0"/>
              <w:rPr>
                <w:sz w:val="13"/>
                <w:szCs w:val="13"/>
                <w:color w:val="auto"/>
              </w:rPr>
            </w:pPr>
          </w:p>
        </w:tc>
        <w:tc>
          <w:tcPr>
            <w:tcW w:w="59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Effective August 24,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10.18†</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Employment Agreement, effective January 1, 2023, by and among Robert J.</w:t>
              </w:r>
            </w:hyperlink>
          </w:p>
        </w:tc>
      </w:tr>
      <w:tr>
        <w:trPr>
          <w:trHeight w:val="155"/>
        </w:trPr>
        <w:tc>
          <w:tcPr>
            <w:tcW w:w="9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Sheedy, Jr., Grocery Outlet Inc. and Grocery Outlet Holding Corp.</w:t>
              </w:r>
            </w:hyperlink>
          </w:p>
        </w:tc>
        <w:tc>
          <w:tcPr>
            <w:tcW w:w="13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10.19†</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Indemnification Agreement between Grocery Outlet Holding Corp. and</w:t>
              </w:r>
            </w:hyperlink>
          </w:p>
        </w:tc>
      </w:tr>
      <w:tr>
        <w:trPr>
          <w:trHeight w:val="156"/>
        </w:trPr>
        <w:tc>
          <w:tcPr>
            <w:tcW w:w="920" w:type="dxa"/>
            <w:vAlign w:val="bottom"/>
          </w:tcPr>
          <w:p>
            <w:pPr>
              <w:spacing w:after="0"/>
              <w:rPr>
                <w:sz w:val="13"/>
                <w:szCs w:val="13"/>
                <w:color w:val="auto"/>
              </w:rPr>
            </w:pPr>
          </w:p>
        </w:tc>
        <w:tc>
          <w:tcPr>
            <w:tcW w:w="58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directors and executive officers of Grocery Outlet Holding 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10.20</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Credit Agreement, dated as of February 21, 2023, by and among Grocery Outlet</w:t>
              </w:r>
            </w:hyperlink>
          </w:p>
        </w:tc>
      </w:tr>
      <w:tr>
        <w:trPr>
          <w:trHeight w:val="155"/>
        </w:trPr>
        <w:tc>
          <w:tcPr>
            <w:tcW w:w="92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Holding Corp., the Lenders and Letter of Credit Issuers from time to time party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6080" w:type="dxa"/>
            <w:vAlign w:val="bottom"/>
            <w:gridSpan w:val="34"/>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thereto, and Bank of America, N.A., as the Administrative Agent, Collateral</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Agent and Swingline Lender., the Lenders and Letter of Credit Issuers from</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5920" w:type="dxa"/>
            <w:vAlign w:val="bottom"/>
            <w:gridSpan w:val="26"/>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time to time party thereto, and Bank of America, N.A., as the Administrative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9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Agent, Collateral Agent and Swingline Lender.</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10.21</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Pledge and Security Agreement, dated as of February 21, 2023, among Grocery</w:t>
              </w:r>
            </w:hyperlink>
          </w:p>
        </w:tc>
      </w:tr>
      <w:tr>
        <w:trPr>
          <w:trHeight w:val="156"/>
        </w:trPr>
        <w:tc>
          <w:tcPr>
            <w:tcW w:w="920" w:type="dxa"/>
            <w:vAlign w:val="bottom"/>
          </w:tcPr>
          <w:p>
            <w:pPr>
              <w:spacing w:after="0"/>
              <w:rPr>
                <w:sz w:val="13"/>
                <w:szCs w:val="13"/>
                <w:color w:val="auto"/>
              </w:rPr>
            </w:pPr>
          </w:p>
        </w:tc>
        <w:tc>
          <w:tcPr>
            <w:tcW w:w="60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Outlet Holding Corp., the subsidiaries of Grocery Outlet Holding Corp. from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8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time to time party thereto and Bank of America, N.A., as Collateral Agent</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10.22</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Copyright Security Agreement, dated as of February 21, 2023, among Grocery</w:t>
              </w:r>
            </w:hyperlink>
          </w:p>
        </w:tc>
      </w:tr>
      <w:tr>
        <w:trPr>
          <w:trHeight w:val="156"/>
        </w:trPr>
        <w:tc>
          <w:tcPr>
            <w:tcW w:w="920" w:type="dxa"/>
            <w:vAlign w:val="bottom"/>
          </w:tcPr>
          <w:p>
            <w:pPr>
              <w:spacing w:after="0"/>
              <w:rPr>
                <w:sz w:val="13"/>
                <w:szCs w:val="13"/>
                <w:color w:val="auto"/>
              </w:rPr>
            </w:pPr>
          </w:p>
        </w:tc>
        <w:tc>
          <w:tcPr>
            <w:tcW w:w="61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Outlet Inc. and Bank of America, N.A., as Collateral Agent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10.23</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Trademark Security Agreement, dated as of February 21, 2023, among Grocery</w:t>
              </w:r>
            </w:hyperlink>
          </w:p>
        </w:tc>
      </w:tr>
      <w:tr>
        <w:trPr>
          <w:trHeight w:val="156"/>
        </w:trPr>
        <w:tc>
          <w:tcPr>
            <w:tcW w:w="920" w:type="dxa"/>
            <w:vAlign w:val="bottom"/>
          </w:tcPr>
          <w:p>
            <w:pPr>
              <w:spacing w:after="0"/>
              <w:rPr>
                <w:sz w:val="13"/>
                <w:szCs w:val="13"/>
                <w:color w:val="auto"/>
              </w:rPr>
            </w:pPr>
          </w:p>
        </w:tc>
        <w:tc>
          <w:tcPr>
            <w:tcW w:w="60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Outlet Inc. and Bank of America, N.A., as Collateral Agent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10.24</w:t>
            </w:r>
          </w:p>
        </w:tc>
        <w:tc>
          <w:tcPr>
            <w:tcW w:w="6220" w:type="dxa"/>
            <w:vAlign w:val="bottom"/>
            <w:gridSpan w:val="4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Guarantee, dated as of February 21, 2023, among Grocery Outlet Holding</w:t>
              </w:r>
            </w:hyperlink>
          </w:p>
        </w:tc>
      </w:tr>
      <w:tr>
        <w:trPr>
          <w:trHeight w:val="156"/>
        </w:trPr>
        <w:tc>
          <w:tcPr>
            <w:tcW w:w="9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Corp., the subsidiaries of Grocery Outlet Holding Corp. from time to time party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6200" w:type="dxa"/>
            <w:vAlign w:val="bottom"/>
            <w:gridSpan w:val="40"/>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thereto and Bank of America, N.A., as Administrative Agent and Collateral</w:t>
              </w:r>
            </w:hyperlink>
          </w:p>
        </w:tc>
        <w:tc>
          <w:tcPr>
            <w:tcW w:w="20" w:type="dxa"/>
            <w:vAlign w:val="bottom"/>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51">
              <w:r>
                <w:rPr>
                  <w:rFonts w:ascii="Times New Roman" w:cs="Times New Roman" w:eastAsia="Times New Roman" w:hAnsi="Times New Roman"/>
                  <w:sz w:val="18"/>
                  <w:szCs w:val="18"/>
                  <w:color w:val="0000FF"/>
                  <w:w w:val="95"/>
                </w:rPr>
                <w:t>Agent</w:t>
              </w:r>
            </w:hyperlink>
          </w:p>
        </w:tc>
        <w:tc>
          <w:tcPr>
            <w:tcW w:w="544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0"/>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21.1*</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Subsidiary of the Registrant</w:t>
            </w:r>
          </w:p>
        </w:tc>
      </w:tr>
      <w:tr>
        <w:trPr>
          <w:trHeight w:val="20"/>
        </w:trPr>
        <w:tc>
          <w:tcPr>
            <w:tcW w:w="9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23.1*</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Consent of Deloitte and Touche LLP</w:t>
            </w:r>
          </w:p>
        </w:tc>
      </w:tr>
      <w:tr>
        <w:trPr>
          <w:trHeight w:val="20"/>
        </w:trPr>
        <w:tc>
          <w:tcPr>
            <w:tcW w:w="9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24.1*</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Power of Attorney (incorporated by reference to the signature page to this</w:t>
            </w:r>
          </w:p>
        </w:tc>
      </w:tr>
      <w:tr>
        <w:trPr>
          <w:trHeight w:val="156"/>
        </w:trPr>
        <w:tc>
          <w:tcPr>
            <w:tcW w:w="9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Annual Report on Form 10-K)</w:t>
            </w:r>
          </w:p>
        </w:tc>
        <w:tc>
          <w:tcPr>
            <w:tcW w:w="3920" w:type="dxa"/>
            <w:vAlign w:val="bottom"/>
            <w:tcBorders>
              <w:top w:val="single" w:sz="8" w:color="0000FF"/>
            </w:tcBorders>
            <w:gridSpan w:val="2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31.1*</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w:t>
            </w:r>
          </w:p>
        </w:tc>
      </w:tr>
      <w:tr>
        <w:trPr>
          <w:trHeight w:val="155"/>
        </w:trPr>
        <w:tc>
          <w:tcPr>
            <w:tcW w:w="9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 Sarbanes-</w:t>
            </w:r>
          </w:p>
        </w:tc>
        <w:tc>
          <w:tcPr>
            <w:tcW w:w="120" w:type="dxa"/>
            <w:vAlign w:val="bottom"/>
            <w:tcBorders>
              <w:bottom w:val="single" w:sz="8" w:color="0000FF"/>
            </w:tcBorders>
            <w:gridSpan w:val="6"/>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34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20" w:type="dxa"/>
            <w:vAlign w:val="bottom"/>
            <w:gridSpan w:val="29"/>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9"/>
        </w:trPr>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31.2*</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r>
      <w:tr>
        <w:trPr>
          <w:trHeight w:val="156"/>
        </w:trPr>
        <w:tc>
          <w:tcPr>
            <w:tcW w:w="9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80" w:type="dxa"/>
            <w:vAlign w:val="bottom"/>
            <w:tcBorders>
              <w:bottom w:val="single" w:sz="8" w:color="0000FF"/>
            </w:tcBorders>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86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5160" w:type="dxa"/>
            <w:vAlign w:val="bottom"/>
            <w:gridSpan w:val="28"/>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10"/>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32.1**</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r>
      <w:tr>
        <w:trPr>
          <w:trHeight w:val="155"/>
        </w:trPr>
        <w:tc>
          <w:tcPr>
            <w:tcW w:w="920" w:type="dxa"/>
            <w:vAlign w:val="bottom"/>
          </w:tcPr>
          <w:p>
            <w:pPr>
              <w:spacing w:after="0"/>
              <w:rPr>
                <w:sz w:val="13"/>
                <w:szCs w:val="13"/>
                <w:color w:val="auto"/>
              </w:rPr>
            </w:pPr>
          </w:p>
        </w:tc>
        <w:tc>
          <w:tcPr>
            <w:tcW w:w="6000" w:type="dxa"/>
            <w:vAlign w:val="bottom"/>
            <w:tcBorders>
              <w:top w:val="single" w:sz="8" w:color="0000FF"/>
            </w:tcBorders>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220" w:type="dxa"/>
            <w:vAlign w:val="bottom"/>
            <w:gridSpan w:val="11"/>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gridSpan w:val="1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4"/>
          </w:tcPr>
          <w:p>
            <w:pPr>
              <w:spacing w:after="0" w:line="20" w:lineRule="exact"/>
              <w:rPr>
                <w:sz w:val="1"/>
                <w:szCs w:val="1"/>
                <w:color w:val="auto"/>
              </w:rPr>
            </w:pPr>
          </w:p>
        </w:tc>
      </w:tr>
      <w:tr>
        <w:trPr>
          <w:trHeight w:val="223"/>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32.2**</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r>
      <w:tr>
        <w:trPr>
          <w:trHeight w:val="155"/>
        </w:trPr>
        <w:tc>
          <w:tcPr>
            <w:tcW w:w="920" w:type="dxa"/>
            <w:vAlign w:val="bottom"/>
          </w:tcPr>
          <w:p>
            <w:pPr>
              <w:spacing w:after="0"/>
              <w:rPr>
                <w:sz w:val="13"/>
                <w:szCs w:val="13"/>
                <w:color w:val="auto"/>
              </w:rPr>
            </w:pPr>
          </w:p>
        </w:tc>
        <w:tc>
          <w:tcPr>
            <w:tcW w:w="6180" w:type="dxa"/>
            <w:vAlign w:val="bottom"/>
            <w:tcBorders>
              <w:top w:val="single" w:sz="8" w:color="0000FF"/>
            </w:tcBorders>
            <w:gridSpan w:val="39"/>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gridSpan w:val="1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4"/>
          </w:tcPr>
          <w:p>
            <w:pPr>
              <w:spacing w:after="0" w:line="20" w:lineRule="exact"/>
              <w:rPr>
                <w:sz w:val="1"/>
                <w:szCs w:val="1"/>
                <w:color w:val="auto"/>
              </w:rPr>
            </w:pPr>
          </w:p>
        </w:tc>
      </w:tr>
      <w:tr>
        <w:trPr>
          <w:trHeight w:val="223"/>
        </w:trPr>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97.1†*</w:t>
            </w:r>
          </w:p>
        </w:tc>
        <w:tc>
          <w:tcPr>
            <w:tcW w:w="62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Grocery Outlet Holding Corp. Incentive Compensation Clawback Policy</w:t>
            </w:r>
          </w:p>
        </w:tc>
      </w:tr>
      <w:tr>
        <w:trPr>
          <w:trHeight w:val="20"/>
        </w:trPr>
        <w:tc>
          <w:tcPr>
            <w:tcW w:w="920" w:type="dxa"/>
            <w:vAlign w:val="bottom"/>
          </w:tcPr>
          <w:p>
            <w:pPr>
              <w:spacing w:after="0" w:line="20" w:lineRule="exact"/>
              <w:rPr>
                <w:sz w:val="1"/>
                <w:szCs w:val="1"/>
                <w:color w:val="auto"/>
              </w:rPr>
            </w:pPr>
          </w:p>
        </w:tc>
        <w:tc>
          <w:tcPr>
            <w:tcW w:w="5220" w:type="dxa"/>
            <w:vAlign w:val="bottom"/>
            <w:gridSpan w:val="17"/>
            <w:shd w:val="clear" w:color="auto" w:fill="0000FF"/>
          </w:tcPr>
          <w:p>
            <w:pPr>
              <w:spacing w:after="0" w:line="20" w:lineRule="exact"/>
              <w:rPr>
                <w:sz w:val="1"/>
                <w:szCs w:val="1"/>
                <w:color w:val="auto"/>
              </w:rPr>
            </w:pPr>
          </w:p>
        </w:tc>
        <w:tc>
          <w:tcPr>
            <w:tcW w:w="1000" w:type="dxa"/>
            <w:vAlign w:val="bottom"/>
            <w:gridSpan w:val="24"/>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62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r>
      <w:tr>
        <w:trPr>
          <w:trHeight w:val="204"/>
        </w:trPr>
        <w:tc>
          <w:tcPr>
            <w:tcW w:w="920" w:type="dxa"/>
            <w:vAlign w:val="bottom"/>
          </w:tcPr>
          <w:p>
            <w:pPr>
              <w:spacing w:after="0"/>
              <w:rPr>
                <w:sz w:val="17"/>
                <w:szCs w:val="17"/>
                <w:color w:val="auto"/>
              </w:rPr>
            </w:pPr>
          </w:p>
        </w:tc>
        <w:tc>
          <w:tcPr>
            <w:tcW w:w="6220" w:type="dxa"/>
            <w:vAlign w:val="bottom"/>
            <w:gridSpan w:val="41"/>
          </w:tcPr>
          <w:p>
            <w:pPr>
              <w:spacing w:after="0" w:line="20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bl>
    <w:p>
      <w:pPr>
        <w:ind w:left="1100"/>
        <w:spacing w:after="0"/>
        <w:rPr>
          <w:sz w:val="20"/>
          <w:szCs w:val="20"/>
          <w:color w:val="auto"/>
        </w:rPr>
      </w:pPr>
      <w:r>
        <w:rPr>
          <w:rFonts w:ascii="Times New Roman" w:cs="Times New Roman" w:eastAsia="Times New Roman" w:hAnsi="Times New Roman"/>
          <w:sz w:val="18"/>
          <w:szCs w:val="18"/>
          <w:color w:val="auto"/>
        </w:rPr>
        <w:t>XBRL document.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r>
        <w:trPr>
          <w:trHeight w:val="594"/>
        </w:trPr>
        <w:tc>
          <w:tcPr>
            <w:tcW w:w="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10.2</w:t>
            </w:r>
          </w:p>
        </w:tc>
      </w:tr>
      <w:tr>
        <w:trPr>
          <w:trHeight w:val="414"/>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11/10/2020</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11/10/2020</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11/8/2023</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r>
        <w:trPr>
          <w:trHeight w:val="418"/>
        </w:trPr>
        <w:tc>
          <w:tcPr>
            <w:tcW w:w="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r>
        <w:trPr>
          <w:trHeight w:val="418"/>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6/10/2019</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419"/>
        </w:trPr>
        <w:tc>
          <w:tcPr>
            <w:tcW w:w="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2/23/2023</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59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1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ectPr>
          <w:pgSz w:w="11900" w:h="16838" w:orient="portrait"/>
          <w:cols w:equalWidth="0" w:num="2">
            <w:col w:w="6900" w:space="260"/>
            <w:col w:w="3860"/>
          </w:cols>
          <w:pgMar w:left="320" w:top="121" w:right="5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Extension Presentation Linkbase Document</w:t>
            </w:r>
          </w:p>
        </w:tc>
      </w:tr>
    </w:tbl>
    <w:p>
      <w:pPr>
        <w:jc w:val="both"/>
        <w:ind w:left="1100" w:right="4260" w:hanging="748"/>
        <w:spacing w:after="0" w:line="229"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included as Exhibit 101.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w:t>
      </w:r>
    </w:p>
    <w:p>
      <w:pPr>
        <w:spacing w:after="0" w:line="27" w:lineRule="exact"/>
        <w:rPr>
          <w:sz w:val="20"/>
          <w:szCs w:val="20"/>
          <w:color w:val="auto"/>
        </w:rPr>
      </w:pPr>
    </w:p>
    <w:p>
      <w:pPr>
        <w:ind w:left="700" w:hanging="67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700" w:hanging="67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jc w:val="both"/>
        <w:ind w:left="700" w:hanging="674"/>
        <w:spacing w:after="0" w:line="180" w:lineRule="auto"/>
        <w:tabs>
          <w:tab w:leader="none" w:pos="700" w:val="left"/>
        </w:tabs>
        <w:numPr>
          <w:ilvl w:val="0"/>
          <w:numId w:val="41"/>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Furnished herewith. The certifications attached as Exhibit 32.1 and 32.2 that accompany this Annual Report on Form 10-K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135" w:lineRule="exact"/>
        <w:rPr>
          <w:sz w:val="20"/>
          <w:szCs w:val="20"/>
          <w:color w:val="auto"/>
        </w:rPr>
      </w:pPr>
    </w:p>
    <w:p>
      <w:pPr>
        <w:ind w:left="20"/>
        <w:spacing w:after="0"/>
        <w:tabs>
          <w:tab w:leader="none" w:pos="700" w:val="left"/>
          <w:tab w:leader="none" w:pos="6980" w:val="left"/>
          <w:tab w:leader="none" w:pos="7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Robert J. Sheedy,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Robert J. Sheedy, Jr.</w:t>
      </w:r>
    </w:p>
    <w:p>
      <w:pPr>
        <w:ind w:left="750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7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 and appoint Robert J. Sheedy, Jr., Lindsay E. Gray and Luke D. Thompson, or any of them, his or her attorneys-in-fact, for such person in any and all capacities, to sign any amendments to this report and to file the same, with exhibits thereto, and other documents in connection therewith, with the Securities and Exchange Commission, hereby ratifying and confirming all that either of said attorneys-in-fact, or substitute or substitutes, may do or cause to be done by virtue hereof.</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65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 Robert J. Sheedy,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Robert J. Sheedy, Jr.</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b w:val="1"/>
          <w:bCs w:val="1"/>
          <w:color w:val="auto"/>
        </w:rPr>
        <w:t>Charles C. Bracher</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Lindsay E. Gray</w:t>
      </w:r>
    </w:p>
    <w:p>
      <w:pPr>
        <w:spacing w:after="0" w:line="8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Eric J. Lindberg, Jr.</w:t>
      </w:r>
    </w:p>
    <w:p>
      <w:pPr>
        <w:spacing w:after="0" w:line="8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/s/ Erik D. Ragatz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Erik D. Ragatz</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 Kenneth W. Alterman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Kenneth W. Alterman</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 John E.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John E. Bachman</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 Mary Kay Haben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Mary Kay Haben</w:t>
      </w:r>
    </w:p>
    <w:p>
      <w:pPr>
        <w:spacing w:after="0" w:line="8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 Thomas F.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b w:val="1"/>
          <w:bCs w:val="1"/>
          <w:color w:val="auto"/>
        </w:rPr>
        <w:t>Thomas F. Herman</w:t>
      </w:r>
    </w:p>
    <w:p>
      <w:pPr>
        <w:spacing w:after="0" w:line="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/s/ Carey F. Jaros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Carey F. Jaros</w:t>
      </w:r>
    </w:p>
    <w:p>
      <w:pPr>
        <w:spacing w:after="0" w:line="8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/s/ Gail Moody-Byrd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Gail Moody-Byrd</w:t>
      </w:r>
    </w:p>
    <w:p>
      <w:pPr>
        <w:spacing w:after="0" w:line="8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/s/ Jeffrey R.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Jeffrey R. York</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4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129"/>
        </w:trPr>
        <w:tc>
          <w:tcPr>
            <w:tcW w:w="4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129"/>
        </w:trPr>
        <w:tc>
          <w:tcPr>
            <w:tcW w:w="4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Senior Vice President, Accounting</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129"/>
        </w:trPr>
        <w:tc>
          <w:tcPr>
            <w:tcW w:w="4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 Chairman of the Board</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Lead Independent 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499"/>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499"/>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3600" w:space="720"/>
            <w:col w:w="69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21" w:right="3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780" w:type="dxa"/>
            <w:vAlign w:val="bottom"/>
          </w:tcPr>
          <w:p>
            <w:pPr>
              <w:spacing w:after="0"/>
              <w:rPr>
                <w:sz w:val="24"/>
                <w:szCs w:val="24"/>
                <w:color w:val="auto"/>
              </w:rPr>
            </w:pPr>
          </w:p>
        </w:tc>
        <w:tc>
          <w:tcPr>
            <w:tcW w:w="7820" w:type="dxa"/>
            <w:vAlign w:val="bottom"/>
            <w:gridSpan w:val="3"/>
          </w:tcPr>
          <w:p>
            <w:pPr>
              <w:ind w:left="1220"/>
              <w:spacing w:after="0"/>
              <w:rPr>
                <w:sz w:val="20"/>
                <w:szCs w:val="20"/>
                <w:color w:val="auto"/>
              </w:rPr>
            </w:pPr>
            <w:r>
              <w:rPr>
                <w:rFonts w:ascii="Times New Roman" w:cs="Times New Roman" w:eastAsia="Times New Roman" w:hAnsi="Times New Roman"/>
                <w:sz w:val="22"/>
                <w:szCs w:val="22"/>
                <w:b w:val="1"/>
                <w:bCs w:val="1"/>
                <w:color w:val="auto"/>
              </w:rPr>
              <w:t>Subsidiary of the Registrant</w:t>
            </w:r>
          </w:p>
        </w:tc>
      </w:tr>
      <w:tr>
        <w:trPr>
          <w:trHeight w:val="488"/>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2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Grocery Outlet Inc.</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bl>
    <w:p>
      <w:pPr>
        <w:sectPr>
          <w:pgSz w:w="11900" w:h="16838" w:orient="portrait"/>
          <w:cols w:equalWidth="0" w:num="1">
            <w:col w:w="10920"/>
          </w:cols>
          <w:pgMar w:left="640" w:top="11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333-232318, 333-253801 and 333-263223 on Form S-8 of our reports dated February 28, 2024, relating to the financial statements of Grocery Outlet Holding Corp. and the effectiveness of Grocery Outlet Holding Corp.'s internal control over financial reporting appearing in this Annual Report on Form 10-K for the year ended December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1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Sheedy, Jr.,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Grocery Outlet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61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Robert J. Sheedy, Jr.</w:t>
            </w:r>
          </w:p>
        </w:tc>
      </w:tr>
      <w:tr>
        <w:trPr>
          <w:trHeight w:val="218"/>
        </w:trPr>
        <w:tc>
          <w:tcPr>
            <w:tcW w:w="4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J. Sheedy, Jr.</w:t>
            </w:r>
          </w:p>
        </w:tc>
      </w:tr>
      <w:tr>
        <w:trPr>
          <w:trHeight w:val="230"/>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Grocery Outlet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56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Charles C. Bracher</w:t>
            </w:r>
          </w:p>
        </w:tc>
      </w:tr>
      <w:tr>
        <w:trPr>
          <w:trHeight w:val="218"/>
        </w:trPr>
        <w:tc>
          <w:tcPr>
            <w:tcW w:w="4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C. Bracher</w:t>
            </w:r>
          </w:p>
        </w:tc>
      </w:tr>
      <w:tr>
        <w:trPr>
          <w:trHeight w:val="230"/>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Grocery Outlet Holding Corp. (the "Company") on Form 10-K for the period ended December 30, 2023 as filed with the Securities and Exchange Commission on the date hereof (the "Report"), I, Robert J. Sheedy, Jr., certify pursuant to 18 U.S.C. § 1350, as adopted pursuant to § 906 of the Sarbanes-Oxley Act of 2002, that:</w:t>
      </w:r>
    </w:p>
    <w:p>
      <w:pPr>
        <w:spacing w:after="0" w:line="176" w:lineRule="exact"/>
        <w:rPr>
          <w:sz w:val="20"/>
          <w:szCs w:val="20"/>
          <w:color w:val="auto"/>
        </w:rPr>
      </w:pPr>
    </w:p>
    <w:p>
      <w:pPr>
        <w:ind w:left="1060" w:hanging="36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59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Robert J. Sheedy, Jr.</w:t>
            </w:r>
          </w:p>
        </w:tc>
      </w:tr>
      <w:tr>
        <w:trPr>
          <w:trHeight w:val="218"/>
        </w:trPr>
        <w:tc>
          <w:tcPr>
            <w:tcW w:w="3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J. Sheedy, Jr.</w:t>
            </w:r>
          </w:p>
        </w:tc>
      </w:tr>
      <w:tr>
        <w:trPr>
          <w:trHeight w:val="230"/>
        </w:trPr>
        <w:tc>
          <w:tcPr>
            <w:tcW w:w="3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Grocery Outlet Holding Corp. (the "Company") on Form 10-K for the period ended December 30, 2023 as filed with the Securities and Exchange Commission on the date hereof (the "Report"), I, Charles C. Bracher, certify pursuant to 18 U.S.C. § 1350, as adopted pursuant to § 906 of the Sarbanes-Oxley Act of 2002, that:</w:t>
      </w:r>
    </w:p>
    <w:p>
      <w:pPr>
        <w:spacing w:after="0" w:line="176" w:lineRule="exact"/>
        <w:rPr>
          <w:sz w:val="20"/>
          <w:szCs w:val="20"/>
          <w:color w:val="auto"/>
        </w:rPr>
      </w:pPr>
    </w:p>
    <w:p>
      <w:pPr>
        <w:ind w:left="1060" w:hanging="364"/>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54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Charles C. Bracher</w:t>
            </w:r>
          </w:p>
        </w:tc>
      </w:tr>
      <w:tr>
        <w:trPr>
          <w:trHeight w:val="218"/>
        </w:trPr>
        <w:tc>
          <w:tcPr>
            <w:tcW w:w="3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C. Bracher</w:t>
            </w:r>
          </w:p>
        </w:tc>
      </w:tr>
      <w:tr>
        <w:trPr>
          <w:trHeight w:val="230"/>
        </w:trPr>
        <w:tc>
          <w:tcPr>
            <w:tcW w:w="3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GROCERY OUTLET HOLDING CORP.</w:t>
      </w:r>
    </w:p>
    <w:p>
      <w:pPr>
        <w:spacing w:after="0" w:line="2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u w:val="single" w:color="auto"/>
          <w:color w:val="auto"/>
        </w:rPr>
        <w:t>Incentive Compensation Clawback Policy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(As Adopted on October 16, 2023 Pursuant to Nasdaq Rule 5608)</w:t>
      </w:r>
    </w:p>
    <w:p>
      <w:pPr>
        <w:spacing w:after="0" w:line="119" w:lineRule="exact"/>
        <w:rPr>
          <w:sz w:val="20"/>
          <w:szCs w:val="20"/>
          <w:color w:val="auto"/>
        </w:rPr>
      </w:pPr>
    </w:p>
    <w:p>
      <w:pPr>
        <w:jc w:val="both"/>
        <w:ind w:firstLine="656"/>
        <w:spacing w:after="0" w:line="252"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Overview. </w:t>
      </w:r>
      <w:r>
        <w:rPr>
          <w:rFonts w:ascii="Times New Roman" w:cs="Times New Roman" w:eastAsia="Times New Roman" w:hAnsi="Times New Roman"/>
          <w:sz w:val="22"/>
          <w:szCs w:val="22"/>
          <w:color w:val="auto"/>
        </w:rPr>
        <w:t>The Compensation Committee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of Directors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Grocery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Outlet Holding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has adopted this Incentive Compensation Clawback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that requires the recoupment of certain incentive-based compensation in accordance with the terms herein and is intended to comply with Section 10D and Rule 10D-1 of the Securities Exchange Act of 1934 and Listing Rule 5608 promulgated by The Nasdaq Stock Market LLC, each as may be amended from time to time (the </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Capitalized terms not otherwise defined herein shall have the meanings assigned to such terms under Section 13 of this Policy.</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Interpretation and Administration. </w:t>
      </w:r>
      <w:r>
        <w:rPr>
          <w:rFonts w:ascii="Times New Roman" w:cs="Times New Roman" w:eastAsia="Times New Roman" w:hAnsi="Times New Roman"/>
          <w:sz w:val="22"/>
          <w:szCs w:val="22"/>
          <w:color w:val="auto"/>
        </w:rPr>
        <w:t>The Committee or, if so designated by the Board, the Board or another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committee thereof (the </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shall have full authority to interpret and enforce this Policy and make all determinations necessary or appropriate for the administration of this Policy. The Policy shall be interpreted in a manner consistent with its intent to meet the requirements of the Applicable Rules. Subject to applicable law, any interpretation or determination by the Administrator shall be final and binding on all affected persons and need not be uniform with respect to each Covered Executive. The Administrator is authorized to consult with the Board or such other committees of the Board, as well as retain any counsel, advisors or consultants, as the Administrator determines is necessary or appropriate to assist with its duties set forth in this Policy. As further set forth in Section 10 hereof, this Policy is intended to supplement any other clawback plans, policies, agreements and procedures that the Company (or any of its affiliates or subsidiaries) may have in place from time to time or pursuant to other applicable law.</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Covered Executives. </w:t>
      </w:r>
      <w:r>
        <w:rPr>
          <w:rFonts w:ascii="Times New Roman" w:cs="Times New Roman" w:eastAsia="Times New Roman" w:hAnsi="Times New Roman"/>
          <w:sz w:val="22"/>
          <w:szCs w:val="22"/>
          <w:color w:val="auto"/>
        </w:rPr>
        <w:t>The Policy applies to each current and former Executive Officer of the Company who serves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served as an Executive Officer at any time during a performance period in respect of which Incentive Compensation is Received, to the extent that any portion of such Incentive Compensation is (a) Received by the Executive Officer during the Recovery Period and (b) determined to have included Erroneously Awarded Compensation. Executive Officers subject to this Policy pursuant to this Section 3 are referred to herein as </w:t>
      </w:r>
      <w:r>
        <w:rPr>
          <w:rFonts w:ascii="Times New Roman" w:cs="Times New Roman" w:eastAsia="Times New Roman" w:hAnsi="Times New Roman"/>
          <w:sz w:val="22"/>
          <w:szCs w:val="22"/>
          <w:b w:val="1"/>
          <w:bCs w:val="1"/>
          <w:i w:val="1"/>
          <w:iCs w:val="1"/>
          <w:color w:val="auto"/>
        </w:rPr>
        <w:t>“Covered Executives.”</w:t>
      </w:r>
    </w:p>
    <w:p>
      <w:pPr>
        <w:spacing w:after="0" w:line="189"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Recovery of Erroneously Awarded Compensation. </w:t>
      </w:r>
      <w:r>
        <w:rPr>
          <w:rFonts w:ascii="Times New Roman" w:cs="Times New Roman" w:eastAsia="Times New Roman" w:hAnsi="Times New Roman"/>
          <w:sz w:val="22"/>
          <w:szCs w:val="22"/>
          <w:color w:val="auto"/>
        </w:rPr>
        <w:t>In the event of a Restatement, if any Erroneously Awarded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is Received by a Covered Executive during the Recovery Period, the Company shall recover reasonably promptly such Erroneously Awarded Compensation in a manner described under Section 5 hereof. Once the Administrator has determined the amount, if any, of Erroneously Awarded Compensation in connection with a Restatement, the Company shall promptly provide each Covered Executive with a written notice containing the amount of Erroneously Awarded Compensation, the applicable methodology and calculation of such amount, and a demand for repayment, return or forfeiture, as applicable. Prior to sending any such formal demand for recovery as determined pursuant to this Policy, the Administrator may, in its sole discretion depending on the specific facts and circumstances, provide a Covered Executive with an initial written notice containing the foregoing information,</w:t>
      </w:r>
    </w:p>
    <w:p>
      <w:pPr>
        <w:sectPr>
          <w:pgSz w:w="11900" w:h="16838" w:orient="portrait"/>
          <w:cols w:equalWidth="0" w:num="1">
            <w:col w:w="11240"/>
          </w:cols>
          <w:pgMar w:left="320" w:top="114" w:right="339" w:bottom="1440" w:gutter="0" w:footer="0" w:header="0"/>
        </w:sectPr>
      </w:pPr>
    </w:p>
    <w:bookmarkStart w:id="116" w:name="page117"/>
    <w:bookmarkEnd w:id="116"/>
    <w:p>
      <w:pPr>
        <w:spacing w:after="0" w:line="271" w:lineRule="auto"/>
        <w:rPr>
          <w:sz w:val="20"/>
          <w:szCs w:val="20"/>
          <w:color w:val="auto"/>
        </w:rPr>
      </w:pPr>
      <w:r>
        <w:rPr>
          <w:rFonts w:ascii="Times New Roman" w:cs="Times New Roman" w:eastAsia="Times New Roman" w:hAnsi="Times New Roman"/>
          <w:sz w:val="22"/>
          <w:szCs w:val="22"/>
          <w:color w:val="auto"/>
        </w:rPr>
        <w:t>and may provide the Covered Executive with the opportunity to be heard at a meeting or otherwise respond in writing to such information.</w:t>
      </w:r>
    </w:p>
    <w:p>
      <w:pPr>
        <w:spacing w:after="0" w:line="154" w:lineRule="exact"/>
        <w:rPr>
          <w:sz w:val="20"/>
          <w:szCs w:val="20"/>
          <w:color w:val="auto"/>
        </w:rPr>
      </w:pPr>
    </w:p>
    <w:p>
      <w:pPr>
        <w:jc w:val="both"/>
        <w:ind w:firstLine="656"/>
        <w:spacing w:after="0" w:line="248" w:lineRule="auto"/>
        <w:tabs>
          <w:tab w:leader="none" w:pos="12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Forms of Recovery. </w:t>
      </w:r>
      <w:r>
        <w:rPr>
          <w:rFonts w:ascii="Times New Roman" w:cs="Times New Roman" w:eastAsia="Times New Roman" w:hAnsi="Times New Roman"/>
          <w:sz w:val="22"/>
          <w:szCs w:val="22"/>
          <w:color w:val="auto"/>
        </w:rPr>
        <w:t>The Administrator shall determine, in its sole discretion and in a manner that effectuates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the Applicable Rules, one or more methods for recovering any Erroneously Awarded Compensation hereunder in accordance with Section 4 hereof, which may include, without limitation (subject to applicable law): (a) requiring cash reimbursement; (b) seeking recovery or forfeiture of any gain realized on the vesting, exercise, settlement, sale, transfer or other disposition of any equity-based awards; (c) offsetting the amount to be recouped from any compensation otherwise owed by the Company (or any of its affiliates or subsidiaries), or from future compensation expected to be payable by the Company (or any of its affiliates or subsidiaries), to the Covered Executive; (d) cancelling or reducing outstanding vested or unvested cash or equity-based awards; (e) forfeiture of deferred compensation; and/or (f) taking any other remedial and recovery action permitted by law, as determined by the Administrator. Any reduction, cancellation or forfeiture of compensation shall be done in compliance with Section 409A of the Internal Revenue Code of 1986, as amended, and the regulations promulgated thereunder. To the extent the Covered Executive refuses to pay to the Company an amount equal to the Erroneously Awarded Compensation, the Company shall take all reasonable and appropriate actions to recover such Erroneously Awarded Compensation from the applicable Covered Executive. The applicable Covered Executive shall be required to reimburse the Company for any and all expenses reasonably incurred (including legal fees) by the Company (or any of its affiliates or subsidiaries) in recovering such Erroneously Awarded Compensation in accordance with the immediately preceding sentence.</w:t>
      </w:r>
    </w:p>
    <w:p>
      <w:pPr>
        <w:spacing w:after="0" w:line="182"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Indemnification or Insurance. </w:t>
      </w:r>
      <w:r>
        <w:rPr>
          <w:rFonts w:ascii="Times New Roman" w:cs="Times New Roman" w:eastAsia="Times New Roman" w:hAnsi="Times New Roman"/>
          <w:sz w:val="22"/>
          <w:szCs w:val="22"/>
          <w:color w:val="auto"/>
        </w:rPr>
        <w:t>The Company (and its affiliates and subsidiaries) shall not insure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reimburse for the purchase of insurance) or indemnify any Covered Executive against (i) the loss of any Erroneously Awarded Compensation that is repaid, returned, recovered, cancelled or forfeited pursuant to the terms of this Policy, or (ii) any claims relating to the Company’s enforcement of its rights under this Policy. Further, the Company (and its affiliates and subsidiaries) shall not enter into any agreement that exempts any Incentive Compensation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96"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Exceptions to the Recovery Requirement</w:t>
      </w:r>
      <w:r>
        <w:rPr>
          <w:rFonts w:ascii="Times New Roman" w:cs="Times New Roman" w:eastAsia="Times New Roman" w:hAnsi="Times New Roman"/>
          <w:sz w:val="21"/>
          <w:szCs w:val="21"/>
          <w:color w:val="auto"/>
        </w:rPr>
        <w:t>. Notwithstanding anything in this Policy to the contrary,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be required to recover Erroneously Awarded Compensation, including by taking the actions contemplated in Sections 4 and 5 hereof against a Covered Executive, if the Committee (or, if the Committee is not composed solely of Independent Directors, a majority of the Independent Directors serving on the Board) determines that recovery would be impracticable solely as a result of any of the following and subject to the required procedural and disclosure requirements in the Applicable Rules:</w:t>
      </w:r>
    </w:p>
    <w:p>
      <w:pPr>
        <w:spacing w:after="0" w:line="164" w:lineRule="exact"/>
        <w:rPr>
          <w:rFonts w:ascii="Times New Roman" w:cs="Times New Roman" w:eastAsia="Times New Roman" w:hAnsi="Times New Roman"/>
          <w:sz w:val="21"/>
          <w:szCs w:val="21"/>
          <w:b w:val="1"/>
          <w:bCs w:val="1"/>
          <w:color w:val="auto"/>
        </w:rPr>
      </w:pPr>
    </w:p>
    <w:p>
      <w:pPr>
        <w:jc w:val="both"/>
        <w:ind w:firstLine="1304"/>
        <w:spacing w:after="0" w:line="256" w:lineRule="auto"/>
        <w:tabs>
          <w:tab w:leader="none" w:pos="194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expenses paid to a third party to assist in enforcing this Policy against a Covered Executive would exceed the amount of Erroneously Awarded Compensation; provided that, before making such determination, the Company must make a reasonable attempt to recover such Erroneously Awarded Compensation, document such reasonable attempt(s) to recover, and provide that documentation to the Exchange; 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44" w:right="339" w:bottom="1440" w:gutter="0" w:footer="0" w:header="0"/>
        </w:sectPr>
      </w:pPr>
    </w:p>
    <w:bookmarkStart w:id="117" w:name="page118"/>
    <w:bookmarkEnd w:id="117"/>
    <w:p>
      <w:pPr>
        <w:jc w:val="both"/>
        <w:ind w:firstLine="1304"/>
        <w:spacing w:after="0" w:line="257" w:lineRule="auto"/>
        <w:tabs>
          <w:tab w:leader="none" w:pos="19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(and its affiliates and subsidiaries), to fail to meet the requirements of Section 401(a)(13) or 411(a) of the Internal Revenue Code of 1986, as amended, and the regulations thereunder.</w:t>
      </w:r>
    </w:p>
    <w:p>
      <w:pPr>
        <w:spacing w:after="0" w:line="182" w:lineRule="exact"/>
        <w:rPr>
          <w:rFonts w:ascii="Times New Roman" w:cs="Times New Roman" w:eastAsia="Times New Roman" w:hAnsi="Times New Roman"/>
          <w:sz w:val="22"/>
          <w:szCs w:val="22"/>
          <w:color w:val="auto"/>
        </w:rPr>
      </w:pPr>
    </w:p>
    <w:p>
      <w:pPr>
        <w:ind w:firstLine="656"/>
        <w:spacing w:after="0" w:line="299" w:lineRule="auto"/>
        <w:tabs>
          <w:tab w:leader="none" w:pos="1296"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Reporting and Disclosure. </w:t>
      </w:r>
      <w:r>
        <w:rPr>
          <w:rFonts w:ascii="Times New Roman" w:cs="Times New Roman" w:eastAsia="Times New Roman" w:hAnsi="Times New Roman"/>
          <w:sz w:val="21"/>
          <w:szCs w:val="21"/>
          <w:color w:val="auto"/>
        </w:rPr>
        <w:t>The Company shall file all disclosures with respect to this Policy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securities laws, including the disclosure required in any applicable filings with the Securities and Exchange Commission.</w:t>
      </w:r>
    </w:p>
    <w:p>
      <w:pPr>
        <w:spacing w:after="0" w:line="127" w:lineRule="exact"/>
        <w:rPr>
          <w:rFonts w:ascii="Times New Roman" w:cs="Times New Roman" w:eastAsia="Times New Roman" w:hAnsi="Times New Roman"/>
          <w:sz w:val="21"/>
          <w:szCs w:val="21"/>
          <w:b w:val="1"/>
          <w:bCs w:val="1"/>
          <w:color w:val="auto"/>
        </w:rPr>
      </w:pPr>
    </w:p>
    <w:p>
      <w:pPr>
        <w:jc w:val="both"/>
        <w:ind w:right="20" w:firstLine="656"/>
        <w:spacing w:after="0" w:line="259"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The Policy may be amended by the Administrator from time to time, to the extent permitted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Rules or to comply with (or maintain an exemption from the application of) Section 409A of the Internal Revenue Code of 1986, as amended.</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Non-Exclusivity. </w:t>
      </w:r>
      <w:r>
        <w:rPr>
          <w:rFonts w:ascii="Times New Roman" w:cs="Times New Roman" w:eastAsia="Times New Roman" w:hAnsi="Times New Roman"/>
          <w:sz w:val="22"/>
          <w:szCs w:val="22"/>
          <w:color w:val="auto"/>
        </w:rPr>
        <w:t>Nothing in this Policy shall be viewed as limiting the right of the Company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or subsidiaries) or the Administrator to pursue additional remedies or recoupment under or as required by any similar policy adopted by the Company (or any of its affiliates or subsidiaries) or under the Company’s (or any its affiliates’ or subsidiaries’) compensation plans, award agreements, employment agreements or similar agreements or the applicable provisions of any law, rule or regulation which may require or permit recoupment to a greater degree or with respect to additional compensation as compared to this Policy. To the extent that the Covered Executive has already reimbursed the Company for any Erroneously Awarded Compensation Received under any duplicative recovery obligations established by the Company (or any of its affiliates or subsidiaries) or applicable law, it shall be appropriate for any such reimbursed amount to be credited to the amount of Erroneously Awarded Compensation that is subject to recovery under this Policy.</w:t>
      </w:r>
    </w:p>
    <w:p>
      <w:pPr>
        <w:spacing w:after="0" w:line="185"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84"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provisions in this Policy are intended to be applied to the fullest extent of the law.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67"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Successors. </w:t>
      </w:r>
      <w:r>
        <w:rPr>
          <w:rFonts w:ascii="Times New Roman" w:cs="Times New Roman" w:eastAsia="Times New Roman" w:hAnsi="Times New Roman"/>
          <w:sz w:val="22"/>
          <w:szCs w:val="22"/>
          <w:color w:val="auto"/>
        </w:rPr>
        <w:t>The Policy shall be binding and enforceable against all Covered Executives and their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heirs, executors, administrators or other legal representatives.</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Defined Terms.</w:t>
      </w:r>
    </w:p>
    <w:p>
      <w:pPr>
        <w:spacing w:after="0" w:line="231" w:lineRule="exact"/>
        <w:rPr>
          <w:rFonts w:ascii="Times New Roman" w:cs="Times New Roman" w:eastAsia="Times New Roman" w:hAnsi="Times New Roman"/>
          <w:sz w:val="22"/>
          <w:szCs w:val="22"/>
          <w:b w:val="1"/>
          <w:bCs w:val="1"/>
          <w:color w:val="auto"/>
        </w:rPr>
      </w:pPr>
    </w:p>
    <w:p>
      <w:pPr>
        <w:ind w:left="1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“Covered Executives” </w:t>
      </w:r>
      <w:r>
        <w:rPr>
          <w:rFonts w:ascii="Times New Roman" w:cs="Times New Roman" w:eastAsia="Times New Roman" w:hAnsi="Times New Roman"/>
          <w:sz w:val="22"/>
          <w:szCs w:val="22"/>
          <w:color w:val="auto"/>
        </w:rPr>
        <w:t>shall have the meaning set forth in Section 3 hereof.</w:t>
      </w:r>
    </w:p>
    <w:p>
      <w:pPr>
        <w:spacing w:after="0" w:line="219" w:lineRule="exact"/>
        <w:rPr>
          <w:rFonts w:ascii="Times New Roman" w:cs="Times New Roman" w:eastAsia="Times New Roman" w:hAnsi="Times New Roman"/>
          <w:sz w:val="22"/>
          <w:szCs w:val="22"/>
          <w:b w:val="1"/>
          <w:bCs w:val="1"/>
          <w:color w:val="auto"/>
        </w:rPr>
      </w:pPr>
    </w:p>
    <w:p>
      <w:pPr>
        <w:ind w:left="1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“Erroneously Awarded Compensation” </w:t>
      </w:r>
      <w:r>
        <w:rPr>
          <w:rFonts w:ascii="Times New Roman" w:cs="Times New Roman" w:eastAsia="Times New Roman" w:hAnsi="Times New Roman"/>
          <w:sz w:val="22"/>
          <w:szCs w:val="22"/>
          <w:color w:val="auto"/>
        </w:rPr>
        <w:t>shall mean the amount of Incentive Compensation actually Received</w:t>
      </w:r>
    </w:p>
    <w:p>
      <w:pPr>
        <w:spacing w:after="0" w:line="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during the Recovery Period that exceeds the amount of Incentive Compensation that otherwise would have been Received during the Recovery Period had it been determined based on the restated amounts, and computed without regard to any taxes paid or payable. For Incentive Compensation based on stock price or total shareholder return (or a similar Financial Reporting Measure), where the amount of Erroneously Awarded Compensation is not subject to mathematical recalculation directly from the information in a Restatement: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52" w:right="339" w:bottom="1440" w:gutter="0" w:footer="0" w:header="0"/>
        </w:sectPr>
      </w:pPr>
    </w:p>
    <w:bookmarkStart w:id="118" w:name="page119"/>
    <w:bookmarkEnd w:id="118"/>
    <w:p>
      <w:pPr>
        <w:jc w:val="both"/>
        <w:ind w:firstLine="1304"/>
        <w:spacing w:after="0" w:line="257" w:lineRule="auto"/>
        <w:tabs>
          <w:tab w:leader="none" w:pos="193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Erroneously Awarded Compensation shall be determined by the Administrator based on a reasonable estimate of the effect of the Restatement on the stock price or total shareholder return (or a similar Financial Reporting Measure) upon which the Incentive Compensation was Received; and</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documentation of the determination of that reasonable estimate and provide such documentation to the Exchange.</w:t>
      </w:r>
    </w:p>
    <w:p>
      <w:pPr>
        <w:spacing w:after="0" w:line="152" w:lineRule="exact"/>
        <w:rPr>
          <w:sz w:val="20"/>
          <w:szCs w:val="20"/>
          <w:color w:val="auto"/>
        </w:rPr>
      </w:pPr>
    </w:p>
    <w:p>
      <w:pPr>
        <w:jc w:val="both"/>
        <w:ind w:right="20"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“Exchange” </w:t>
      </w:r>
      <w:r>
        <w:rPr>
          <w:rFonts w:ascii="Times New Roman" w:cs="Times New Roman" w:eastAsia="Times New Roman" w:hAnsi="Times New Roman"/>
          <w:sz w:val="22"/>
          <w:szCs w:val="22"/>
          <w:color w:val="auto"/>
        </w:rPr>
        <w:t>shall mean The Nasdaq Stock Market, or any other national securities exchange or association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the Company’s securities are listed.</w:t>
      </w:r>
    </w:p>
    <w:p>
      <w:pPr>
        <w:spacing w:after="0" w:line="14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“Executive Officer” </w:t>
      </w:r>
      <w:r>
        <w:rPr>
          <w:rFonts w:ascii="Times New Roman" w:cs="Times New Roman" w:eastAsia="Times New Roman" w:hAnsi="Times New Roman"/>
          <w:sz w:val="22"/>
          <w:szCs w:val="22"/>
          <w:color w:val="auto"/>
        </w:rPr>
        <w:t>shall mean the Company’s president, principal financial officer, principal accounting officer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policy-making functions for the Company. Unless determined otherwise by the Board or the Administrator, Executive Officers for this Policy shall be any executive officer designated by the Board as an “officer” under Rule 16a-1(f) under the Exchange Act.</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 xml:space="preserve">“Financial Reporting Measures” </w:t>
      </w:r>
      <w:r>
        <w:rPr>
          <w:rFonts w:ascii="Times New Roman" w:cs="Times New Roman" w:eastAsia="Times New Roman" w:hAnsi="Times New Roman"/>
          <w:sz w:val="22"/>
          <w:szCs w:val="22"/>
          <w:color w:val="auto"/>
        </w:rPr>
        <w:t>shall mean measures that are determined and presented in accordance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measures that are derived wholly or in part from such measures, regardless of whether such measures are presented within the Company’s financial statements or included in a filing with the Securities and Exchange Commission. Financial Reporting Measures include GAAP and non-GAAP financial measures and include but are not limited to the following (and any measures derived wholly or in part therefrom): Company stock price; total shareholder return; revenues; net or operating income; profitability of one or more reportable segments; financial ratios; net assets or net asset value per share; EBITDA; funds from operations; liquidity measures; return measures; earnings measures; sales per square foot or same store sales; revenue per user, or average revenue per user; and any adjusted measure of any of the foregoing measures.</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“Incentive Compensation” </w:t>
      </w:r>
      <w:r>
        <w:rPr>
          <w:rFonts w:ascii="Times New Roman" w:cs="Times New Roman" w:eastAsia="Times New Roman" w:hAnsi="Times New Roman"/>
          <w:sz w:val="22"/>
          <w:szCs w:val="22"/>
          <w:color w:val="auto"/>
        </w:rPr>
        <w:t>shall mean any compensation (whether cash or equity-based) that is granted, earned,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awards that vest exclusively upon completion of a specified employment period, without any performance condition, and bonus awards that are discretionary or based on subjective goals or goals unrelated to Financial Reporting Measures. Notwithstanding the foregoing, compensation amounts shall not be considered “Incentive Compensation” for purposes of this Policy unless such compensation is Received (1) while the Company has a class of securities listed on a national securities exchange or a national securities association and (2)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52" w:right="339" w:bottom="1440" w:gutter="0" w:footer="0" w:header="0"/>
        </w:sectPr>
      </w:pPr>
    </w:p>
    <w:bookmarkStart w:id="119" w:name="page120"/>
    <w:bookmarkEnd w:id="119"/>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“Independent Director” </w:t>
      </w:r>
      <w:r>
        <w:rPr>
          <w:rFonts w:ascii="Times New Roman" w:cs="Times New Roman" w:eastAsia="Times New Roman" w:hAnsi="Times New Roman"/>
          <w:sz w:val="22"/>
          <w:szCs w:val="22"/>
          <w:color w:val="auto"/>
        </w:rPr>
        <w:t>shall mean a director who is determined by the Board to be “independent” for Board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Committee membership, as applicable, under the rules of the Exchange, as of any determination date.</w:t>
      </w:r>
    </w:p>
    <w:p>
      <w:pPr>
        <w:spacing w:after="0" w:line="14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Incentive Compensation shall be deemed </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Incentive Compensation award is attained, even if the payment or grant of the Incentive Compensation occurs after the end of that period. For the avoidance of doubt, Incentive Compensation that is subject to both a Financial Reporting Measure vesting condition and a service-based vesting condition shall be considered Received when the relevant Financial Reporting Measure is attained, even if the Incentive Compensation continues to be subject to the service-based vesting condition.</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“Recovery Period” </w:t>
      </w:r>
      <w:r>
        <w:rPr>
          <w:rFonts w:ascii="Times New Roman" w:cs="Times New Roman" w:eastAsia="Times New Roman" w:hAnsi="Times New Roman"/>
          <w:sz w:val="22"/>
          <w:szCs w:val="22"/>
          <w:color w:val="auto"/>
        </w:rPr>
        <w:t>shall mean with respect to any Restatement, (i) the three completed fiscal years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immediately preceding the Restatement Date and (ii) any transition period that results from a change in the Company’s fiscal year of less than nine months within or immediately following such three completed fiscal years, provided that a transition period that comprises a period of at least nine months shall count as a completed fiscal year.</w:t>
      </w:r>
    </w:p>
    <w:p>
      <w:pPr>
        <w:spacing w:after="0" w:line="17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“Restatement” </w:t>
      </w:r>
      <w:r>
        <w:rPr>
          <w:rFonts w:ascii="Times New Roman" w:cs="Times New Roman" w:eastAsia="Times New Roman" w:hAnsi="Times New Roman"/>
          <w:sz w:val="21"/>
          <w:szCs w:val="21"/>
          <w:color w:val="auto"/>
        </w:rPr>
        <w:t>shall mean an accounting restatement of the Company’s financial statements due to the material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noncompliance of the Company with any financial reporting requirement under the securities laws, including any required accounting restatement to correct an error in previously issued financial statements (i) that is material to the Company’s previously issued financial statements, or (ii) that is not material to the Company’s previously issued financial statements but that would result in a material misstatement if the error were corrected in the current period or left uncorrected in the current period.</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“Restatement Date” </w:t>
      </w:r>
      <w:r>
        <w:rPr>
          <w:rFonts w:ascii="Times New Roman" w:cs="Times New Roman" w:eastAsia="Times New Roman" w:hAnsi="Times New Roman"/>
          <w:sz w:val="22"/>
          <w:szCs w:val="22"/>
          <w:color w:val="auto"/>
        </w:rPr>
        <w:t>shall mean the earlier to occur of (i) the date that the Board, a committee of the Board, or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in each case regardless of when the Company issues or file the restated financial statements.</w:t>
      </w:r>
    </w:p>
    <w:p>
      <w:pPr>
        <w:spacing w:after="0" w:line="175" w:lineRule="exact"/>
        <w:rPr>
          <w:sz w:val="20"/>
          <w:szCs w:val="20"/>
          <w:color w:val="auto"/>
        </w:rPr>
      </w:pPr>
    </w:p>
    <w:p>
      <w:pPr>
        <w:jc w:val="both"/>
        <w:ind w:firstLine="656"/>
        <w:spacing w:after="0" w:line="258" w:lineRule="auto"/>
        <w:tabs>
          <w:tab w:leader="none" w:pos="12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Acknowledgement by Executive Officer. </w:t>
      </w:r>
      <w:r>
        <w:rPr>
          <w:rFonts w:ascii="Times New Roman" w:cs="Times New Roman" w:eastAsia="Times New Roman" w:hAnsi="Times New Roman"/>
          <w:sz w:val="22"/>
          <w:szCs w:val="22"/>
          <w:color w:val="auto"/>
        </w:rPr>
        <w:t>Promptly, but in no event later than 60 days, following the later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effective date of this Policy or such person becoming an Executive Officer, each Executive Officer shall sign and return to the Company the Acknowledgement Form,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pursuant to which such Executive Officer shall agree to be bound by and comply with the terms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on: October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46"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 of Incentive Compensation Clawback Policy</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Reference is made to the Grocery Outlet Holding Corp. Incentive Compensation Clawback Policy (as adopted on October 16, 2023 pursuant to the Applicable Rules) (as amended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herein without definition have the meanings assigned to such terms under the Policy.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signing below, the undersigned acknowledges, confirms and agrees that:</w:t>
      </w:r>
    </w:p>
    <w:p>
      <w:pPr>
        <w:spacing w:after="0" w:line="220" w:lineRule="exact"/>
        <w:rPr>
          <w:sz w:val="20"/>
          <w:szCs w:val="20"/>
          <w:color w:val="auto"/>
        </w:rPr>
      </w:pPr>
    </w:p>
    <w:p>
      <w:pPr>
        <w:ind w:left="1100" w:hanging="120"/>
        <w:spacing w:after="0"/>
        <w:tabs>
          <w:tab w:leader="none" w:pos="11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received and reviewed a copy of the Policy;</w:t>
      </w:r>
    </w:p>
    <w:p>
      <w:pPr>
        <w:spacing w:after="0" w:line="219" w:lineRule="exact"/>
        <w:rPr>
          <w:rFonts w:ascii="Times New Roman" w:cs="Times New Roman" w:eastAsia="Times New Roman" w:hAnsi="Times New Roman"/>
          <w:sz w:val="22"/>
          <w:szCs w:val="22"/>
          <w:color w:val="auto"/>
        </w:rPr>
      </w:pPr>
    </w:p>
    <w:p>
      <w:pPr>
        <w:ind w:left="1100" w:hanging="120"/>
        <w:spacing w:after="0"/>
        <w:tabs>
          <w:tab w:leader="none" w:pos="11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is, and will continue to be, subject to the Policy to the extent provided therein;</w:t>
      </w:r>
    </w:p>
    <w:p>
      <w:pPr>
        <w:spacing w:after="0" w:line="233" w:lineRule="exact"/>
        <w:rPr>
          <w:rFonts w:ascii="Times New Roman" w:cs="Times New Roman" w:eastAsia="Times New Roman" w:hAnsi="Times New Roman"/>
          <w:sz w:val="22"/>
          <w:szCs w:val="22"/>
          <w:color w:val="auto"/>
        </w:rPr>
      </w:pPr>
    </w:p>
    <w:p>
      <w:pPr>
        <w:ind w:left="980" w:right="20"/>
        <w:spacing w:after="0" w:line="271" w:lineRule="auto"/>
        <w:tabs>
          <w:tab w:leader="none" w:pos="112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Policy will apply both during and after termination of the undersigned’s employment with the Company or any of its affiliates or subsidiaries; and</w:t>
      </w:r>
    </w:p>
    <w:p>
      <w:pPr>
        <w:spacing w:after="0" w:line="157" w:lineRule="exact"/>
        <w:rPr>
          <w:rFonts w:ascii="Times New Roman" w:cs="Times New Roman" w:eastAsia="Times New Roman" w:hAnsi="Times New Roman"/>
          <w:sz w:val="22"/>
          <w:szCs w:val="22"/>
          <w:color w:val="auto"/>
        </w:rPr>
      </w:pPr>
    </w:p>
    <w:p>
      <w:pPr>
        <w:jc w:val="both"/>
        <w:ind w:left="980"/>
        <w:spacing w:after="0" w:line="257" w:lineRule="auto"/>
        <w:tabs>
          <w:tab w:leader="none" w:pos="116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agrees to abide by the terms of the Policy, including, without limitation, by returning any Erroneously Awarded Compensation to the Company pursuant to the Policy in the manner determined by the Administrator.</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In the event of any inconsistency between the Policy and the terms of any employment or separation agreement or offer letter to which the undersigned is a party, or the terms of any compensation or severance plan, program, or agreement under which any compensation has been granted, awarded, earned or paid, the terms of the Policy shall govern.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-160020</wp:posOffset>
            </wp:positionV>
            <wp:extent cx="19373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6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-160020</wp:posOffset>
            </wp:positionV>
            <wp:extent cx="19373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6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-160020</wp:posOffset>
            </wp:positionV>
            <wp:extent cx="19373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sectPr>
      <w:pgSz w:w="11900" w:h="16838" w:orient="portrait"/>
      <w:cols w:equalWidth="0" w:num="1">
        <w:col w:w="11240"/>
      </w:cols>
      <w:pgMar w:left="320" w:top="11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lvl w:ilvl="1">
      <w:lvlJc w:val="left"/>
      <w:lvlText w:val="\endash "/>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04"/>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lvl w:ilvl="1">
      <w:lvlJc w:val="left"/>
      <w:lvlText w:val="%2."/>
      <w:numFmt w:val="lowerLetter"/>
      <w:start w:val="1"/>
    </w:lvl>
  </w:abstractNum>
  <w:abstractNum w:abstractNumId="42">
    <w:nsid w:val="38437FDB"/>
    <w:multiLevelType w:val="hybridMultilevel"/>
    <w:lvl w:ilvl="0">
      <w:lvlJc w:val="left"/>
      <w:lvlText w:val="%1."/>
      <w:numFmt w:val="decimal"/>
      <w:start w:val="1"/>
    </w:lvl>
    <w:lvl w:ilvl="1">
      <w:lvlJc w:val="left"/>
      <w:lvlText w:val="%2."/>
      <w:numFmt w:val="lowerLetter"/>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5"/>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2"/>
    </w:lvl>
  </w:abstractNum>
  <w:abstractNum w:abstractNumId="48">
    <w:nsid w:val="3DC240FB"/>
    <w:multiLevelType w:val="hybridMultilevel"/>
    <w:lvl w:ilvl="0">
      <w:lvlJc w:val="left"/>
      <w:lvlText w:val="%1."/>
      <w:numFmt w:val="decimal"/>
      <w:start w:val="8"/>
    </w:lvl>
    <w:lvl w:ilvl="1">
      <w:lvlJc w:val="left"/>
      <w:lvlText w:val="%2"/>
      <w:numFmt w:val="lowerLetter"/>
      <w:start w:val="1"/>
    </w:lvl>
  </w:abstractNum>
  <w:abstractNum w:abstractNumId="49">
    <w:nsid w:val="1BA026FA"/>
    <w:multiLevelType w:val="hybridMultilevel"/>
    <w:lvl w:ilvl="0">
      <w:lvlJc w:val="left"/>
      <w:lvlText w:val="(%1)"/>
      <w:numFmt w:val="upperLetter"/>
      <w:start w:val="1"/>
    </w:lvl>
  </w:abstractNum>
  <w:abstractNum w:abstractNumId="50">
    <w:nsid w:val="79A1DEAA"/>
    <w:multiLevelType w:val="hybridMultilevel"/>
    <w:lvl w:ilvl="0">
      <w:lvlJc w:val="left"/>
      <w:lvlText w:val="%1."/>
      <w:numFmt w:val="decimal"/>
      <w:start w:val="14"/>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9"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22" Type="http://schemas.openxmlformats.org/officeDocument/2006/relationships/hyperlink" Target="http://www.sec.gov/Archives/edgar/data/1771515/000177151522000082/exhibit31.htm" TargetMode="External"/><Relationship Id="rId123" Type="http://schemas.openxmlformats.org/officeDocument/2006/relationships/hyperlink" Target="http://www.sec.gov/Archives/edgar/data/1771515/000177151522000045/go4-6x22exhibit31.htm" TargetMode="External"/><Relationship Id="rId124" Type="http://schemas.openxmlformats.org/officeDocument/2006/relationships/hyperlink" Target="http://www.sec.gov/Archives/edgar/data/1771515/000095012319005900/d710724dex41.htm" TargetMode="External"/><Relationship Id="rId125" Type="http://schemas.openxmlformats.org/officeDocument/2006/relationships/hyperlink" Target="http://www.sec.gov/Archives/edgar/data/1771515/000177151520000005/go201910-kexhibit42.htm" TargetMode="External"/><Relationship Id="rId126" Type="http://schemas.openxmlformats.org/officeDocument/2006/relationships/hyperlink" Target="http://www.sec.gov/Archives/edgar/data/1771515/000177151523000009/go202210-kexhibit43.htm" TargetMode="External"/><Relationship Id="rId127" Type="http://schemas.openxmlformats.org/officeDocument/2006/relationships/hyperlink" Target="http://www.sec.gov/Archives/edgar/data/1771515/000119312519154108/d710724dex1013.htm" TargetMode="External"/><Relationship Id="rId128" Type="http://schemas.openxmlformats.org/officeDocument/2006/relationships/hyperlink" Target="http://www.sec.gov/Archives/edgar/data/1771515/000119312519154108/d710724dex1015.htm" TargetMode="External"/><Relationship Id="rId129" Type="http://schemas.openxmlformats.org/officeDocument/2006/relationships/hyperlink" Target="http://www.sec.gov/Archives/edgar/data/1771515/000119312519154108/d710724dex1016.htm" TargetMode="External"/><Relationship Id="rId130" Type="http://schemas.openxmlformats.org/officeDocument/2006/relationships/hyperlink" Target="http://www.sec.gov/Archives/edgar/data/1771515/000119312519154108/d710724dex1017.htm" TargetMode="External"/><Relationship Id="rId131" Type="http://schemas.openxmlformats.org/officeDocument/2006/relationships/hyperlink" Target="http://www.sec.gov/Archives/edgar/data/1771515/000095012319005900/d710724dex1018.htm" TargetMode="External"/><Relationship Id="rId132" Type="http://schemas.openxmlformats.org/officeDocument/2006/relationships/hyperlink" Target="http://www.sec.gov/Archives/edgar/data/1771515/000095012319005900/d710724dex1019.htm" TargetMode="External"/><Relationship Id="rId133" Type="http://schemas.openxmlformats.org/officeDocument/2006/relationships/hyperlink" Target="http://www.sec.gov/Archives/edgar/data/1771515/000177151521000009/go202010-kexhibit1032.htm" TargetMode="External"/><Relationship Id="rId134" Type="http://schemas.openxmlformats.org/officeDocument/2006/relationships/hyperlink" Target="http://www.sec.gov/Archives/edgar/data/1771515/000177151521000009/go202010-kexhibit1033.htm" TargetMode="External"/><Relationship Id="rId135" Type="http://schemas.openxmlformats.org/officeDocument/2006/relationships/hyperlink" Target="http://www.sec.gov/Archives/edgar/data/1771515/000177151522000011/go202110-kexhibit1029.htm" TargetMode="External"/><Relationship Id="rId136" Type="http://schemas.openxmlformats.org/officeDocument/2006/relationships/hyperlink" Target="http://www.sec.gov/Archives/edgar/data/1771515/000177151522000011/go202110-kexhibit1030.htm" TargetMode="External"/><Relationship Id="rId137" Type="http://schemas.openxmlformats.org/officeDocument/2006/relationships/hyperlink" Target="http://www.sec.gov/Archives/edgar/data/1771515/000177151523000048/go2023q1exhibit108.htm" TargetMode="External"/><Relationship Id="rId138" Type="http://schemas.openxmlformats.org/officeDocument/2006/relationships/hyperlink" Target="http://www.sec.gov/Archives/edgar/data/1771515/000177151523000009/go202210-kexhibit1034.htm" TargetMode="External"/><Relationship Id="rId140" Type="http://schemas.openxmlformats.org/officeDocument/2006/relationships/hyperlink" Target="http://www.sec.gov/Archives/edgar/data/1771515/000177151523000087/go2022q2exhibit101.htm" TargetMode="External"/><Relationship Id="rId141" Type="http://schemas.openxmlformats.org/officeDocument/2006/relationships/hyperlink" Target="http://www.sec.gov/Archives/edgar/data/1771515/000177151522000149/a2022q3exhibit102.htm" TargetMode="External"/><Relationship Id="rId142" Type="http://schemas.openxmlformats.org/officeDocument/2006/relationships/hyperlink" Target="http://www.sec.gov/Archives/edgar/data/1771515/000177151520000025/go2020q3exhibit101.htm" TargetMode="External"/><Relationship Id="rId143" Type="http://schemas.openxmlformats.org/officeDocument/2006/relationships/hyperlink" Target="http://www.sec.gov/Archives/edgar/data/1771515/000177151520000025/go2020q3exhibit102.htm" TargetMode="External"/><Relationship Id="rId144" Type="http://schemas.openxmlformats.org/officeDocument/2006/relationships/hyperlink" Target="http://www.sec.gov/Archives/edgar/data/1771515/000177151523000103/go2023q3exhibit101.htm" TargetMode="External"/><Relationship Id="rId145" Type="http://schemas.openxmlformats.org/officeDocument/2006/relationships/hyperlink" Target="http://www.sec.gov/Archives/edgar/data/1771515/000177151522000149/a2022q3exhibit101.htm" TargetMode="External"/><Relationship Id="rId146" Type="http://schemas.openxmlformats.org/officeDocument/2006/relationships/hyperlink" Target="http://www.sec.gov/Archives/edgar/data/1771515/000095012319005900/d710724dex1031.htm" TargetMode="External"/><Relationship Id="rId147" Type="http://schemas.openxmlformats.org/officeDocument/2006/relationships/hyperlink" Target="http://www.sec.gov/Archives/edgar/data/1771515/000110465923024754/tm236824d1_ex10-1.htm" TargetMode="External"/><Relationship Id="rId148" Type="http://schemas.openxmlformats.org/officeDocument/2006/relationships/hyperlink" Target="http://www.sec.gov/Archives/edgar/data/1771515/000177151523000048/go2023q1exhibit102.htm" TargetMode="External"/><Relationship Id="rId149" Type="http://schemas.openxmlformats.org/officeDocument/2006/relationships/hyperlink" Target="http://www.sec.gov/Archives/edgar/data/1771515/000177151523000048/go2023q1exhibit103.htm" TargetMode="External"/><Relationship Id="rId150" Type="http://schemas.openxmlformats.org/officeDocument/2006/relationships/hyperlink" Target="http://www.sec.gov/Archives/edgar/data/1771515/000177151523000048/go2023q1exhibit104.htm" TargetMode="External"/><Relationship Id="rId151" Type="http://schemas.openxmlformats.org/officeDocument/2006/relationships/hyperlink" Target="http://www.sec.gov/Archives/edgar/data/1771515/000177151523000048/go2023q1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2024-02-28T15:33:12Z</dcterms:created>
  <dcterms:modified xsi:type="dcterms:W3CDTF">2024-02-28T15:33:12Z</dcterms:modified>
</cp:coreProperties>
</file>