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07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07149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91"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1">
        <w:r>
          <w:rPr>
            <w:rFonts w:ascii="Times New Roman" w:cs="Times New Roman" w:eastAsia="Times New Roman" w:hAnsi="Times New Roman"/>
            <w:sz w:val="17"/>
            <w:szCs w:val="17"/>
            <w:u w:val="single" w:color="auto"/>
            <w:color w:val="0000EE"/>
          </w:rPr>
          <w:t>Ferry Ian Daniel</w:t>
        </w:r>
      </w:hyperlink>
    </w:p>
    <w:p>
      <w:pPr>
        <w:spacing w:after="0" w:line="232"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GROCERY OUTLET HOLDING CORP.</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5650 HOLLIS STREET</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720" w:type="dxa"/>
            <w:vAlign w:val="bottom"/>
          </w:tcPr>
          <w:p>
            <w:pPr>
              <w:spacing w:after="0"/>
              <w:rPr>
                <w:sz w:val="20"/>
                <w:szCs w:val="20"/>
                <w:color w:val="auto"/>
              </w:rPr>
            </w:pPr>
            <w:r>
              <w:rPr>
                <w:rFonts w:ascii="Arial" w:cs="Arial" w:eastAsia="Arial" w:hAnsi="Arial"/>
                <w:sz w:val="10"/>
                <w:szCs w:val="10"/>
                <w:color w:val="auto"/>
              </w:rPr>
              <w:t>(Street)</w:t>
            </w:r>
          </w:p>
        </w:tc>
        <w:tc>
          <w:tcPr>
            <w:tcW w:w="760" w:type="dxa"/>
            <w:vAlign w:val="bottom"/>
          </w:tcPr>
          <w:p>
            <w:pPr>
              <w:spacing w:after="0"/>
              <w:rPr>
                <w:sz w:val="11"/>
                <w:szCs w:val="11"/>
                <w:color w:val="auto"/>
              </w:rPr>
            </w:pPr>
          </w:p>
        </w:tc>
      </w:tr>
      <w:tr>
        <w:trPr>
          <w:trHeight w:val="184"/>
        </w:trPr>
        <w:tc>
          <w:tcPr>
            <w:tcW w:w="17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EMERYVILLE   CA</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94608</w:t>
            </w: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253" w:lineRule="auto"/>
        <w:tabs>
          <w:tab w:leader="none" w:pos="115" w:val="left"/>
        </w:tabs>
        <w:numPr>
          <w:ilvl w:val="0"/>
          <w:numId w:val="1"/>
        </w:numPr>
        <w:rPr>
          <w:rFonts w:ascii="Arial" w:cs="Arial" w:eastAsia="Arial" w:hAnsi="Arial"/>
          <w:sz w:val="10"/>
          <w:szCs w:val="10"/>
          <w:color w:val="auto"/>
        </w:rPr>
      </w:pPr>
      <w:r>
        <w:rPr>
          <w:rFonts w:ascii="Arial" w:cs="Arial" w:eastAsia="Arial" w:hAnsi="Arial"/>
          <w:sz w:val="10"/>
          <w:szCs w:val="10"/>
          <w:color w:val="auto"/>
        </w:rPr>
        <w:t>Date of Event Requiring Statement (Month/Day/Year)</w:t>
      </w:r>
    </w:p>
    <w:p>
      <w:pPr>
        <w:spacing w:after="0"/>
        <w:rPr>
          <w:sz w:val="20"/>
          <w:szCs w:val="20"/>
          <w:color w:val="auto"/>
        </w:rPr>
      </w:pPr>
      <w:r>
        <w:rPr>
          <w:rFonts w:ascii="Times New Roman" w:cs="Times New Roman" w:eastAsia="Times New Roman" w:hAnsi="Times New Roman"/>
          <w:sz w:val="13"/>
          <w:szCs w:val="13"/>
          <w:color w:val="0000FF"/>
        </w:rPr>
        <w:t>06/09/2026</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Grocery Outlet Holding Corp.</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00" w:type="dxa"/>
            <w:vAlign w:val="bottom"/>
          </w:tcPr>
          <w:p>
            <w:pPr>
              <w:ind w:left="520"/>
              <w:spacing w:after="0" w:line="93" w:lineRule="exact"/>
              <w:rPr>
                <w:sz w:val="20"/>
                <w:szCs w:val="20"/>
                <w:color w:val="auto"/>
              </w:rPr>
            </w:pPr>
            <w:r>
              <w:rPr>
                <w:rFonts w:ascii="Arial" w:cs="Arial" w:eastAsia="Arial" w:hAnsi="Arial"/>
                <w:sz w:val="10"/>
                <w:szCs w:val="10"/>
                <w:color w:val="auto"/>
              </w:rPr>
              <w:t>Director</w:t>
            </w:r>
          </w:p>
        </w:tc>
        <w:tc>
          <w:tcPr>
            <w:tcW w:w="1560" w:type="dxa"/>
            <w:vAlign w:val="bottom"/>
          </w:tcPr>
          <w:p>
            <w:pPr>
              <w:ind w:left="42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5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74"/>
        </w:trPr>
        <w:tc>
          <w:tcPr>
            <w:tcW w:w="1700" w:type="dxa"/>
            <w:vAlign w:val="bottom"/>
            <w:vMerge w:val="restart"/>
          </w:tcPr>
          <w:p>
            <w:pPr>
              <w:ind w:left="52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vMerge w:val="restart"/>
          </w:tcPr>
          <w:p>
            <w:pPr>
              <w:ind w:left="34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3"/>
                <w:szCs w:val="13"/>
                <w:color w:val="0000FF"/>
              </w:rPr>
              <w:t>EVP, CFO and Treasurer</w:t>
            </w:r>
          </w:p>
        </w:tc>
        <w:tc>
          <w:tcPr>
            <w:tcW w:w="14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4" w:lineRule="exact"/>
        <w:rPr>
          <w:sz w:val="24"/>
          <w:szCs w:val="24"/>
          <w:color w:val="auto"/>
        </w:rPr>
      </w:pPr>
    </w:p>
    <w:p>
      <w:pPr>
        <w:sectPr>
          <w:pgSz w:w="11900" w:h="16838" w:orient="portrait"/>
          <w:cols w:equalWidth="0" w:num="3">
            <w:col w:w="2640" w:space="720"/>
            <w:col w:w="1300" w:space="340"/>
            <w:col w:w="602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13"/>
                <w:szCs w:val="13"/>
                <w:color w:val="0000FF"/>
              </w:rPr>
              <w:t>101,303</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00" w:type="dxa"/>
            <w:vAlign w:val="bottom"/>
            <w:gridSpan w:val="5"/>
          </w:tcPr>
          <w:p>
            <w:pPr>
              <w:jc w:val="right"/>
              <w:ind w:right="36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4"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Performance Stock Unit</w:t>
            </w:r>
          </w:p>
        </w:tc>
        <w:tc>
          <w:tcPr>
            <w:tcW w:w="160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(2)</w:t>
            </w:r>
          </w:p>
        </w:tc>
        <w:tc>
          <w:tcPr>
            <w:tcW w:w="620" w:type="dxa"/>
            <w:vAlign w:val="bottom"/>
          </w:tcPr>
          <w:p>
            <w:pPr>
              <w:jc w:val="right"/>
              <w:ind w:right="211"/>
              <w:spacing w:after="0"/>
              <w:rPr>
                <w:sz w:val="20"/>
                <w:szCs w:val="20"/>
                <w:color w:val="auto"/>
              </w:rPr>
            </w:pPr>
            <w:r>
              <w:rPr>
                <w:rFonts w:ascii="Times New Roman" w:cs="Times New Roman" w:eastAsia="Times New Roman" w:hAnsi="Times New Roman"/>
                <w:sz w:val="9"/>
                <w:szCs w:val="9"/>
                <w:color w:val="008000"/>
              </w:rPr>
              <w:t>(2)</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3"/>
                <w:szCs w:val="13"/>
                <w:color w:val="0000FF"/>
              </w:rPr>
              <w:t>29,436</w:t>
            </w:r>
          </w:p>
        </w:tc>
        <w:tc>
          <w:tcPr>
            <w:tcW w:w="720" w:type="dxa"/>
            <w:vAlign w:val="bottom"/>
          </w:tcPr>
          <w:p>
            <w:pPr>
              <w:ind w:left="320"/>
              <w:spacing w:after="0"/>
              <w:rPr>
                <w:sz w:val="20"/>
                <w:szCs w:val="20"/>
                <w:color w:val="auto"/>
              </w:rPr>
            </w:pPr>
            <w:r>
              <w:rPr>
                <w:rFonts w:ascii="Times New Roman" w:cs="Times New Roman" w:eastAsia="Times New Roman" w:hAnsi="Times New Roman"/>
                <w:sz w:val="9"/>
                <w:szCs w:val="9"/>
                <w:color w:val="008000"/>
              </w:rPr>
              <w:t>(2)</w:t>
            </w:r>
          </w:p>
        </w:tc>
        <w:tc>
          <w:tcPr>
            <w:tcW w:w="86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8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25,302 unvested restricted stock units ("RSUs") previously granted on August 7, 2025, March 12, 2026, and May 20, 2026 to the reporting person that will entitle the reporting person to receive one share of the Issuer's Common Stock per RSU. The RSUs are subject to the reporting person's completion of service through the following vesting dates: (i) 5,678 unvested RSUs granted on August 7, 2025 will vest in two remaining equal installments on May 20 of each of 2027 and 2028; (ii) 12,795 RSUs granted on March 12, 2026 will vest in three equal installments on March 1 of each of 2027, 2028 and 2029; and (iii) 6,829 RSUs granted on May 20, 2026 will vest in three equal installments on May 20 of each of 2027, 2028 and 2029.</w:t>
      </w:r>
    </w:p>
    <w:p>
      <w:pPr>
        <w:spacing w:after="0" w:line="12"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a grant of performance-based RSUs ("PSUs"). Each PSU represents a right to receive one share of the Issuer's common stock upon vesting. The PSUs are earned based on the achievement of specified share price goals for specified time periods during a three-year performance period ending on the last day of the Issuer's fiscal year 2028. The Reporting Person could earn 0-200% of the amount reported depending on the level of performance achieved. The PSUs will vest upon the certification of achievement by the Compensation Committee of the Board of Directors of the Issuer following the end of the performance period, subject to the Reporting Person's continued employment or service with the Issuer as contemplated in the PSU Award Agreement.</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List: Exhibit 24 - Power of Attorney.</w:t>
      </w:r>
    </w:p>
    <w:p>
      <w:pPr>
        <w:spacing w:after="0" w:line="5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Luke D. Thompson, Luke D.</w:t>
            </w:r>
          </w:p>
        </w:tc>
        <w:tc>
          <w:tcPr>
            <w:tcW w:w="240" w:type="dxa"/>
            <w:vAlign w:val="bottom"/>
          </w:tcPr>
          <w:p>
            <w:pPr>
              <w:spacing w:after="0"/>
              <w:rPr>
                <w:sz w:val="12"/>
                <w:szCs w:val="12"/>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06/16/2026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96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Thompson, Attorney-in-Fact</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420" w:type="dxa"/>
            <w:vAlign w:val="bottom"/>
            <w:gridSpan w:val="2"/>
          </w:tcPr>
          <w:p>
            <w:pPr>
              <w:spacing w:after="0"/>
              <w:rPr>
                <w:sz w:val="15"/>
                <w:szCs w:val="15"/>
                <w:color w:val="auto"/>
              </w:rPr>
            </w:pPr>
          </w:p>
        </w:tc>
        <w:tc>
          <w:tcPr>
            <w:tcW w:w="860" w:type="dxa"/>
            <w:vAlign w:val="bottom"/>
            <w:gridSpan w:val="2"/>
          </w:tcPr>
          <w:p>
            <w:pPr>
              <w:ind w:left="24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54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54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2140037" TargetMode="External"/><Relationship Id="rId12"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2026-06-16T16:47:11Z</dcterms:created>
  <dcterms:modified xsi:type="dcterms:W3CDTF">2026-06-16T16:47:11Z</dcterms:modified>
</cp:coreProperties>
</file>