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50800</wp:posOffset>
            </wp:positionV>
            <wp:extent cx="32746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74295</wp:posOffset>
            </wp:positionV>
            <wp:extent cx="3274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17"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wp:posOffset>
            </wp:positionH>
            <wp:positionV relativeFrom="paragraph">
              <wp:posOffset>-104140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27,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380" w:hanging="332"/>
        <w:spacing w:after="0"/>
        <w:tabs>
          <w:tab w:leader="none" w:pos="38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79" w:lineRule="exact"/>
        <w:rPr>
          <w:sz w:val="24"/>
          <w:szCs w:val="24"/>
          <w:color w:val="auto"/>
        </w:rPr>
      </w:pPr>
    </w:p>
    <w:p>
      <w:pPr>
        <w:ind w:left="4080"/>
        <w:spacing w:after="0"/>
        <w:tabs>
          <w:tab w:leader="none" w:pos="7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211455</wp:posOffset>
            </wp:positionV>
            <wp:extent cx="32746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Grocery Outlet Holding Corp.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55880</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00" w:type="dxa"/>
            <w:vAlign w:val="bottom"/>
            <w:gridSpan w:val="2"/>
          </w:tcPr>
          <w:p>
            <w:pPr>
              <w:jc w:val="center"/>
              <w:ind w:left="674"/>
              <w:spacing w:after="0"/>
              <w:rPr>
                <w:sz w:val="20"/>
                <w:szCs w:val="20"/>
                <w:color w:val="auto"/>
              </w:rPr>
            </w:pPr>
            <w:r>
              <w:rPr>
                <w:rFonts w:ascii="Arial" w:cs="Arial" w:eastAsia="Arial" w:hAnsi="Arial"/>
                <w:sz w:val="18"/>
                <w:szCs w:val="18"/>
                <w:b w:val="1"/>
                <w:bCs w:val="1"/>
                <w:color w:val="auto"/>
                <w:w w:val="91"/>
              </w:rPr>
              <w:t>Delaware</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80" w:type="dxa"/>
            <w:vAlign w:val="bottom"/>
            <w:gridSpan w:val="2"/>
          </w:tcPr>
          <w:p>
            <w:pPr>
              <w:jc w:val="center"/>
              <w:ind w:left="795"/>
              <w:spacing w:after="0"/>
              <w:rPr>
                <w:sz w:val="20"/>
                <w:szCs w:val="20"/>
                <w:color w:val="auto"/>
              </w:rPr>
            </w:pPr>
            <w:r>
              <w:rPr>
                <w:rFonts w:ascii="Arial" w:cs="Arial" w:eastAsia="Arial" w:hAnsi="Arial"/>
                <w:sz w:val="18"/>
                <w:szCs w:val="18"/>
                <w:b w:val="1"/>
                <w:bCs w:val="1"/>
                <w:color w:val="auto"/>
                <w:w w:val="91"/>
              </w:rPr>
              <w:t>47-1874201</w:t>
            </w:r>
          </w:p>
        </w:tc>
      </w:tr>
      <w:tr>
        <w:trPr>
          <w:trHeight w:val="252"/>
        </w:trPr>
        <w:tc>
          <w:tcPr>
            <w:tcW w:w="3600" w:type="dxa"/>
            <w:vAlign w:val="bottom"/>
            <w:gridSpan w:val="2"/>
          </w:tcPr>
          <w:p>
            <w:pPr>
              <w:jc w:val="center"/>
              <w:ind w:left="674"/>
              <w:spacing w:after="0"/>
              <w:rPr>
                <w:sz w:val="20"/>
                <w:szCs w:val="20"/>
                <w:color w:val="auto"/>
              </w:rPr>
            </w:pPr>
            <w:r>
              <w:rPr>
                <w:rFonts w:ascii="Arial" w:cs="Arial" w:eastAsia="Arial" w:hAnsi="Arial"/>
                <w:sz w:val="18"/>
                <w:szCs w:val="18"/>
                <w:b w:val="1"/>
                <w:bCs w:val="1"/>
                <w:color w:val="auto"/>
                <w:w w:val="90"/>
              </w:rPr>
              <w:t>(State or other jurisdiction of</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40" w:type="dxa"/>
            <w:vAlign w:val="bottom"/>
          </w:tcPr>
          <w:p>
            <w:pPr>
              <w:ind w:left="980"/>
              <w:spacing w:after="0"/>
              <w:rPr>
                <w:sz w:val="20"/>
                <w:szCs w:val="20"/>
                <w:color w:val="auto"/>
              </w:rPr>
            </w:pPr>
            <w:r>
              <w:rPr>
                <w:rFonts w:ascii="Arial" w:cs="Arial" w:eastAsia="Arial" w:hAnsi="Arial"/>
                <w:sz w:val="18"/>
                <w:szCs w:val="18"/>
                <w:b w:val="1"/>
                <w:bCs w:val="1"/>
                <w:color w:val="auto"/>
              </w:rPr>
              <w:t>(I.R.S. Employer</w:t>
            </w:r>
          </w:p>
        </w:tc>
      </w:tr>
      <w:tr>
        <w:trPr>
          <w:trHeight w:val="234"/>
        </w:trPr>
        <w:tc>
          <w:tcPr>
            <w:tcW w:w="3600" w:type="dxa"/>
            <w:vAlign w:val="bottom"/>
            <w:gridSpan w:val="2"/>
          </w:tcPr>
          <w:p>
            <w:pPr>
              <w:jc w:val="center"/>
              <w:ind w:left="654"/>
              <w:spacing w:after="0"/>
              <w:rPr>
                <w:sz w:val="20"/>
                <w:szCs w:val="20"/>
                <w:color w:val="auto"/>
              </w:rPr>
            </w:pPr>
            <w:r>
              <w:rPr>
                <w:rFonts w:ascii="Arial" w:cs="Arial" w:eastAsia="Arial" w:hAnsi="Arial"/>
                <w:sz w:val="18"/>
                <w:szCs w:val="18"/>
                <w:b w:val="1"/>
                <w:bCs w:val="1"/>
                <w:color w:val="auto"/>
                <w:w w:val="91"/>
              </w:rPr>
              <w:t>incorporation or organization)</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jc w:val="center"/>
              <w:ind w:left="153"/>
              <w:spacing w:after="0"/>
              <w:rPr>
                <w:sz w:val="20"/>
                <w:szCs w:val="20"/>
                <w:color w:val="auto"/>
              </w:rPr>
            </w:pPr>
            <w:r>
              <w:rPr>
                <w:rFonts w:ascii="Arial" w:cs="Arial" w:eastAsia="Arial" w:hAnsi="Arial"/>
                <w:sz w:val="18"/>
                <w:szCs w:val="18"/>
                <w:b w:val="1"/>
                <w:bCs w:val="1"/>
                <w:color w:val="auto"/>
                <w:w w:val="92"/>
              </w:rPr>
              <w:t>Identification No.)</w:t>
            </w:r>
          </w:p>
        </w:tc>
      </w:tr>
      <w:tr>
        <w:trPr>
          <w:trHeight w:val="405"/>
        </w:trPr>
        <w:tc>
          <w:tcPr>
            <w:tcW w:w="7560" w:type="dxa"/>
            <w:vAlign w:val="bottom"/>
            <w:gridSpan w:val="7"/>
          </w:tcPr>
          <w:p>
            <w:pPr>
              <w:jc w:val="center"/>
              <w:ind w:right="3200"/>
              <w:spacing w:after="0"/>
              <w:rPr>
                <w:sz w:val="20"/>
                <w:szCs w:val="20"/>
                <w:color w:val="auto"/>
              </w:rPr>
            </w:pPr>
            <w:r>
              <w:rPr>
                <w:rFonts w:ascii="Arial" w:cs="Arial" w:eastAsia="Arial" w:hAnsi="Arial"/>
                <w:sz w:val="18"/>
                <w:szCs w:val="18"/>
                <w:b w:val="1"/>
                <w:bCs w:val="1"/>
                <w:color w:val="auto"/>
                <w:w w:val="92"/>
              </w:rPr>
              <w:t>5650 Hollis Street, Emeryville, California</w:t>
            </w:r>
          </w:p>
        </w:tc>
        <w:tc>
          <w:tcPr>
            <w:tcW w:w="3680" w:type="dxa"/>
            <w:vAlign w:val="bottom"/>
            <w:gridSpan w:val="2"/>
          </w:tcPr>
          <w:p>
            <w:pPr>
              <w:jc w:val="center"/>
              <w:ind w:left="815"/>
              <w:spacing w:after="0"/>
              <w:rPr>
                <w:sz w:val="20"/>
                <w:szCs w:val="20"/>
                <w:color w:val="auto"/>
              </w:rPr>
            </w:pPr>
            <w:r>
              <w:rPr>
                <w:rFonts w:ascii="Arial" w:cs="Arial" w:eastAsia="Arial" w:hAnsi="Arial"/>
                <w:sz w:val="18"/>
                <w:szCs w:val="18"/>
                <w:b w:val="1"/>
                <w:bCs w:val="1"/>
                <w:color w:val="auto"/>
                <w:w w:val="91"/>
              </w:rPr>
              <w:t>94608</w:t>
            </w:r>
          </w:p>
        </w:tc>
      </w:tr>
      <w:tr>
        <w:trPr>
          <w:trHeight w:val="223"/>
        </w:trPr>
        <w:tc>
          <w:tcPr>
            <w:tcW w:w="3600" w:type="dxa"/>
            <w:vAlign w:val="bottom"/>
            <w:gridSpan w:val="2"/>
          </w:tcPr>
          <w:p>
            <w:pPr>
              <w:jc w:val="center"/>
              <w:ind w:left="674"/>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40" w:type="dxa"/>
            <w:vAlign w:val="bottom"/>
          </w:tcPr>
          <w:p>
            <w:pPr>
              <w:jc w:val="center"/>
              <w:ind w:left="173"/>
              <w:spacing w:after="0"/>
              <w:rPr>
                <w:sz w:val="20"/>
                <w:szCs w:val="20"/>
                <w:color w:val="auto"/>
              </w:rPr>
            </w:pPr>
            <w:r>
              <w:rPr>
                <w:rFonts w:ascii="Arial" w:cs="Arial" w:eastAsia="Arial" w:hAnsi="Arial"/>
                <w:sz w:val="16"/>
                <w:szCs w:val="16"/>
                <w:b w:val="1"/>
                <w:bCs w:val="1"/>
                <w:color w:val="auto"/>
                <w:w w:val="93"/>
              </w:rPr>
              <w:t>(Zip Code)</w:t>
            </w:r>
          </w:p>
        </w:tc>
      </w:tr>
      <w:tr>
        <w:trPr>
          <w:trHeight w:val="263"/>
        </w:trPr>
        <w:tc>
          <w:tcPr>
            <w:tcW w:w="3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60" w:type="dxa"/>
            <w:vAlign w:val="bottom"/>
            <w:gridSpan w:val="3"/>
          </w:tcPr>
          <w:p>
            <w:pPr>
              <w:jc w:val="right"/>
              <w:ind w:right="719"/>
              <w:spacing w:after="0"/>
              <w:rPr>
                <w:sz w:val="20"/>
                <w:szCs w:val="20"/>
                <w:color w:val="auto"/>
              </w:rPr>
            </w:pPr>
            <w:r>
              <w:rPr>
                <w:rFonts w:ascii="Arial" w:cs="Arial" w:eastAsia="Arial" w:hAnsi="Arial"/>
                <w:sz w:val="18"/>
                <w:szCs w:val="18"/>
                <w:b w:val="1"/>
                <w:bCs w:val="1"/>
                <w:color w:val="auto"/>
              </w:rPr>
              <w:t>(510) 845-1999</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40" w:type="dxa"/>
            <w:vAlign w:val="bottom"/>
          </w:tcPr>
          <w:p>
            <w:pPr>
              <w:spacing w:after="0"/>
              <w:rPr>
                <w:sz w:val="22"/>
                <w:szCs w:val="22"/>
                <w:color w:val="auto"/>
              </w:rPr>
            </w:pPr>
          </w:p>
        </w:tc>
      </w:tr>
      <w:tr>
        <w:trPr>
          <w:trHeight w:val="223"/>
        </w:trPr>
        <w:tc>
          <w:tcPr>
            <w:tcW w:w="3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64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357"/>
        </w:trPr>
        <w:tc>
          <w:tcPr>
            <w:tcW w:w="30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40" w:type="dxa"/>
            <w:vAlign w:val="bottom"/>
          </w:tcPr>
          <w:p>
            <w:pPr>
              <w:spacing w:after="0"/>
              <w:rPr>
                <w:sz w:val="24"/>
                <w:szCs w:val="24"/>
                <w:color w:val="auto"/>
              </w:rPr>
            </w:pPr>
          </w:p>
        </w:tc>
      </w:tr>
      <w:tr>
        <w:trPr>
          <w:trHeight w:val="433"/>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60" w:type="dxa"/>
            <w:vAlign w:val="bottom"/>
            <w:gridSpan w:val="5"/>
          </w:tcPr>
          <w:p>
            <w:pPr>
              <w:jc w:val="center"/>
              <w:ind w:left="16"/>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97"/>
        </w:trPr>
        <w:tc>
          <w:tcPr>
            <w:tcW w:w="3600" w:type="dxa"/>
            <w:vAlign w:val="bottom"/>
            <w:gridSpan w:val="2"/>
          </w:tcPr>
          <w:p>
            <w:pPr>
              <w:jc w:val="center"/>
              <w:ind w:left="574"/>
              <w:spacing w:after="0"/>
              <w:rPr>
                <w:sz w:val="20"/>
                <w:szCs w:val="20"/>
                <w:color w:val="auto"/>
              </w:rPr>
            </w:pPr>
            <w:r>
              <w:rPr>
                <w:rFonts w:ascii="Arial" w:cs="Arial" w:eastAsia="Arial" w:hAnsi="Arial"/>
                <w:sz w:val="16"/>
                <w:szCs w:val="16"/>
                <w:b w:val="1"/>
                <w:bCs w:val="1"/>
                <w:color w:val="auto"/>
                <w:w w:val="88"/>
              </w:rPr>
              <w:t>Title of each class</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w w:val="92"/>
              </w:rPr>
              <w:t>Trading Symbol</w:t>
            </w:r>
          </w:p>
        </w:tc>
        <w:tc>
          <w:tcPr>
            <w:tcW w:w="3680" w:type="dxa"/>
            <w:vAlign w:val="bottom"/>
            <w:gridSpan w:val="2"/>
          </w:tcPr>
          <w:p>
            <w:pPr>
              <w:jc w:val="center"/>
              <w:ind w:right="473"/>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6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gridSpan w:val="2"/>
          </w:tcPr>
          <w:p>
            <w:pPr>
              <w:spacing w:after="0"/>
              <w:rPr>
                <w:sz w:val="2"/>
                <w:szCs w:val="2"/>
                <w:color w:val="auto"/>
              </w:rPr>
            </w:pPr>
          </w:p>
        </w:tc>
      </w:tr>
      <w:tr>
        <w:trPr>
          <w:trHeight w:val="217"/>
        </w:trPr>
        <w:tc>
          <w:tcPr>
            <w:tcW w:w="3600" w:type="dxa"/>
            <w:vAlign w:val="bottom"/>
            <w:gridSpan w:val="2"/>
          </w:tcPr>
          <w:p>
            <w:pPr>
              <w:jc w:val="center"/>
              <w:ind w:left="574"/>
              <w:spacing w:after="0"/>
              <w:rPr>
                <w:sz w:val="20"/>
                <w:szCs w:val="20"/>
                <w:color w:val="auto"/>
              </w:rPr>
            </w:pPr>
            <w:r>
              <w:rPr>
                <w:rFonts w:ascii="Arial" w:cs="Arial" w:eastAsia="Arial" w:hAnsi="Arial"/>
                <w:sz w:val="16"/>
                <w:szCs w:val="16"/>
                <w:color w:val="auto"/>
                <w:w w:val="91"/>
              </w:rPr>
              <w:t>Common Stock, par value $0.001 per share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gridSpan w:val="3"/>
          </w:tcPr>
          <w:p>
            <w:pPr>
              <w:jc w:val="center"/>
              <w:ind w:right="700"/>
              <w:spacing w:after="0"/>
              <w:rPr>
                <w:sz w:val="20"/>
                <w:szCs w:val="20"/>
                <w:color w:val="auto"/>
              </w:rPr>
            </w:pPr>
            <w:r>
              <w:rPr>
                <w:rFonts w:ascii="Arial" w:cs="Arial" w:eastAsia="Arial" w:hAnsi="Arial"/>
                <w:sz w:val="16"/>
                <w:szCs w:val="16"/>
                <w:color w:val="auto"/>
                <w:w w:val="96"/>
              </w:rPr>
              <w:t>GO</w:t>
            </w:r>
          </w:p>
        </w:tc>
        <w:tc>
          <w:tcPr>
            <w:tcW w:w="3680" w:type="dxa"/>
            <w:vAlign w:val="bottom"/>
            <w:gridSpan w:val="2"/>
          </w:tcPr>
          <w:p>
            <w:pPr>
              <w:jc w:val="center"/>
              <w:ind w:right="473"/>
              <w:spacing w:after="0"/>
              <w:rPr>
                <w:sz w:val="20"/>
                <w:szCs w:val="20"/>
                <w:color w:val="auto"/>
              </w:rPr>
            </w:pPr>
            <w:r>
              <w:rPr>
                <w:rFonts w:ascii="Arial" w:cs="Arial" w:eastAsia="Arial" w:hAnsi="Arial"/>
                <w:sz w:val="16"/>
                <w:szCs w:val="16"/>
                <w:color w:val="auto"/>
                <w:w w:val="92"/>
              </w:rPr>
              <w:t>Nasdaq Global Select Market</w:t>
            </w:r>
          </w:p>
        </w:tc>
      </w:tr>
    </w:tbl>
    <w:p>
      <w:pPr>
        <w:spacing w:after="0" w:line="374"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40" w:type="dxa"/>
        <w:tblCellMar>
          <w:top w:w="0" w:type="dxa"/>
          <w:left w:w="0" w:type="dxa"/>
          <w:bottom w:w="0" w:type="dxa"/>
          <w:right w:w="0" w:type="dxa"/>
        </w:tblCellMar>
      </w:tblPr>
      <w:tr>
        <w:trPr>
          <w:trHeight w:val="292"/>
        </w:trPr>
        <w:tc>
          <w:tcPr>
            <w:tcW w:w="33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920" w:type="dxa"/>
            <w:vAlign w:val="bottom"/>
          </w:tcPr>
          <w:p>
            <w:pPr>
              <w:ind w:left="1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3380" w:type="dxa"/>
            <w:vAlign w:val="bottom"/>
          </w:tcPr>
          <w:p>
            <w:pPr>
              <w:spacing w:after="0"/>
              <w:rPr>
                <w:sz w:val="20"/>
                <w:szCs w:val="20"/>
                <w:color w:val="auto"/>
              </w:rPr>
            </w:pPr>
            <w:r>
              <w:rPr>
                <w:rFonts w:ascii="Arial" w:cs="Arial" w:eastAsia="Arial" w:hAnsi="Arial"/>
                <w:sz w:val="16"/>
                <w:szCs w:val="16"/>
                <w:color w:val="auto"/>
              </w:rPr>
              <w:t>Non-accelerated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80"/>
              <w:spacing w:after="0"/>
              <w:rPr>
                <w:sz w:val="20"/>
                <w:szCs w:val="20"/>
                <w:color w:val="auto"/>
              </w:rPr>
            </w:pPr>
            <w:r>
              <w:rPr>
                <w:rFonts w:ascii="Arial" w:cs="Arial" w:eastAsia="Arial" w:hAnsi="Arial"/>
                <w:sz w:val="16"/>
                <w:szCs w:val="16"/>
                <w:color w:val="auto"/>
              </w:rPr>
              <w:t>Smaller reporting company</w:t>
            </w:r>
          </w:p>
        </w:tc>
        <w:tc>
          <w:tcPr>
            <w:tcW w:w="1920" w:type="dxa"/>
            <w:vAlign w:val="bottom"/>
          </w:tcPr>
          <w:p>
            <w:pPr>
              <w:ind w:left="1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3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920" w:type="dxa"/>
            <w:vAlign w:val="bottom"/>
          </w:tcPr>
          <w:p>
            <w:pPr>
              <w:ind w:left="17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right="274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7, 2020, the registrant had 91,600,914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GROCERY OUTLET HOLDING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60" w:type="dxa"/>
            <w:vAlign w:val="bottom"/>
          </w:tcPr>
          <w:p>
            <w:pPr>
              <w:ind w:left="1620"/>
              <w:spacing w:after="0"/>
              <w:rPr>
                <w:sz w:val="20"/>
                <w:szCs w:val="20"/>
                <w:color w:val="auto"/>
              </w:rPr>
            </w:pPr>
            <w:r>
              <w:rPr>
                <w:rFonts w:ascii="Arial" w:cs="Arial" w:eastAsia="Arial" w:hAnsi="Arial"/>
                <w:sz w:val="16"/>
                <w:szCs w:val="16"/>
                <w:b w:val="1"/>
                <w:bCs w:val="1"/>
                <w:color w:val="auto"/>
              </w:rPr>
              <w:t>Page</w:t>
            </w:r>
          </w:p>
        </w:tc>
      </w:tr>
      <w:tr>
        <w:trPr>
          <w:trHeight w:val="263"/>
        </w:trPr>
        <w:tc>
          <w:tcPr>
            <w:tcW w:w="9080" w:type="dxa"/>
            <w:vAlign w:val="bottom"/>
            <w:gridSpan w:val="4"/>
          </w:tcPr>
          <w:p>
            <w:pPr>
              <w:ind w:left="20"/>
              <w:spacing w:after="0"/>
              <w:rPr>
                <w:rFonts w:ascii="Arial" w:cs="Arial" w:eastAsia="Arial" w:hAnsi="Arial"/>
                <w:sz w:val="18"/>
                <w:szCs w:val="18"/>
                <w:u w:val="single" w:color="auto"/>
                <w:color w:val="3051F2"/>
              </w:rPr>
            </w:pPr>
            <w:hyperlink w:anchor="page2">
              <w:r>
                <w:rPr>
                  <w:rFonts w:ascii="Arial" w:cs="Arial" w:eastAsia="Arial" w:hAnsi="Arial"/>
                  <w:sz w:val="18"/>
                  <w:szCs w:val="18"/>
                  <w:u w:val="single" w:color="auto"/>
                  <w:color w:val="3051F2"/>
                </w:rPr>
                <w:t>Special Note Regarding Forward-Looking Statements</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2">
              <w:r>
                <w:rPr>
                  <w:rFonts w:ascii="Arial" w:cs="Arial" w:eastAsia="Arial" w:hAnsi="Arial"/>
                  <w:sz w:val="16"/>
                  <w:szCs w:val="16"/>
                  <w:u w:val="single" w:color="auto"/>
                  <w:color w:val="3051F2"/>
                  <w:w w:val="89"/>
                </w:rPr>
                <w:t>2</w:t>
              </w:r>
            </w:hyperlink>
          </w:p>
        </w:tc>
      </w:tr>
      <w:tr>
        <w:trPr>
          <w:trHeight w:val="499"/>
        </w:trPr>
        <w:tc>
          <w:tcPr>
            <w:tcW w:w="820" w:type="dxa"/>
            <w:vAlign w:val="bottom"/>
          </w:tcPr>
          <w:p>
            <w:pPr>
              <w:spacing w:after="0"/>
              <w:rPr>
                <w:sz w:val="24"/>
                <w:szCs w:val="24"/>
                <w:color w:val="auto"/>
              </w:rPr>
            </w:pPr>
          </w:p>
        </w:tc>
        <w:tc>
          <w:tcPr>
            <w:tcW w:w="8260" w:type="dxa"/>
            <w:vAlign w:val="bottom"/>
            <w:gridSpan w:val="3"/>
          </w:tcPr>
          <w:p>
            <w:pPr>
              <w:ind w:left="338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2160" w:type="dxa"/>
            <w:vAlign w:val="bottom"/>
          </w:tcPr>
          <w:p>
            <w:pPr>
              <w:spacing w:after="0"/>
              <w:rPr>
                <w:sz w:val="24"/>
                <w:szCs w:val="24"/>
                <w:color w:val="auto"/>
              </w:rPr>
            </w:pPr>
          </w:p>
        </w:tc>
      </w:tr>
      <w:tr>
        <w:trPr>
          <w:trHeight w:val="499"/>
        </w:trPr>
        <w:tc>
          <w:tcPr>
            <w:tcW w:w="820" w:type="dxa"/>
            <w:vAlign w:val="bottom"/>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8260" w:type="dxa"/>
            <w:vAlign w:val="bottom"/>
            <w:gridSpan w:val="3"/>
          </w:tcPr>
          <w:p>
            <w:pPr>
              <w:ind w:left="160"/>
              <w:spacing w:after="0"/>
              <w:rPr>
                <w:rFonts w:ascii="Arial" w:cs="Arial" w:eastAsia="Arial" w:hAnsi="Arial"/>
                <w:sz w:val="18"/>
                <w:szCs w:val="18"/>
                <w:u w:val="single" w:color="auto"/>
                <w:color w:val="3051F2"/>
              </w:rPr>
            </w:pPr>
            <w:hyperlink w:anchor="page4">
              <w:r>
                <w:rPr>
                  <w:rFonts w:ascii="Arial" w:cs="Arial" w:eastAsia="Arial" w:hAnsi="Arial"/>
                  <w:sz w:val="18"/>
                  <w:szCs w:val="18"/>
                  <w:u w:val="single" w:color="auto"/>
                  <w:color w:val="3051F2"/>
                </w:rPr>
                <w:t>Financial Statements (Unaudited)</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4">
              <w:r>
                <w:rPr>
                  <w:rFonts w:ascii="Arial" w:cs="Arial" w:eastAsia="Arial" w:hAnsi="Arial"/>
                  <w:sz w:val="16"/>
                  <w:szCs w:val="16"/>
                  <w:u w:val="single" w:color="auto"/>
                  <w:color w:val="3051F2"/>
                  <w:w w:val="89"/>
                </w:rPr>
                <w:t>3</w:t>
              </w:r>
            </w:hyperlink>
          </w:p>
        </w:tc>
      </w:tr>
      <w:tr>
        <w:trPr>
          <w:trHeight w:val="229"/>
        </w:trPr>
        <w:tc>
          <w:tcPr>
            <w:tcW w:w="820" w:type="dxa"/>
            <w:vAlign w:val="bottom"/>
          </w:tcPr>
          <w:p>
            <w:pPr>
              <w:spacing w:after="0"/>
              <w:rPr>
                <w:sz w:val="19"/>
                <w:szCs w:val="19"/>
                <w:color w:val="auto"/>
              </w:rPr>
            </w:pPr>
          </w:p>
        </w:tc>
        <w:tc>
          <w:tcPr>
            <w:tcW w:w="8260" w:type="dxa"/>
            <w:vAlign w:val="bottom"/>
            <w:gridSpan w:val="3"/>
          </w:tcPr>
          <w:p>
            <w:pPr>
              <w:ind w:left="160"/>
              <w:spacing w:after="0"/>
              <w:rPr>
                <w:rFonts w:ascii="Arial" w:cs="Arial" w:eastAsia="Arial" w:hAnsi="Arial"/>
                <w:sz w:val="18"/>
                <w:szCs w:val="18"/>
                <w:u w:val="single" w:color="auto"/>
                <w:color w:val="3051F2"/>
              </w:rPr>
            </w:pPr>
            <w:hyperlink w:anchor="page4">
              <w:r>
                <w:rPr>
                  <w:rFonts w:ascii="Arial" w:cs="Arial" w:eastAsia="Arial" w:hAnsi="Arial"/>
                  <w:sz w:val="18"/>
                  <w:szCs w:val="18"/>
                  <w:u w:val="single" w:color="auto"/>
                  <w:color w:val="3051F2"/>
                </w:rPr>
                <w:t>Condensed Consolidated Balance Sheets</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4">
              <w:r>
                <w:rPr>
                  <w:rFonts w:ascii="Arial" w:cs="Arial" w:eastAsia="Arial" w:hAnsi="Arial"/>
                  <w:sz w:val="16"/>
                  <w:szCs w:val="16"/>
                  <w:u w:val="single" w:color="auto"/>
                  <w:color w:val="3051F2"/>
                  <w:w w:val="89"/>
                </w:rPr>
                <w:t>3</w:t>
              </w:r>
            </w:hyperlink>
          </w:p>
        </w:tc>
      </w:tr>
      <w:tr>
        <w:trPr>
          <w:trHeight w:val="190"/>
        </w:trPr>
        <w:tc>
          <w:tcPr>
            <w:tcW w:w="820" w:type="dxa"/>
            <w:vAlign w:val="bottom"/>
          </w:tcPr>
          <w:p>
            <w:pPr>
              <w:spacing w:after="0"/>
              <w:rPr>
                <w:sz w:val="16"/>
                <w:szCs w:val="16"/>
                <w:color w:val="auto"/>
              </w:rPr>
            </w:pPr>
          </w:p>
        </w:tc>
        <w:tc>
          <w:tcPr>
            <w:tcW w:w="8260" w:type="dxa"/>
            <w:vAlign w:val="bottom"/>
            <w:gridSpan w:val="3"/>
          </w:tcPr>
          <w:p>
            <w:pPr>
              <w:ind w:left="160"/>
              <w:spacing w:after="0" w:line="190" w:lineRule="exact"/>
              <w:rPr>
                <w:rFonts w:ascii="Arial" w:cs="Arial" w:eastAsia="Arial" w:hAnsi="Arial"/>
                <w:sz w:val="18"/>
                <w:szCs w:val="18"/>
                <w:color w:val="3051F2"/>
              </w:rPr>
            </w:pPr>
            <w:hyperlink w:anchor="page4">
              <w:r>
                <w:rPr>
                  <w:rFonts w:ascii="Arial" w:cs="Arial" w:eastAsia="Arial" w:hAnsi="Arial"/>
                  <w:sz w:val="18"/>
                  <w:szCs w:val="18"/>
                  <w:u w:val="single" w:color="auto"/>
                  <w:color w:val="3051F2"/>
                </w:rPr>
                <w:t>Condensed Consolidated Statements of Operations and Comprehensive Income</w:t>
              </w:r>
              <w:r>
                <w:rPr>
                  <w:rFonts w:ascii="Arial" w:cs="Arial" w:eastAsia="Arial" w:hAnsi="Arial"/>
                  <w:sz w:val="18"/>
                  <w:szCs w:val="18"/>
                  <w:color w:val="3051F2"/>
                </w:rPr>
                <w:t xml:space="preserve"> </w:t>
              </w:r>
            </w:hyperlink>
            <w:r>
              <w:rPr>
                <w:rFonts w:ascii="Arial" w:cs="Arial" w:eastAsia="Arial" w:hAnsi="Arial"/>
                <w:sz w:val="18"/>
                <w:szCs w:val="18"/>
                <w:color w:val="3051F2"/>
              </w:rPr>
              <w:t>(Loss)</w:t>
            </w:r>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4">
              <w:r>
                <w:rPr>
                  <w:rFonts w:ascii="Arial" w:cs="Arial" w:eastAsia="Arial" w:hAnsi="Arial"/>
                  <w:sz w:val="16"/>
                  <w:szCs w:val="16"/>
                  <w:u w:val="single" w:color="auto"/>
                  <w:color w:val="3051F2"/>
                  <w:w w:val="89"/>
                </w:rPr>
                <w:t>4</w:t>
              </w:r>
            </w:hyperlink>
          </w:p>
        </w:tc>
      </w:tr>
      <w:tr>
        <w:trPr>
          <w:trHeight w:val="249"/>
        </w:trPr>
        <w:tc>
          <w:tcPr>
            <w:tcW w:w="820" w:type="dxa"/>
            <w:vAlign w:val="bottom"/>
          </w:tcPr>
          <w:p>
            <w:pPr>
              <w:spacing w:after="0"/>
              <w:rPr>
                <w:sz w:val="21"/>
                <w:szCs w:val="21"/>
                <w:color w:val="auto"/>
              </w:rPr>
            </w:pPr>
          </w:p>
        </w:tc>
        <w:tc>
          <w:tcPr>
            <w:tcW w:w="5880" w:type="dxa"/>
            <w:vAlign w:val="bottom"/>
          </w:tcPr>
          <w:p>
            <w:pPr>
              <w:ind w:left="160"/>
              <w:spacing w:after="0"/>
              <w:rPr>
                <w:rFonts w:ascii="Arial" w:cs="Arial" w:eastAsia="Arial" w:hAnsi="Arial"/>
                <w:sz w:val="18"/>
                <w:szCs w:val="18"/>
                <w:u w:val="single" w:color="auto"/>
                <w:color w:val="3051F2"/>
              </w:rPr>
            </w:pPr>
            <w:hyperlink w:anchor="page5">
              <w:r>
                <w:rPr>
                  <w:rFonts w:ascii="Arial" w:cs="Arial" w:eastAsia="Arial" w:hAnsi="Arial"/>
                  <w:sz w:val="18"/>
                  <w:szCs w:val="18"/>
                  <w:u w:val="single" w:color="auto"/>
                  <w:color w:val="3051F2"/>
                </w:rPr>
                <w:t>Condensed Consolidated Statements of Stockholders’ Equity</w:t>
              </w:r>
            </w:hyperlink>
          </w:p>
        </w:tc>
        <w:tc>
          <w:tcPr>
            <w:tcW w:w="520" w:type="dxa"/>
            <w:vAlign w:val="bottom"/>
            <w:tcBorders>
              <w:top w:val="single" w:sz="8" w:color="3051F2"/>
            </w:tcBorders>
          </w:tcPr>
          <w:p>
            <w:pPr>
              <w:spacing w:after="0"/>
              <w:rPr>
                <w:sz w:val="21"/>
                <w:szCs w:val="21"/>
                <w:color w:val="auto"/>
              </w:rPr>
            </w:pPr>
          </w:p>
        </w:tc>
        <w:tc>
          <w:tcPr>
            <w:tcW w:w="1860" w:type="dxa"/>
            <w:vAlign w:val="bottom"/>
          </w:tcPr>
          <w:p>
            <w:pPr>
              <w:spacing w:after="0"/>
              <w:rPr>
                <w:sz w:val="21"/>
                <w:szCs w:val="21"/>
                <w:color w:val="auto"/>
              </w:rPr>
            </w:pPr>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5">
              <w:r>
                <w:rPr>
                  <w:rFonts w:ascii="Arial" w:cs="Arial" w:eastAsia="Arial" w:hAnsi="Arial"/>
                  <w:sz w:val="16"/>
                  <w:szCs w:val="16"/>
                  <w:u w:val="single" w:color="auto"/>
                  <w:color w:val="3051F2"/>
                  <w:w w:val="89"/>
                </w:rPr>
                <w:t>5</w:t>
              </w:r>
            </w:hyperlink>
          </w:p>
        </w:tc>
      </w:tr>
      <w:tr>
        <w:trPr>
          <w:trHeight w:val="229"/>
        </w:trPr>
        <w:tc>
          <w:tcPr>
            <w:tcW w:w="820" w:type="dxa"/>
            <w:vAlign w:val="bottom"/>
          </w:tcPr>
          <w:p>
            <w:pPr>
              <w:spacing w:after="0"/>
              <w:rPr>
                <w:sz w:val="19"/>
                <w:szCs w:val="19"/>
                <w:color w:val="auto"/>
              </w:rPr>
            </w:pPr>
          </w:p>
        </w:tc>
        <w:tc>
          <w:tcPr>
            <w:tcW w:w="8260" w:type="dxa"/>
            <w:vAlign w:val="bottom"/>
            <w:gridSpan w:val="3"/>
          </w:tcPr>
          <w:p>
            <w:pPr>
              <w:ind w:left="160"/>
              <w:spacing w:after="0"/>
              <w:rPr>
                <w:rFonts w:ascii="Arial" w:cs="Arial" w:eastAsia="Arial" w:hAnsi="Arial"/>
                <w:sz w:val="18"/>
                <w:szCs w:val="18"/>
                <w:u w:val="single" w:color="auto"/>
                <w:color w:val="3051F2"/>
              </w:rPr>
            </w:pPr>
            <w:hyperlink w:anchor="page7">
              <w:r>
                <w:rPr>
                  <w:rFonts w:ascii="Arial" w:cs="Arial" w:eastAsia="Arial" w:hAnsi="Arial"/>
                  <w:sz w:val="18"/>
                  <w:szCs w:val="18"/>
                  <w:u w:val="single" w:color="auto"/>
                  <w:color w:val="3051F2"/>
                </w:rPr>
                <w:t>Condensed Consolidated Statements of Cash Flows</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7">
              <w:r>
                <w:rPr>
                  <w:rFonts w:ascii="Arial" w:cs="Arial" w:eastAsia="Arial" w:hAnsi="Arial"/>
                  <w:sz w:val="16"/>
                  <w:szCs w:val="16"/>
                  <w:u w:val="single" w:color="auto"/>
                  <w:color w:val="3051F2"/>
                  <w:w w:val="89"/>
                </w:rPr>
                <w:t>7</w:t>
              </w:r>
            </w:hyperlink>
          </w:p>
        </w:tc>
      </w:tr>
      <w:tr>
        <w:trPr>
          <w:trHeight w:val="230"/>
        </w:trPr>
        <w:tc>
          <w:tcPr>
            <w:tcW w:w="820" w:type="dxa"/>
            <w:vAlign w:val="bottom"/>
          </w:tcPr>
          <w:p>
            <w:pPr>
              <w:spacing w:after="0"/>
              <w:rPr>
                <w:sz w:val="19"/>
                <w:szCs w:val="19"/>
                <w:color w:val="auto"/>
              </w:rPr>
            </w:pPr>
          </w:p>
        </w:tc>
        <w:tc>
          <w:tcPr>
            <w:tcW w:w="8260" w:type="dxa"/>
            <w:vAlign w:val="bottom"/>
            <w:gridSpan w:val="3"/>
          </w:tcPr>
          <w:p>
            <w:pPr>
              <w:ind w:left="160"/>
              <w:spacing w:after="0"/>
              <w:rPr>
                <w:rFonts w:ascii="Arial" w:cs="Arial" w:eastAsia="Arial" w:hAnsi="Arial"/>
                <w:sz w:val="18"/>
                <w:szCs w:val="18"/>
                <w:u w:val="single" w:color="auto"/>
                <w:color w:val="3051F2"/>
              </w:rPr>
            </w:pPr>
            <w:hyperlink w:anchor="page8">
              <w:r>
                <w:rPr>
                  <w:rFonts w:ascii="Arial" w:cs="Arial" w:eastAsia="Arial" w:hAnsi="Arial"/>
                  <w:sz w:val="18"/>
                  <w:szCs w:val="18"/>
                  <w:u w:val="single" w:color="auto"/>
                  <w:color w:val="3051F2"/>
                </w:rPr>
                <w:t>Notes to Condensed Consolidated Financial Statements</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8">
              <w:r>
                <w:rPr>
                  <w:rFonts w:ascii="Arial" w:cs="Arial" w:eastAsia="Arial" w:hAnsi="Arial"/>
                  <w:sz w:val="16"/>
                  <w:szCs w:val="16"/>
                  <w:u w:val="single" w:color="auto"/>
                  <w:color w:val="3051F2"/>
                  <w:w w:val="89"/>
                </w:rPr>
                <w:t>8</w:t>
              </w:r>
            </w:hyperlink>
          </w:p>
        </w:tc>
      </w:tr>
      <w:tr>
        <w:trPr>
          <w:trHeight w:val="229"/>
        </w:trPr>
        <w:tc>
          <w:tcPr>
            <w:tcW w:w="820" w:type="dxa"/>
            <w:vAlign w:val="bottom"/>
          </w:tcPr>
          <w:p>
            <w:pPr>
              <w:ind w:left="20"/>
              <w:spacing w:after="0"/>
              <w:rPr>
                <w:rFonts w:ascii="Arial" w:cs="Arial" w:eastAsia="Arial" w:hAnsi="Arial"/>
                <w:sz w:val="18"/>
                <w:szCs w:val="18"/>
                <w:color w:val="auto"/>
              </w:rPr>
            </w:pPr>
            <w:hyperlink w:anchor="page25">
              <w:r>
                <w:rPr>
                  <w:rFonts w:ascii="Arial" w:cs="Arial" w:eastAsia="Arial" w:hAnsi="Arial"/>
                  <w:sz w:val="18"/>
                  <w:szCs w:val="18"/>
                  <w:color w:val="auto"/>
                </w:rPr>
                <w:t>Item 2.</w:t>
              </w:r>
            </w:hyperlink>
          </w:p>
        </w:tc>
        <w:tc>
          <w:tcPr>
            <w:tcW w:w="8260" w:type="dxa"/>
            <w:vAlign w:val="bottom"/>
            <w:gridSpan w:val="3"/>
          </w:tcPr>
          <w:p>
            <w:pPr>
              <w:ind w:left="160"/>
              <w:spacing w:after="0"/>
              <w:rPr>
                <w:rFonts w:ascii="Arial" w:cs="Arial" w:eastAsia="Arial" w:hAnsi="Arial"/>
                <w:sz w:val="18"/>
                <w:szCs w:val="18"/>
                <w:u w:val="single" w:color="auto"/>
                <w:color w:val="3051F2"/>
              </w:rPr>
            </w:pPr>
            <w:hyperlink w:anchor="page25">
              <w:r>
                <w:rPr>
                  <w:rFonts w:ascii="Arial" w:cs="Arial" w:eastAsia="Arial" w:hAnsi="Arial"/>
                  <w:sz w:val="18"/>
                  <w:szCs w:val="18"/>
                  <w:u w:val="single" w:color="auto"/>
                  <w:color w:val="3051F2"/>
                </w:rPr>
                <w:t>Management’s Discussion and Analysis of Financial Condition and Results of Operations</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25">
              <w:r>
                <w:rPr>
                  <w:rFonts w:ascii="Arial" w:cs="Arial" w:eastAsia="Arial" w:hAnsi="Arial"/>
                  <w:sz w:val="16"/>
                  <w:szCs w:val="16"/>
                  <w:u w:val="single" w:color="auto"/>
                  <w:color w:val="3051F2"/>
                  <w:w w:val="89"/>
                </w:rPr>
                <w:t>25</w:t>
              </w:r>
            </w:hyperlink>
          </w:p>
        </w:tc>
      </w:tr>
      <w:tr>
        <w:trPr>
          <w:trHeight w:val="229"/>
        </w:trPr>
        <w:tc>
          <w:tcPr>
            <w:tcW w:w="820" w:type="dxa"/>
            <w:vAlign w:val="bottom"/>
          </w:tcPr>
          <w:p>
            <w:pPr>
              <w:spacing w:after="0"/>
              <w:rPr>
                <w:sz w:val="19"/>
                <w:szCs w:val="19"/>
                <w:color w:val="auto"/>
              </w:rPr>
            </w:pPr>
          </w:p>
        </w:tc>
        <w:tc>
          <w:tcPr>
            <w:tcW w:w="8260" w:type="dxa"/>
            <w:vAlign w:val="bottom"/>
            <w:gridSpan w:val="3"/>
          </w:tcPr>
          <w:p>
            <w:pPr>
              <w:ind w:left="160"/>
              <w:spacing w:after="0"/>
              <w:rPr>
                <w:rFonts w:ascii="Arial" w:cs="Arial" w:eastAsia="Arial" w:hAnsi="Arial"/>
                <w:sz w:val="18"/>
                <w:szCs w:val="18"/>
                <w:u w:val="single" w:color="auto"/>
                <w:color w:val="3051F2"/>
              </w:rPr>
            </w:pPr>
            <w:hyperlink w:anchor="page26">
              <w:r>
                <w:rPr>
                  <w:rFonts w:ascii="Arial" w:cs="Arial" w:eastAsia="Arial" w:hAnsi="Arial"/>
                  <w:sz w:val="18"/>
                  <w:szCs w:val="18"/>
                  <w:u w:val="single" w:color="auto"/>
                  <w:color w:val="3051F2"/>
                </w:rPr>
                <w:t>Overview</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26">
              <w:r>
                <w:rPr>
                  <w:rFonts w:ascii="Arial" w:cs="Arial" w:eastAsia="Arial" w:hAnsi="Arial"/>
                  <w:sz w:val="16"/>
                  <w:szCs w:val="16"/>
                  <w:u w:val="single" w:color="auto"/>
                  <w:color w:val="3051F2"/>
                  <w:w w:val="89"/>
                </w:rPr>
                <w:t>25</w:t>
              </w:r>
            </w:hyperlink>
          </w:p>
        </w:tc>
      </w:tr>
      <w:tr>
        <w:trPr>
          <w:trHeight w:val="230"/>
        </w:trPr>
        <w:tc>
          <w:tcPr>
            <w:tcW w:w="820" w:type="dxa"/>
            <w:vAlign w:val="bottom"/>
          </w:tcPr>
          <w:p>
            <w:pPr>
              <w:spacing w:after="0"/>
              <w:rPr>
                <w:sz w:val="19"/>
                <w:szCs w:val="19"/>
                <w:color w:val="auto"/>
              </w:rPr>
            </w:pPr>
          </w:p>
        </w:tc>
        <w:tc>
          <w:tcPr>
            <w:tcW w:w="8260" w:type="dxa"/>
            <w:vAlign w:val="bottom"/>
            <w:gridSpan w:val="3"/>
          </w:tcPr>
          <w:p>
            <w:pPr>
              <w:ind w:left="160"/>
              <w:spacing w:after="0"/>
              <w:rPr>
                <w:rFonts w:ascii="Arial" w:cs="Arial" w:eastAsia="Arial" w:hAnsi="Arial"/>
                <w:sz w:val="18"/>
                <w:szCs w:val="18"/>
                <w:u w:val="single" w:color="auto"/>
                <w:color w:val="3051F2"/>
              </w:rPr>
            </w:pPr>
            <w:hyperlink w:anchor="page28">
              <w:r>
                <w:rPr>
                  <w:rFonts w:ascii="Arial" w:cs="Arial" w:eastAsia="Arial" w:hAnsi="Arial"/>
                  <w:sz w:val="18"/>
                  <w:szCs w:val="18"/>
                  <w:u w:val="single" w:color="auto"/>
                  <w:color w:val="3051F2"/>
                </w:rPr>
                <w:t>Results of Operations</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28">
              <w:r>
                <w:rPr>
                  <w:rFonts w:ascii="Arial" w:cs="Arial" w:eastAsia="Arial" w:hAnsi="Arial"/>
                  <w:sz w:val="16"/>
                  <w:szCs w:val="16"/>
                  <w:u w:val="single" w:color="auto"/>
                  <w:color w:val="3051F2"/>
                  <w:w w:val="89"/>
                </w:rPr>
                <w:t>28</w:t>
              </w:r>
            </w:hyperlink>
          </w:p>
        </w:tc>
      </w:tr>
      <w:tr>
        <w:trPr>
          <w:trHeight w:val="229"/>
        </w:trPr>
        <w:tc>
          <w:tcPr>
            <w:tcW w:w="820" w:type="dxa"/>
            <w:vAlign w:val="bottom"/>
          </w:tcPr>
          <w:p>
            <w:pPr>
              <w:spacing w:after="0"/>
              <w:rPr>
                <w:sz w:val="19"/>
                <w:szCs w:val="19"/>
                <w:color w:val="auto"/>
              </w:rPr>
            </w:pPr>
          </w:p>
        </w:tc>
        <w:tc>
          <w:tcPr>
            <w:tcW w:w="8260" w:type="dxa"/>
            <w:vAlign w:val="bottom"/>
            <w:gridSpan w:val="3"/>
          </w:tcPr>
          <w:p>
            <w:pPr>
              <w:ind w:left="160"/>
              <w:spacing w:after="0"/>
              <w:rPr>
                <w:rFonts w:ascii="Arial" w:cs="Arial" w:eastAsia="Arial" w:hAnsi="Arial"/>
                <w:sz w:val="18"/>
                <w:szCs w:val="18"/>
                <w:u w:val="single" w:color="auto"/>
                <w:color w:val="3051F2"/>
              </w:rPr>
            </w:pPr>
            <w:hyperlink w:anchor="page35">
              <w:r>
                <w:rPr>
                  <w:rFonts w:ascii="Arial" w:cs="Arial" w:eastAsia="Arial" w:hAnsi="Arial"/>
                  <w:sz w:val="18"/>
                  <w:szCs w:val="18"/>
                  <w:u w:val="single" w:color="auto"/>
                  <w:color w:val="3051F2"/>
                </w:rPr>
                <w:t>Liquidity and Capital Resources</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35">
              <w:r>
                <w:rPr>
                  <w:rFonts w:ascii="Arial" w:cs="Arial" w:eastAsia="Arial" w:hAnsi="Arial"/>
                  <w:sz w:val="16"/>
                  <w:szCs w:val="16"/>
                  <w:u w:val="single" w:color="auto"/>
                  <w:color w:val="3051F2"/>
                  <w:w w:val="89"/>
                </w:rPr>
                <w:t>35</w:t>
              </w:r>
            </w:hyperlink>
          </w:p>
        </w:tc>
      </w:tr>
      <w:tr>
        <w:trPr>
          <w:trHeight w:val="229"/>
        </w:trPr>
        <w:tc>
          <w:tcPr>
            <w:tcW w:w="820" w:type="dxa"/>
            <w:vAlign w:val="bottom"/>
          </w:tcPr>
          <w:p>
            <w:pPr>
              <w:spacing w:after="0"/>
              <w:rPr>
                <w:sz w:val="19"/>
                <w:szCs w:val="19"/>
                <w:color w:val="auto"/>
              </w:rPr>
            </w:pPr>
          </w:p>
        </w:tc>
        <w:tc>
          <w:tcPr>
            <w:tcW w:w="8260" w:type="dxa"/>
            <w:vAlign w:val="bottom"/>
            <w:gridSpan w:val="3"/>
          </w:tcPr>
          <w:p>
            <w:pPr>
              <w:ind w:left="160"/>
              <w:spacing w:after="0"/>
              <w:rPr>
                <w:rFonts w:ascii="Arial" w:cs="Arial" w:eastAsia="Arial" w:hAnsi="Arial"/>
                <w:sz w:val="18"/>
                <w:szCs w:val="18"/>
                <w:u w:val="single" w:color="auto"/>
                <w:color w:val="3051F2"/>
              </w:rPr>
            </w:pPr>
            <w:hyperlink w:anchor="page38">
              <w:r>
                <w:rPr>
                  <w:rFonts w:ascii="Arial" w:cs="Arial" w:eastAsia="Arial" w:hAnsi="Arial"/>
                  <w:sz w:val="18"/>
                  <w:szCs w:val="18"/>
                  <w:u w:val="single" w:color="auto"/>
                  <w:color w:val="3051F2"/>
                </w:rPr>
                <w:t>Off-Balance Sheet Arrangements</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38">
              <w:r>
                <w:rPr>
                  <w:rFonts w:ascii="Arial" w:cs="Arial" w:eastAsia="Arial" w:hAnsi="Arial"/>
                  <w:sz w:val="16"/>
                  <w:szCs w:val="16"/>
                  <w:u w:val="single" w:color="auto"/>
                  <w:color w:val="3051F2"/>
                  <w:w w:val="89"/>
                </w:rPr>
                <w:t>38</w:t>
              </w:r>
            </w:hyperlink>
          </w:p>
        </w:tc>
      </w:tr>
      <w:tr>
        <w:trPr>
          <w:trHeight w:val="230"/>
        </w:trPr>
        <w:tc>
          <w:tcPr>
            <w:tcW w:w="820" w:type="dxa"/>
            <w:vAlign w:val="bottom"/>
          </w:tcPr>
          <w:p>
            <w:pPr>
              <w:spacing w:after="0"/>
              <w:rPr>
                <w:sz w:val="19"/>
                <w:szCs w:val="19"/>
                <w:color w:val="auto"/>
              </w:rPr>
            </w:pPr>
          </w:p>
        </w:tc>
        <w:tc>
          <w:tcPr>
            <w:tcW w:w="8260" w:type="dxa"/>
            <w:vAlign w:val="bottom"/>
            <w:gridSpan w:val="3"/>
          </w:tcPr>
          <w:p>
            <w:pPr>
              <w:ind w:left="160"/>
              <w:spacing w:after="0"/>
              <w:rPr>
                <w:rFonts w:ascii="Arial" w:cs="Arial" w:eastAsia="Arial" w:hAnsi="Arial"/>
                <w:sz w:val="18"/>
                <w:szCs w:val="18"/>
                <w:u w:val="single" w:color="auto"/>
                <w:color w:val="3051F2"/>
              </w:rPr>
            </w:pPr>
            <w:hyperlink w:anchor="page39">
              <w:r>
                <w:rPr>
                  <w:rFonts w:ascii="Arial" w:cs="Arial" w:eastAsia="Arial" w:hAnsi="Arial"/>
                  <w:sz w:val="18"/>
                  <w:szCs w:val="18"/>
                  <w:u w:val="single" w:color="auto"/>
                  <w:color w:val="3051F2"/>
                </w:rPr>
                <w:t>Contractual Obligations</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39">
              <w:r>
                <w:rPr>
                  <w:rFonts w:ascii="Arial" w:cs="Arial" w:eastAsia="Arial" w:hAnsi="Arial"/>
                  <w:sz w:val="16"/>
                  <w:szCs w:val="16"/>
                  <w:u w:val="single" w:color="auto"/>
                  <w:color w:val="3051F2"/>
                  <w:w w:val="89"/>
                </w:rPr>
                <w:t>38</w:t>
              </w:r>
            </w:hyperlink>
          </w:p>
        </w:tc>
      </w:tr>
      <w:tr>
        <w:trPr>
          <w:trHeight w:val="229"/>
        </w:trPr>
        <w:tc>
          <w:tcPr>
            <w:tcW w:w="820" w:type="dxa"/>
            <w:vAlign w:val="bottom"/>
          </w:tcPr>
          <w:p>
            <w:pPr>
              <w:spacing w:after="0"/>
              <w:rPr>
                <w:sz w:val="19"/>
                <w:szCs w:val="19"/>
                <w:color w:val="auto"/>
              </w:rPr>
            </w:pPr>
          </w:p>
        </w:tc>
        <w:tc>
          <w:tcPr>
            <w:tcW w:w="8260" w:type="dxa"/>
            <w:vAlign w:val="bottom"/>
            <w:gridSpan w:val="3"/>
          </w:tcPr>
          <w:p>
            <w:pPr>
              <w:ind w:left="160"/>
              <w:spacing w:after="0"/>
              <w:rPr>
                <w:rFonts w:ascii="Arial" w:cs="Arial" w:eastAsia="Arial" w:hAnsi="Arial"/>
                <w:sz w:val="18"/>
                <w:szCs w:val="18"/>
                <w:u w:val="single" w:color="auto"/>
                <w:color w:val="3051F2"/>
              </w:rPr>
            </w:pPr>
            <w:hyperlink w:anchor="page39">
              <w:r>
                <w:rPr>
                  <w:rFonts w:ascii="Arial" w:cs="Arial" w:eastAsia="Arial" w:hAnsi="Arial"/>
                  <w:sz w:val="18"/>
                  <w:szCs w:val="18"/>
                  <w:u w:val="single" w:color="auto"/>
                  <w:color w:val="3051F2"/>
                </w:rPr>
                <w:t>Critical Accounting Policies and Estimates</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39">
              <w:r>
                <w:rPr>
                  <w:rFonts w:ascii="Arial" w:cs="Arial" w:eastAsia="Arial" w:hAnsi="Arial"/>
                  <w:sz w:val="16"/>
                  <w:szCs w:val="16"/>
                  <w:u w:val="single" w:color="auto"/>
                  <w:color w:val="3051F2"/>
                  <w:w w:val="89"/>
                </w:rPr>
                <w:t>38</w:t>
              </w:r>
            </w:hyperlink>
          </w:p>
        </w:tc>
      </w:tr>
      <w:tr>
        <w:trPr>
          <w:trHeight w:val="230"/>
        </w:trPr>
        <w:tc>
          <w:tcPr>
            <w:tcW w:w="820" w:type="dxa"/>
            <w:vAlign w:val="bottom"/>
          </w:tcPr>
          <w:p>
            <w:pPr>
              <w:spacing w:after="0"/>
              <w:rPr>
                <w:sz w:val="19"/>
                <w:szCs w:val="19"/>
                <w:color w:val="auto"/>
              </w:rPr>
            </w:pPr>
          </w:p>
        </w:tc>
        <w:tc>
          <w:tcPr>
            <w:tcW w:w="8260" w:type="dxa"/>
            <w:vAlign w:val="bottom"/>
            <w:gridSpan w:val="3"/>
          </w:tcPr>
          <w:p>
            <w:pPr>
              <w:ind w:left="160"/>
              <w:spacing w:after="0"/>
              <w:rPr>
                <w:rFonts w:ascii="Arial" w:cs="Arial" w:eastAsia="Arial" w:hAnsi="Arial"/>
                <w:sz w:val="18"/>
                <w:szCs w:val="18"/>
                <w:u w:val="single" w:color="auto"/>
                <w:color w:val="3051F2"/>
              </w:rPr>
            </w:pPr>
            <w:hyperlink w:anchor="page39">
              <w:r>
                <w:rPr>
                  <w:rFonts w:ascii="Arial" w:cs="Arial" w:eastAsia="Arial" w:hAnsi="Arial"/>
                  <w:sz w:val="18"/>
                  <w:szCs w:val="18"/>
                  <w:u w:val="single" w:color="auto"/>
                  <w:color w:val="3051F2"/>
                </w:rPr>
                <w:t>Recent Accounting Pronouncements</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39">
              <w:r>
                <w:rPr>
                  <w:rFonts w:ascii="Arial" w:cs="Arial" w:eastAsia="Arial" w:hAnsi="Arial"/>
                  <w:sz w:val="16"/>
                  <w:szCs w:val="16"/>
                  <w:u w:val="single" w:color="auto"/>
                  <w:color w:val="3051F2"/>
                  <w:w w:val="89"/>
                </w:rPr>
                <w:t>38</w:t>
              </w:r>
            </w:hyperlink>
          </w:p>
        </w:tc>
      </w:tr>
      <w:tr>
        <w:trPr>
          <w:trHeight w:val="229"/>
        </w:trPr>
        <w:tc>
          <w:tcPr>
            <w:tcW w:w="820" w:type="dxa"/>
            <w:vAlign w:val="bottom"/>
          </w:tcPr>
          <w:p>
            <w:pPr>
              <w:ind w:left="20"/>
              <w:spacing w:after="0"/>
              <w:rPr>
                <w:rFonts w:ascii="Arial" w:cs="Arial" w:eastAsia="Arial" w:hAnsi="Arial"/>
                <w:sz w:val="18"/>
                <w:szCs w:val="18"/>
                <w:color w:val="auto"/>
              </w:rPr>
            </w:pPr>
            <w:hyperlink w:anchor="page39">
              <w:r>
                <w:rPr>
                  <w:rFonts w:ascii="Arial" w:cs="Arial" w:eastAsia="Arial" w:hAnsi="Arial"/>
                  <w:sz w:val="18"/>
                  <w:szCs w:val="18"/>
                  <w:color w:val="auto"/>
                </w:rPr>
                <w:t>Item 3.</w:t>
              </w:r>
            </w:hyperlink>
          </w:p>
        </w:tc>
        <w:tc>
          <w:tcPr>
            <w:tcW w:w="8260" w:type="dxa"/>
            <w:vAlign w:val="bottom"/>
            <w:gridSpan w:val="3"/>
          </w:tcPr>
          <w:p>
            <w:pPr>
              <w:ind w:left="160"/>
              <w:spacing w:after="0"/>
              <w:rPr>
                <w:rFonts w:ascii="Arial" w:cs="Arial" w:eastAsia="Arial" w:hAnsi="Arial"/>
                <w:sz w:val="18"/>
                <w:szCs w:val="18"/>
                <w:u w:val="single" w:color="auto"/>
                <w:color w:val="3051F2"/>
              </w:rPr>
            </w:pPr>
            <w:hyperlink w:anchor="page39">
              <w:r>
                <w:rPr>
                  <w:rFonts w:ascii="Arial" w:cs="Arial" w:eastAsia="Arial" w:hAnsi="Arial"/>
                  <w:sz w:val="18"/>
                  <w:szCs w:val="18"/>
                  <w:u w:val="single" w:color="auto"/>
                  <w:color w:val="3051F2"/>
                </w:rPr>
                <w:t>Quantitative and Qualitative Disclosure about Market Risk</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39">
              <w:r>
                <w:rPr>
                  <w:rFonts w:ascii="Arial" w:cs="Arial" w:eastAsia="Arial" w:hAnsi="Arial"/>
                  <w:sz w:val="16"/>
                  <w:szCs w:val="16"/>
                  <w:u w:val="single" w:color="auto"/>
                  <w:color w:val="3051F2"/>
                  <w:w w:val="89"/>
                </w:rPr>
                <w:t>38</w:t>
              </w:r>
            </w:hyperlink>
          </w:p>
        </w:tc>
      </w:tr>
      <w:tr>
        <w:trPr>
          <w:trHeight w:val="230"/>
        </w:trPr>
        <w:tc>
          <w:tcPr>
            <w:tcW w:w="820" w:type="dxa"/>
            <w:vAlign w:val="bottom"/>
          </w:tcPr>
          <w:p>
            <w:pPr>
              <w:ind w:left="20"/>
              <w:spacing w:after="0"/>
              <w:rPr>
                <w:rFonts w:ascii="Arial" w:cs="Arial" w:eastAsia="Arial" w:hAnsi="Arial"/>
                <w:sz w:val="18"/>
                <w:szCs w:val="18"/>
                <w:color w:val="auto"/>
              </w:rPr>
            </w:pPr>
            <w:hyperlink w:anchor="page39">
              <w:r>
                <w:rPr>
                  <w:rFonts w:ascii="Arial" w:cs="Arial" w:eastAsia="Arial" w:hAnsi="Arial"/>
                  <w:sz w:val="18"/>
                  <w:szCs w:val="18"/>
                  <w:color w:val="auto"/>
                </w:rPr>
                <w:t>Item 4.</w:t>
              </w:r>
            </w:hyperlink>
          </w:p>
        </w:tc>
        <w:tc>
          <w:tcPr>
            <w:tcW w:w="8260" w:type="dxa"/>
            <w:vAlign w:val="bottom"/>
            <w:gridSpan w:val="3"/>
          </w:tcPr>
          <w:p>
            <w:pPr>
              <w:ind w:left="160"/>
              <w:spacing w:after="0"/>
              <w:rPr>
                <w:rFonts w:ascii="Arial" w:cs="Arial" w:eastAsia="Arial" w:hAnsi="Arial"/>
                <w:sz w:val="18"/>
                <w:szCs w:val="18"/>
                <w:u w:val="single" w:color="auto"/>
                <w:color w:val="3051F2"/>
              </w:rPr>
            </w:pPr>
            <w:hyperlink w:anchor="page39">
              <w:r>
                <w:rPr>
                  <w:rFonts w:ascii="Arial" w:cs="Arial" w:eastAsia="Arial" w:hAnsi="Arial"/>
                  <w:sz w:val="18"/>
                  <w:szCs w:val="18"/>
                  <w:u w:val="single" w:color="auto"/>
                  <w:color w:val="3051F2"/>
                </w:rPr>
                <w:t>Controls and Procedures</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39">
              <w:r>
                <w:rPr>
                  <w:rFonts w:ascii="Arial" w:cs="Arial" w:eastAsia="Arial" w:hAnsi="Arial"/>
                  <w:sz w:val="16"/>
                  <w:szCs w:val="16"/>
                  <w:u w:val="single" w:color="auto"/>
                  <w:color w:val="3051F2"/>
                  <w:w w:val="89"/>
                </w:rPr>
                <w:t>39</w:t>
              </w:r>
            </w:hyperlink>
          </w:p>
        </w:tc>
      </w:tr>
      <w:tr>
        <w:trPr>
          <w:trHeight w:val="500"/>
        </w:trPr>
        <w:tc>
          <w:tcPr>
            <w:tcW w:w="820" w:type="dxa"/>
            <w:vAlign w:val="bottom"/>
          </w:tcPr>
          <w:p>
            <w:pPr>
              <w:spacing w:after="0"/>
              <w:rPr>
                <w:sz w:val="24"/>
                <w:szCs w:val="24"/>
                <w:color w:val="auto"/>
              </w:rPr>
            </w:pPr>
          </w:p>
        </w:tc>
        <w:tc>
          <w:tcPr>
            <w:tcW w:w="8260" w:type="dxa"/>
            <w:vAlign w:val="bottom"/>
            <w:gridSpan w:val="3"/>
          </w:tcPr>
          <w:p>
            <w:pPr>
              <w:ind w:left="3540"/>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PART II. OTHER INFORMATION</w:t>
              </w:r>
            </w:hyperlink>
          </w:p>
        </w:tc>
        <w:tc>
          <w:tcPr>
            <w:tcW w:w="2160" w:type="dxa"/>
            <w:vAlign w:val="bottom"/>
          </w:tcPr>
          <w:p>
            <w:pPr>
              <w:spacing w:after="0"/>
              <w:rPr>
                <w:sz w:val="24"/>
                <w:szCs w:val="24"/>
                <w:color w:val="auto"/>
              </w:rPr>
            </w:pPr>
          </w:p>
        </w:tc>
      </w:tr>
      <w:tr>
        <w:trPr>
          <w:trHeight w:val="499"/>
        </w:trPr>
        <w:tc>
          <w:tcPr>
            <w:tcW w:w="820" w:type="dxa"/>
            <w:vAlign w:val="bottom"/>
          </w:tcPr>
          <w:p>
            <w:pPr>
              <w:ind w:left="20"/>
              <w:spacing w:after="0"/>
              <w:rPr>
                <w:rFonts w:ascii="Arial" w:cs="Arial" w:eastAsia="Arial" w:hAnsi="Arial"/>
                <w:sz w:val="18"/>
                <w:szCs w:val="18"/>
                <w:color w:val="auto"/>
              </w:rPr>
            </w:pPr>
            <w:hyperlink w:anchor="page41">
              <w:r>
                <w:rPr>
                  <w:rFonts w:ascii="Arial" w:cs="Arial" w:eastAsia="Arial" w:hAnsi="Arial"/>
                  <w:sz w:val="18"/>
                  <w:szCs w:val="18"/>
                  <w:color w:val="auto"/>
                </w:rPr>
                <w:t>Item 1.</w:t>
              </w:r>
            </w:hyperlink>
          </w:p>
        </w:tc>
        <w:tc>
          <w:tcPr>
            <w:tcW w:w="8260" w:type="dxa"/>
            <w:vAlign w:val="bottom"/>
            <w:gridSpan w:val="3"/>
          </w:tcPr>
          <w:p>
            <w:pPr>
              <w:ind w:left="160"/>
              <w:spacing w:after="0"/>
              <w:rPr>
                <w:rFonts w:ascii="Arial" w:cs="Arial" w:eastAsia="Arial" w:hAnsi="Arial"/>
                <w:sz w:val="18"/>
                <w:szCs w:val="18"/>
                <w:u w:val="single" w:color="auto"/>
                <w:color w:val="3051F2"/>
              </w:rPr>
            </w:pPr>
            <w:hyperlink w:anchor="page41">
              <w:r>
                <w:rPr>
                  <w:rFonts w:ascii="Arial" w:cs="Arial" w:eastAsia="Arial" w:hAnsi="Arial"/>
                  <w:sz w:val="18"/>
                  <w:szCs w:val="18"/>
                  <w:u w:val="single" w:color="auto"/>
                  <w:color w:val="3051F2"/>
                </w:rPr>
                <w:t>Legal Proceedings</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41">
              <w:r>
                <w:rPr>
                  <w:rFonts w:ascii="Arial" w:cs="Arial" w:eastAsia="Arial" w:hAnsi="Arial"/>
                  <w:sz w:val="16"/>
                  <w:szCs w:val="16"/>
                  <w:u w:val="single" w:color="auto"/>
                  <w:color w:val="3051F2"/>
                  <w:w w:val="89"/>
                </w:rPr>
                <w:t>40</w:t>
              </w:r>
            </w:hyperlink>
          </w:p>
        </w:tc>
      </w:tr>
      <w:tr>
        <w:trPr>
          <w:trHeight w:val="230"/>
        </w:trPr>
        <w:tc>
          <w:tcPr>
            <w:tcW w:w="820" w:type="dxa"/>
            <w:vAlign w:val="bottom"/>
          </w:tcPr>
          <w:p>
            <w:pPr>
              <w:ind w:left="20"/>
              <w:spacing w:after="0"/>
              <w:rPr>
                <w:rFonts w:ascii="Arial" w:cs="Arial" w:eastAsia="Arial" w:hAnsi="Arial"/>
                <w:sz w:val="18"/>
                <w:szCs w:val="18"/>
                <w:color w:val="auto"/>
              </w:rPr>
            </w:pPr>
            <w:hyperlink w:anchor="page41">
              <w:r>
                <w:rPr>
                  <w:rFonts w:ascii="Arial" w:cs="Arial" w:eastAsia="Arial" w:hAnsi="Arial"/>
                  <w:sz w:val="18"/>
                  <w:szCs w:val="18"/>
                  <w:color w:val="auto"/>
                </w:rPr>
                <w:t>Item 1A.</w:t>
              </w:r>
            </w:hyperlink>
          </w:p>
        </w:tc>
        <w:tc>
          <w:tcPr>
            <w:tcW w:w="8260" w:type="dxa"/>
            <w:vAlign w:val="bottom"/>
            <w:gridSpan w:val="3"/>
          </w:tcPr>
          <w:p>
            <w:pPr>
              <w:ind w:left="160"/>
              <w:spacing w:after="0"/>
              <w:rPr>
                <w:rFonts w:ascii="Arial" w:cs="Arial" w:eastAsia="Arial" w:hAnsi="Arial"/>
                <w:sz w:val="18"/>
                <w:szCs w:val="18"/>
                <w:u w:val="single" w:color="auto"/>
                <w:color w:val="3051F2"/>
              </w:rPr>
            </w:pPr>
            <w:hyperlink w:anchor="page41">
              <w:r>
                <w:rPr>
                  <w:rFonts w:ascii="Arial" w:cs="Arial" w:eastAsia="Arial" w:hAnsi="Arial"/>
                  <w:sz w:val="18"/>
                  <w:szCs w:val="18"/>
                  <w:u w:val="single" w:color="auto"/>
                  <w:color w:val="3051F2"/>
                </w:rPr>
                <w:t>Risk Factors</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41">
              <w:r>
                <w:rPr>
                  <w:rFonts w:ascii="Arial" w:cs="Arial" w:eastAsia="Arial" w:hAnsi="Arial"/>
                  <w:sz w:val="16"/>
                  <w:szCs w:val="16"/>
                  <w:u w:val="single" w:color="auto"/>
                  <w:color w:val="3051F2"/>
                  <w:w w:val="89"/>
                </w:rPr>
                <w:t>41</w:t>
              </w:r>
            </w:hyperlink>
          </w:p>
        </w:tc>
      </w:tr>
      <w:tr>
        <w:trPr>
          <w:trHeight w:val="230"/>
        </w:trPr>
        <w:tc>
          <w:tcPr>
            <w:tcW w:w="820" w:type="dxa"/>
            <w:vAlign w:val="bottom"/>
          </w:tcPr>
          <w:p>
            <w:pPr>
              <w:ind w:left="20"/>
              <w:spacing w:after="0"/>
              <w:rPr>
                <w:rFonts w:ascii="Arial" w:cs="Arial" w:eastAsia="Arial" w:hAnsi="Arial"/>
                <w:sz w:val="18"/>
                <w:szCs w:val="18"/>
                <w:color w:val="auto"/>
              </w:rPr>
            </w:pPr>
            <w:hyperlink w:anchor="page42">
              <w:r>
                <w:rPr>
                  <w:rFonts w:ascii="Arial" w:cs="Arial" w:eastAsia="Arial" w:hAnsi="Arial"/>
                  <w:sz w:val="18"/>
                  <w:szCs w:val="18"/>
                  <w:color w:val="auto"/>
                </w:rPr>
                <w:t>Item 2.</w:t>
              </w:r>
            </w:hyperlink>
          </w:p>
        </w:tc>
        <w:tc>
          <w:tcPr>
            <w:tcW w:w="8260" w:type="dxa"/>
            <w:vAlign w:val="bottom"/>
            <w:gridSpan w:val="3"/>
          </w:tcPr>
          <w:p>
            <w:pPr>
              <w:ind w:left="160"/>
              <w:spacing w:after="0"/>
              <w:rPr>
                <w:rFonts w:ascii="Arial" w:cs="Arial" w:eastAsia="Arial" w:hAnsi="Arial"/>
                <w:sz w:val="18"/>
                <w:szCs w:val="18"/>
                <w:u w:val="single" w:color="auto"/>
                <w:color w:val="3051F2"/>
              </w:rPr>
            </w:pPr>
            <w:hyperlink w:anchor="page42">
              <w:r>
                <w:rPr>
                  <w:rFonts w:ascii="Arial" w:cs="Arial" w:eastAsia="Arial" w:hAnsi="Arial"/>
                  <w:sz w:val="18"/>
                  <w:szCs w:val="18"/>
                  <w:u w:val="single" w:color="auto"/>
                  <w:color w:val="3051F2"/>
                </w:rPr>
                <w:t>Unregistered Sales of Equity Securities and Use of Proceeds</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42">
              <w:r>
                <w:rPr>
                  <w:rFonts w:ascii="Arial" w:cs="Arial" w:eastAsia="Arial" w:hAnsi="Arial"/>
                  <w:sz w:val="16"/>
                  <w:szCs w:val="16"/>
                  <w:u w:val="single" w:color="auto"/>
                  <w:color w:val="3051F2"/>
                  <w:w w:val="89"/>
                </w:rPr>
                <w:t>42</w:t>
              </w:r>
            </w:hyperlink>
          </w:p>
        </w:tc>
      </w:tr>
      <w:tr>
        <w:trPr>
          <w:trHeight w:val="230"/>
        </w:trPr>
        <w:tc>
          <w:tcPr>
            <w:tcW w:w="820" w:type="dxa"/>
            <w:vAlign w:val="bottom"/>
          </w:tcPr>
          <w:p>
            <w:pPr>
              <w:ind w:left="20"/>
              <w:spacing w:after="0"/>
              <w:rPr>
                <w:rFonts w:ascii="Arial" w:cs="Arial" w:eastAsia="Arial" w:hAnsi="Arial"/>
                <w:sz w:val="18"/>
                <w:szCs w:val="18"/>
                <w:color w:val="auto"/>
              </w:rPr>
            </w:pPr>
            <w:hyperlink w:anchor="page43">
              <w:r>
                <w:rPr>
                  <w:rFonts w:ascii="Arial" w:cs="Arial" w:eastAsia="Arial" w:hAnsi="Arial"/>
                  <w:sz w:val="18"/>
                  <w:szCs w:val="18"/>
                  <w:color w:val="auto"/>
                </w:rPr>
                <w:t>Item 3.</w:t>
              </w:r>
            </w:hyperlink>
          </w:p>
        </w:tc>
        <w:tc>
          <w:tcPr>
            <w:tcW w:w="8260" w:type="dxa"/>
            <w:vAlign w:val="bottom"/>
            <w:gridSpan w:val="3"/>
          </w:tcPr>
          <w:p>
            <w:pPr>
              <w:ind w:left="160"/>
              <w:spacing w:after="0"/>
              <w:rPr>
                <w:rFonts w:ascii="Arial" w:cs="Arial" w:eastAsia="Arial" w:hAnsi="Arial"/>
                <w:sz w:val="18"/>
                <w:szCs w:val="18"/>
                <w:u w:val="single" w:color="auto"/>
                <w:color w:val="3051F2"/>
              </w:rPr>
            </w:pPr>
            <w:hyperlink w:anchor="page43">
              <w:r>
                <w:rPr>
                  <w:rFonts w:ascii="Arial" w:cs="Arial" w:eastAsia="Arial" w:hAnsi="Arial"/>
                  <w:sz w:val="18"/>
                  <w:szCs w:val="18"/>
                  <w:u w:val="single" w:color="auto"/>
                  <w:color w:val="3051F2"/>
                </w:rPr>
                <w:t>Defaults Upon Senior Securities</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43">
              <w:r>
                <w:rPr>
                  <w:rFonts w:ascii="Arial" w:cs="Arial" w:eastAsia="Arial" w:hAnsi="Arial"/>
                  <w:sz w:val="16"/>
                  <w:szCs w:val="16"/>
                  <w:u w:val="single" w:color="auto"/>
                  <w:color w:val="3051F2"/>
                  <w:w w:val="89"/>
                </w:rPr>
                <w:t>42</w:t>
              </w:r>
            </w:hyperlink>
          </w:p>
        </w:tc>
      </w:tr>
      <w:tr>
        <w:trPr>
          <w:trHeight w:val="269"/>
        </w:trPr>
        <w:tc>
          <w:tcPr>
            <w:tcW w:w="820" w:type="dxa"/>
            <w:vAlign w:val="bottom"/>
          </w:tcPr>
          <w:p>
            <w:pPr>
              <w:ind w:left="20"/>
              <w:spacing w:after="0"/>
              <w:rPr>
                <w:sz w:val="20"/>
                <w:szCs w:val="20"/>
                <w:color w:val="auto"/>
              </w:rPr>
            </w:pPr>
            <w:r>
              <w:rPr>
                <w:rFonts w:ascii="Arial" w:cs="Arial" w:eastAsia="Arial" w:hAnsi="Arial"/>
                <w:sz w:val="18"/>
                <w:szCs w:val="18"/>
                <w:color w:val="auto"/>
              </w:rPr>
              <w:t>Item 4.</w:t>
            </w:r>
          </w:p>
        </w:tc>
        <w:tc>
          <w:tcPr>
            <w:tcW w:w="8260" w:type="dxa"/>
            <w:vAlign w:val="bottom"/>
            <w:gridSpan w:val="3"/>
          </w:tcPr>
          <w:p>
            <w:pPr>
              <w:ind w:left="160"/>
              <w:spacing w:after="0"/>
              <w:rPr>
                <w:rFonts w:ascii="Arial" w:cs="Arial" w:eastAsia="Arial" w:hAnsi="Arial"/>
                <w:sz w:val="18"/>
                <w:szCs w:val="18"/>
                <w:u w:val="single" w:color="auto"/>
                <w:color w:val="3051F2"/>
              </w:rPr>
            </w:pPr>
            <w:hyperlink w:anchor="page43">
              <w:r>
                <w:rPr>
                  <w:rFonts w:ascii="Arial" w:cs="Arial" w:eastAsia="Arial" w:hAnsi="Arial"/>
                  <w:sz w:val="18"/>
                  <w:szCs w:val="18"/>
                  <w:u w:val="single" w:color="auto"/>
                  <w:color w:val="3051F2"/>
                </w:rPr>
                <w:t>Mine Safety Disclosures</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43">
              <w:r>
                <w:rPr>
                  <w:rFonts w:ascii="Arial" w:cs="Arial" w:eastAsia="Arial" w:hAnsi="Arial"/>
                  <w:sz w:val="16"/>
                  <w:szCs w:val="16"/>
                  <w:u w:val="single" w:color="auto"/>
                  <w:color w:val="3051F2"/>
                  <w:w w:val="89"/>
                </w:rPr>
                <w:t>42</w:t>
              </w:r>
            </w:hyperlink>
          </w:p>
        </w:tc>
      </w:tr>
      <w:tr>
        <w:trPr>
          <w:trHeight w:val="230"/>
        </w:trPr>
        <w:tc>
          <w:tcPr>
            <w:tcW w:w="820" w:type="dxa"/>
            <w:vAlign w:val="bottom"/>
          </w:tcPr>
          <w:p>
            <w:pPr>
              <w:ind w:left="20"/>
              <w:spacing w:after="0"/>
              <w:rPr>
                <w:rFonts w:ascii="Arial" w:cs="Arial" w:eastAsia="Arial" w:hAnsi="Arial"/>
                <w:sz w:val="18"/>
                <w:szCs w:val="18"/>
                <w:color w:val="auto"/>
              </w:rPr>
            </w:pPr>
            <w:hyperlink w:anchor="page43">
              <w:r>
                <w:rPr>
                  <w:rFonts w:ascii="Arial" w:cs="Arial" w:eastAsia="Arial" w:hAnsi="Arial"/>
                  <w:sz w:val="18"/>
                  <w:szCs w:val="18"/>
                  <w:color w:val="auto"/>
                </w:rPr>
                <w:t>Item 5.</w:t>
              </w:r>
            </w:hyperlink>
          </w:p>
        </w:tc>
        <w:tc>
          <w:tcPr>
            <w:tcW w:w="8260" w:type="dxa"/>
            <w:vAlign w:val="bottom"/>
            <w:gridSpan w:val="3"/>
          </w:tcPr>
          <w:p>
            <w:pPr>
              <w:ind w:left="160"/>
              <w:spacing w:after="0"/>
              <w:rPr>
                <w:rFonts w:ascii="Arial" w:cs="Arial" w:eastAsia="Arial" w:hAnsi="Arial"/>
                <w:sz w:val="18"/>
                <w:szCs w:val="18"/>
                <w:u w:val="single" w:color="auto"/>
                <w:color w:val="3051F2"/>
              </w:rPr>
            </w:pPr>
            <w:hyperlink w:anchor="page43">
              <w:r>
                <w:rPr>
                  <w:rFonts w:ascii="Arial" w:cs="Arial" w:eastAsia="Arial" w:hAnsi="Arial"/>
                  <w:sz w:val="18"/>
                  <w:szCs w:val="18"/>
                  <w:u w:val="single" w:color="auto"/>
                  <w:color w:val="3051F2"/>
                </w:rPr>
                <w:t>Other Information</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43">
              <w:r>
                <w:rPr>
                  <w:rFonts w:ascii="Arial" w:cs="Arial" w:eastAsia="Arial" w:hAnsi="Arial"/>
                  <w:sz w:val="16"/>
                  <w:szCs w:val="16"/>
                  <w:u w:val="single" w:color="auto"/>
                  <w:color w:val="3051F2"/>
                  <w:w w:val="89"/>
                </w:rPr>
                <w:t>42</w:t>
              </w:r>
            </w:hyperlink>
          </w:p>
        </w:tc>
      </w:tr>
      <w:tr>
        <w:trPr>
          <w:trHeight w:val="230"/>
        </w:trPr>
        <w:tc>
          <w:tcPr>
            <w:tcW w:w="820" w:type="dxa"/>
            <w:vAlign w:val="bottom"/>
          </w:tcPr>
          <w:p>
            <w:pPr>
              <w:ind w:left="20"/>
              <w:spacing w:after="0"/>
              <w:rPr>
                <w:rFonts w:ascii="Arial" w:cs="Arial" w:eastAsia="Arial" w:hAnsi="Arial"/>
                <w:sz w:val="18"/>
                <w:szCs w:val="18"/>
                <w:color w:val="auto"/>
              </w:rPr>
            </w:pPr>
            <w:hyperlink w:anchor="page43">
              <w:r>
                <w:rPr>
                  <w:rFonts w:ascii="Arial" w:cs="Arial" w:eastAsia="Arial" w:hAnsi="Arial"/>
                  <w:sz w:val="18"/>
                  <w:szCs w:val="18"/>
                  <w:color w:val="auto"/>
                </w:rPr>
                <w:t>Item 6.</w:t>
              </w:r>
            </w:hyperlink>
          </w:p>
        </w:tc>
        <w:tc>
          <w:tcPr>
            <w:tcW w:w="8260" w:type="dxa"/>
            <w:vAlign w:val="bottom"/>
            <w:gridSpan w:val="3"/>
          </w:tcPr>
          <w:p>
            <w:pPr>
              <w:ind w:left="160"/>
              <w:spacing w:after="0"/>
              <w:rPr>
                <w:rFonts w:ascii="Arial" w:cs="Arial" w:eastAsia="Arial" w:hAnsi="Arial"/>
                <w:sz w:val="18"/>
                <w:szCs w:val="18"/>
                <w:u w:val="single" w:color="auto"/>
                <w:color w:val="3051F2"/>
              </w:rPr>
            </w:pPr>
            <w:hyperlink w:anchor="page43">
              <w:r>
                <w:rPr>
                  <w:rFonts w:ascii="Arial" w:cs="Arial" w:eastAsia="Arial" w:hAnsi="Arial"/>
                  <w:sz w:val="18"/>
                  <w:szCs w:val="18"/>
                  <w:u w:val="single" w:color="auto"/>
                  <w:color w:val="3051F2"/>
                </w:rPr>
                <w:t>Exhibits</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43">
              <w:r>
                <w:rPr>
                  <w:rFonts w:ascii="Arial" w:cs="Arial" w:eastAsia="Arial" w:hAnsi="Arial"/>
                  <w:sz w:val="16"/>
                  <w:szCs w:val="16"/>
                  <w:u w:val="single" w:color="auto"/>
                  <w:color w:val="3051F2"/>
                  <w:w w:val="89"/>
                </w:rPr>
                <w:t>43</w:t>
              </w:r>
            </w:hyperlink>
          </w:p>
        </w:tc>
      </w:tr>
      <w:tr>
        <w:trPr>
          <w:trHeight w:val="230"/>
        </w:trPr>
        <w:tc>
          <w:tcPr>
            <w:tcW w:w="820" w:type="dxa"/>
            <w:vAlign w:val="bottom"/>
          </w:tcPr>
          <w:p>
            <w:pPr>
              <w:spacing w:after="0"/>
              <w:rPr>
                <w:sz w:val="20"/>
                <w:szCs w:val="20"/>
                <w:color w:val="auto"/>
              </w:rPr>
            </w:pPr>
          </w:p>
        </w:tc>
        <w:tc>
          <w:tcPr>
            <w:tcW w:w="8260" w:type="dxa"/>
            <w:vAlign w:val="bottom"/>
            <w:gridSpan w:val="3"/>
          </w:tcPr>
          <w:p>
            <w:pPr>
              <w:ind w:left="160"/>
              <w:spacing w:after="0"/>
              <w:rPr>
                <w:rFonts w:ascii="Arial" w:cs="Arial" w:eastAsia="Arial" w:hAnsi="Arial"/>
                <w:sz w:val="18"/>
                <w:szCs w:val="18"/>
                <w:u w:val="single" w:color="auto"/>
                <w:color w:val="0E32E1"/>
              </w:rPr>
            </w:pPr>
            <w:hyperlink w:anchor="page44">
              <w:r>
                <w:rPr>
                  <w:rFonts w:ascii="Arial" w:cs="Arial" w:eastAsia="Arial" w:hAnsi="Arial"/>
                  <w:sz w:val="18"/>
                  <w:szCs w:val="18"/>
                  <w:u w:val="single" w:color="auto"/>
                  <w:color w:val="0E32E1"/>
                </w:rPr>
                <w:t>Signatures</w:t>
              </w:r>
            </w:hyperlink>
          </w:p>
        </w:tc>
        <w:tc>
          <w:tcPr>
            <w:tcW w:w="2160" w:type="dxa"/>
            <w:vAlign w:val="bottom"/>
          </w:tcPr>
          <w:p>
            <w:pPr>
              <w:jc w:val="center"/>
              <w:ind w:left="1359"/>
              <w:spacing w:after="0"/>
              <w:rPr>
                <w:rFonts w:ascii="Arial" w:cs="Arial" w:eastAsia="Arial" w:hAnsi="Arial"/>
                <w:sz w:val="16"/>
                <w:szCs w:val="16"/>
                <w:u w:val="single" w:color="auto"/>
                <w:color w:val="3051F2"/>
                <w:w w:val="89"/>
              </w:rPr>
            </w:pPr>
            <w:hyperlink w:anchor="page44">
              <w:r>
                <w:rPr>
                  <w:rFonts w:ascii="Arial" w:cs="Arial" w:eastAsia="Arial" w:hAnsi="Arial"/>
                  <w:sz w:val="16"/>
                  <w:szCs w:val="16"/>
                  <w:u w:val="single" w:color="auto"/>
                  <w:color w:val="3051F2"/>
                  <w:w w:val="89"/>
                </w:rPr>
                <w:t>44</w:t>
              </w:r>
            </w:hyperlink>
          </w:p>
        </w:tc>
      </w:tr>
      <w:tr>
        <w:trPr>
          <w:trHeight w:val="891"/>
        </w:trPr>
        <w:tc>
          <w:tcPr>
            <w:tcW w:w="820" w:type="dxa"/>
            <w:vAlign w:val="bottom"/>
          </w:tcPr>
          <w:p>
            <w:pPr>
              <w:spacing w:after="0"/>
              <w:rPr>
                <w:sz w:val="24"/>
                <w:szCs w:val="24"/>
                <w:color w:val="auto"/>
              </w:rPr>
            </w:pPr>
          </w:p>
        </w:tc>
        <w:tc>
          <w:tcPr>
            <w:tcW w:w="5880" w:type="dxa"/>
            <w:vAlign w:val="bottom"/>
          </w:tcPr>
          <w:p>
            <w:pPr>
              <w:ind w:left="476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58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i w:val="1"/>
          <w:iCs w:val="1"/>
          <w:color w:val="231F20"/>
        </w:rPr>
        <w:t>Certain statements contained in this Quarterly Report on Form 10-Q (“Form 10-Q” or “report”) and the documents incorporated by reference herein constitute “forward-looking statements” within the meaning of the Private Securities Litigation Reform Act of 1995. All statements contained in this report and the documents incorporated by reference herein other than statements of historical fact, including statements regarding our future operating results and financial position, our business strategy and plans, business trends, and our objectives for future operations, may constitute forward-looking statements. Words such as “anticipate,” “believe,” “estimate,” “expect,” “intend,” “may,” “outlook,” “plan,” “project,” “seek,” “will,” and similar expressions, are intended to identify such forward-looking statements. We have based these forward-looking statements on our current expectations and projections about future events and trends that we believe may affect our financial condition, operating results, business strategy, short-term and long-term business operations and objectives, and financial needs. These forward-looking statements are subject to a number of risks, uncertainties and assumptions, including those described under the headings “Item 1A. Risk Factors,” and “Item 2. Management’s Discussion and Analysis of Financial Condition and Results of Operations” in this report or as described in the other documents and reports we file with the U.S. Securities and Exchange Commission (the “SEC”). We encourage you to read this report and our other filings with the SEC carefully.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by the forward-looking statements.</w:t>
      </w:r>
    </w:p>
    <w:p>
      <w:pPr>
        <w:spacing w:after="0" w:line="5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i w:val="1"/>
          <w:iCs w:val="1"/>
          <w:color w:val="231F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activities, performance or achievements. These forward-looking statements should not be relied upon as representing our views as of any date subsequent to the date of this report. We do not undertake any duty to update any of these forward-looking statements after the date of this report or to conform these statements to actual results or revised expectations.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231F20"/>
        </w:rPr>
        <w:t>As used in this report, references to “Grocery Outlet,”“the Company,”“registrant,”“we,”“us” and “our,” refer to Grocery Outlet Holding Corp.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and its consolidated subsidiaries unless otherwise indicated or the context requires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use our website, www.groceryoutlet.com, as a channel of distribution of Company information. Financial and other important information about us is routinely accessible through and posted on our website. Accordingly, investors should monitor our website, in addition to following our press releases, SEC filings and public conference calls and webcasts. The contents of our website and information accessible through our website is not, however, a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92"/>
        </w:trPr>
        <w:tc>
          <w:tcPr>
            <w:tcW w:w="8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79,803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28,101</w:t>
            </w:r>
          </w:p>
        </w:tc>
        <w:tc>
          <w:tcPr>
            <w:tcW w:w="0" w:type="dxa"/>
            <w:vAlign w:val="bottom"/>
          </w:tcPr>
          <w:p>
            <w:pPr>
              <w:spacing w:after="0"/>
              <w:rPr>
                <w:sz w:val="1"/>
                <w:szCs w:val="1"/>
                <w:color w:val="auto"/>
              </w:rPr>
            </w:pPr>
          </w:p>
        </w:tc>
      </w:tr>
      <w:tr>
        <w:trPr>
          <w:trHeight w:val="176"/>
        </w:trPr>
        <w:tc>
          <w:tcPr>
            <w:tcW w:w="8160" w:type="dxa"/>
            <w:vAlign w:val="bottom"/>
          </w:tcPr>
          <w:p>
            <w:pPr>
              <w:ind w:left="140"/>
              <w:spacing w:after="0" w:line="176" w:lineRule="exact"/>
              <w:rPr>
                <w:sz w:val="20"/>
                <w:szCs w:val="20"/>
                <w:color w:val="auto"/>
              </w:rPr>
            </w:pPr>
            <w:r>
              <w:rPr>
                <w:rFonts w:ascii="Arial" w:cs="Arial" w:eastAsia="Arial" w:hAnsi="Arial"/>
                <w:sz w:val="18"/>
                <w:szCs w:val="18"/>
                <w:color w:val="auto"/>
                <w:w w:val="92"/>
              </w:rPr>
              <w:t>Independent operator receivables and current portion of independent operator notes, net of allowance $1,114</w:t>
            </w:r>
          </w:p>
        </w:tc>
        <w:tc>
          <w:tcPr>
            <w:tcW w:w="300" w:type="dxa"/>
            <w:vAlign w:val="bottom"/>
          </w:tcPr>
          <w:p>
            <w:pPr>
              <w:spacing w:after="0"/>
              <w:rPr>
                <w:sz w:val="15"/>
                <w:szCs w:val="15"/>
                <w:color w:val="auto"/>
              </w:rPr>
            </w:pPr>
          </w:p>
        </w:tc>
        <w:tc>
          <w:tcPr>
            <w:tcW w:w="1180" w:type="dxa"/>
            <w:vAlign w:val="bottom"/>
            <w:vMerge w:val="restart"/>
          </w:tcPr>
          <w:p>
            <w:pPr>
              <w:jc w:val="right"/>
              <w:ind w:right="51"/>
              <w:spacing w:after="0"/>
              <w:rPr>
                <w:sz w:val="20"/>
                <w:szCs w:val="20"/>
                <w:color w:val="auto"/>
              </w:rPr>
            </w:pPr>
            <w:r>
              <w:rPr>
                <w:rFonts w:ascii="Arial" w:cs="Arial" w:eastAsia="Arial" w:hAnsi="Arial"/>
                <w:sz w:val="18"/>
                <w:szCs w:val="18"/>
                <w:color w:val="auto"/>
              </w:rPr>
              <w:t>6,783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right"/>
              <w:ind w:right="71"/>
              <w:spacing w:after="0"/>
              <w:rPr>
                <w:sz w:val="20"/>
                <w:szCs w:val="20"/>
                <w:color w:val="auto"/>
              </w:rPr>
            </w:pPr>
            <w:r>
              <w:rPr>
                <w:rFonts w:ascii="Arial" w:cs="Arial" w:eastAsia="Arial" w:hAnsi="Arial"/>
                <w:sz w:val="18"/>
                <w:szCs w:val="18"/>
                <w:color w:val="auto"/>
              </w:rPr>
              <w:t>7,003</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and $1,283</w:t>
            </w:r>
          </w:p>
        </w:tc>
        <w:tc>
          <w:tcPr>
            <w:tcW w:w="3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accounts receivable, net of allowance $44 and $19</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6,460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43"/>
        </w:trPr>
        <w:tc>
          <w:tcPr>
            <w:tcW w:w="8160" w:type="dxa"/>
            <w:vAlign w:val="bottom"/>
          </w:tcPr>
          <w:p>
            <w:pPr>
              <w:ind w:left="120"/>
              <w:spacing w:after="0"/>
              <w:rPr>
                <w:sz w:val="20"/>
                <w:szCs w:val="20"/>
                <w:color w:val="auto"/>
              </w:rPr>
            </w:pPr>
            <w:r>
              <w:rPr>
                <w:rFonts w:ascii="Arial" w:cs="Arial" w:eastAsia="Arial" w:hAnsi="Arial"/>
                <w:sz w:val="18"/>
                <w:szCs w:val="18"/>
                <w:color w:val="auto"/>
              </w:rPr>
              <w:t>Merchandise inventories</w:t>
            </w:r>
          </w:p>
        </w:tc>
        <w:tc>
          <w:tcPr>
            <w:tcW w:w="3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229,273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219,420</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12,514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13,453</w:t>
            </w:r>
          </w:p>
        </w:tc>
        <w:tc>
          <w:tcPr>
            <w:tcW w:w="0" w:type="dxa"/>
            <w:vAlign w:val="bottom"/>
          </w:tcPr>
          <w:p>
            <w:pPr>
              <w:spacing w:after="0"/>
              <w:rPr>
                <w:sz w:val="1"/>
                <w:szCs w:val="1"/>
                <w:color w:val="auto"/>
              </w:rPr>
            </w:pPr>
          </w:p>
        </w:tc>
      </w:tr>
      <w:tr>
        <w:trPr>
          <w:trHeight w:val="237"/>
        </w:trPr>
        <w:tc>
          <w:tcPr>
            <w:tcW w:w="81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334,833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270,826</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operator notes, net of allowance $8,064 and $9,088</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24,660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20,331</w:t>
            </w: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378,076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356,614</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784,224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734,327</w:t>
            </w: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46,966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47,792</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747,943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747,943</w:t>
            </w: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7,591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7,696</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2,324,293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2,185,529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120"/>
              <w:spacing w:after="0"/>
              <w:rPr>
                <w:sz w:val="20"/>
                <w:szCs w:val="20"/>
                <w:color w:val="auto"/>
              </w:rPr>
            </w:pPr>
            <w:r>
              <w:rPr>
                <w:rFonts w:ascii="Arial" w:cs="Arial" w:eastAsia="Arial" w:hAnsi="Arial"/>
                <w:sz w:val="18"/>
                <w:szCs w:val="18"/>
                <w:color w:val="auto"/>
              </w:rPr>
              <w:t>Trade 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104,704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119,217</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32,669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31,363</w:t>
            </w:r>
          </w:p>
        </w:tc>
        <w:tc>
          <w:tcPr>
            <w:tcW w:w="0" w:type="dxa"/>
            <w:vAlign w:val="bottom"/>
          </w:tcPr>
          <w:p>
            <w:pPr>
              <w:spacing w:after="0"/>
              <w:rPr>
                <w:sz w:val="1"/>
                <w:szCs w:val="1"/>
                <w:color w:val="auto"/>
              </w:rPr>
            </w:pPr>
          </w:p>
        </w:tc>
      </w:tr>
      <w:tr>
        <w:trPr>
          <w:trHeight w:val="243"/>
        </w:trPr>
        <w:tc>
          <w:tcPr>
            <w:tcW w:w="8160" w:type="dxa"/>
            <w:vAlign w:val="bottom"/>
          </w:tcPr>
          <w:p>
            <w:pPr>
              <w:ind w:left="12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16,497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14,915</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8160" w:type="dxa"/>
            <w:vAlign w:val="bottom"/>
          </w:tcPr>
          <w:p>
            <w:pPr>
              <w:ind w:left="120"/>
              <w:spacing w:after="0"/>
              <w:rPr>
                <w:sz w:val="20"/>
                <w:szCs w:val="20"/>
                <w:color w:val="auto"/>
              </w:rPr>
            </w:pPr>
            <w:r>
              <w:rPr>
                <w:rFonts w:ascii="Arial" w:cs="Arial" w:eastAsia="Arial" w:hAnsi="Arial"/>
                <w:sz w:val="18"/>
                <w:szCs w:val="18"/>
                <w:color w:val="auto"/>
              </w:rPr>
              <w:t>Current lease liabilities</w:t>
            </w:r>
          </w:p>
        </w:tc>
        <w:tc>
          <w:tcPr>
            <w:tcW w:w="3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43,383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38,245</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and other taxes payable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10,543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37"/>
        </w:trPr>
        <w:tc>
          <w:tcPr>
            <w:tcW w:w="81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207,908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208,627</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debt,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448,048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447,743</w:t>
            </w:r>
          </w:p>
        </w:tc>
        <w:tc>
          <w:tcPr>
            <w:tcW w:w="0" w:type="dxa"/>
            <w:vAlign w:val="bottom"/>
          </w:tcPr>
          <w:p>
            <w:pPr>
              <w:spacing w:after="0"/>
              <w:rPr>
                <w:sz w:val="1"/>
                <w:szCs w:val="1"/>
                <w:color w:val="auto"/>
              </w:rPr>
            </w:pPr>
          </w:p>
        </w:tc>
      </w:tr>
      <w:tr>
        <w:trPr>
          <w:trHeight w:val="243"/>
        </w:trPr>
        <w:tc>
          <w:tcPr>
            <w:tcW w:w="816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11,236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16,020</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lease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823,700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767,755</w:t>
            </w:r>
          </w:p>
        </w:tc>
        <w:tc>
          <w:tcPr>
            <w:tcW w:w="0" w:type="dxa"/>
            <w:vAlign w:val="bottom"/>
          </w:tcPr>
          <w:p>
            <w:pPr>
              <w:spacing w:after="0"/>
              <w:rPr>
                <w:sz w:val="1"/>
                <w:szCs w:val="1"/>
                <w:color w:val="auto"/>
              </w:rPr>
            </w:pPr>
          </w:p>
        </w:tc>
      </w:tr>
      <w:tr>
        <w:trPr>
          <w:trHeight w:val="237"/>
        </w:trPr>
        <w:tc>
          <w:tcPr>
            <w:tcW w:w="816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1,490,892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1,440,145</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8)</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1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Voting common stock, par value $0.001 per share, 500,000,000 shares authorized; 91,418,273 and</w:t>
            </w:r>
          </w:p>
        </w:tc>
        <w:tc>
          <w:tcPr>
            <w:tcW w:w="3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89,005,062 shares issued and outstanding, respectively</w:t>
            </w:r>
          </w:p>
        </w:tc>
        <w:tc>
          <w:tcPr>
            <w:tcW w:w="3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tcPr>
          <w:p>
            <w:pPr>
              <w:ind w:left="220"/>
              <w:spacing w:after="0" w:line="176" w:lineRule="exact"/>
              <w:rPr>
                <w:sz w:val="20"/>
                <w:szCs w:val="20"/>
                <w:color w:val="auto"/>
              </w:rPr>
            </w:pPr>
            <w:r>
              <w:rPr>
                <w:rFonts w:ascii="Arial" w:cs="Arial" w:eastAsia="Arial" w:hAnsi="Arial"/>
                <w:sz w:val="18"/>
                <w:szCs w:val="18"/>
                <w:color w:val="auto"/>
                <w:w w:val="93"/>
              </w:rPr>
              <w:t>Series A preferred stock, par value $0.001 per share, 50,000,000 shares authorized; no shares issued and</w:t>
            </w:r>
          </w:p>
        </w:tc>
        <w:tc>
          <w:tcPr>
            <w:tcW w:w="300" w:type="dxa"/>
            <w:vAlign w:val="bottom"/>
          </w:tcPr>
          <w:p>
            <w:pPr>
              <w:spacing w:after="0"/>
              <w:rPr>
                <w:sz w:val="15"/>
                <w:szCs w:val="15"/>
                <w:color w:val="auto"/>
              </w:rPr>
            </w:pPr>
          </w:p>
        </w:tc>
        <w:tc>
          <w:tcPr>
            <w:tcW w:w="13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6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tcPr>
          <w:p>
            <w:pPr>
              <w:ind w:left="220"/>
              <w:spacing w:after="0"/>
              <w:rPr>
                <w:sz w:val="20"/>
                <w:szCs w:val="20"/>
                <w:color w:val="auto"/>
              </w:rPr>
            </w:pPr>
            <w:r>
              <w:rPr>
                <w:rFonts w:ascii="Arial" w:cs="Arial" w:eastAsia="Arial" w:hAnsi="Arial"/>
                <w:sz w:val="18"/>
                <w:szCs w:val="18"/>
                <w:color w:val="auto"/>
              </w:rPr>
              <w:t>outstanding</w:t>
            </w:r>
          </w:p>
        </w:tc>
        <w:tc>
          <w:tcPr>
            <w:tcW w:w="3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762,883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717,282</w:t>
            </w:r>
          </w:p>
        </w:tc>
        <w:tc>
          <w:tcPr>
            <w:tcW w:w="0" w:type="dxa"/>
            <w:vAlign w:val="bottom"/>
          </w:tcPr>
          <w:p>
            <w:pPr>
              <w:spacing w:after="0"/>
              <w:rPr>
                <w:sz w:val="1"/>
                <w:szCs w:val="1"/>
                <w:color w:val="auto"/>
              </w:rPr>
            </w:pPr>
          </w:p>
        </w:tc>
      </w:tr>
      <w:tr>
        <w:trPr>
          <w:trHeight w:val="243"/>
        </w:trPr>
        <w:tc>
          <w:tcPr>
            <w:tcW w:w="816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70,427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28,013</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833,401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745,384</w:t>
            </w:r>
          </w:p>
        </w:tc>
        <w:tc>
          <w:tcPr>
            <w:tcW w:w="0" w:type="dxa"/>
            <w:vAlign w:val="bottom"/>
          </w:tcPr>
          <w:p>
            <w:pPr>
              <w:spacing w:after="0"/>
              <w:rPr>
                <w:sz w:val="1"/>
                <w:szCs w:val="1"/>
                <w:color w:val="auto"/>
              </w:rPr>
            </w:pPr>
          </w:p>
        </w:tc>
      </w:tr>
      <w:tr>
        <w:trPr>
          <w:trHeight w:val="264"/>
        </w:trPr>
        <w:tc>
          <w:tcPr>
            <w:tcW w:w="8160" w:type="dxa"/>
            <w:vAlign w:val="bottom"/>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2,324,293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2,185,529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1020" w:type="dxa"/>
            <w:vAlign w:val="bottom"/>
            <w:tcBorders>
              <w:bottom w:val="single" w:sz="8" w:color="auto"/>
            </w:tcBorders>
          </w:tcPr>
          <w:p>
            <w:pPr>
              <w:spacing w:after="0"/>
              <w:rPr>
                <w:sz w:val="16"/>
                <w:szCs w:val="16"/>
                <w:color w:val="auto"/>
              </w:rPr>
            </w:pPr>
          </w:p>
        </w:tc>
      </w:tr>
      <w:tr>
        <w:trPr>
          <w:trHeight w:val="152"/>
        </w:trPr>
        <w:tc>
          <w:tcPr>
            <w:tcW w:w="4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48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460" w:type="dxa"/>
            <w:vAlign w:val="bottom"/>
          </w:tcPr>
          <w:p>
            <w:pPr>
              <w:spacing w:after="0"/>
              <w:rPr>
                <w:sz w:val="13"/>
                <w:szCs w:val="13"/>
                <w:color w:val="auto"/>
              </w:rPr>
            </w:pPr>
          </w:p>
        </w:tc>
        <w:tc>
          <w:tcPr>
            <w:tcW w:w="1020" w:type="dxa"/>
            <w:vAlign w:val="bottom"/>
          </w:tcPr>
          <w:p>
            <w:pPr>
              <w:jc w:val="right"/>
              <w:ind w:right="392"/>
              <w:spacing w:after="0" w:line="153" w:lineRule="exact"/>
              <w:rPr>
                <w:sz w:val="20"/>
                <w:szCs w:val="20"/>
                <w:color w:val="auto"/>
              </w:rPr>
            </w:pPr>
            <w:r>
              <w:rPr>
                <w:rFonts w:ascii="Arial" w:cs="Arial" w:eastAsia="Arial" w:hAnsi="Arial"/>
                <w:sz w:val="14"/>
                <w:szCs w:val="14"/>
                <w:b w:val="1"/>
                <w:bCs w:val="1"/>
                <w:color w:val="auto"/>
                <w:w w:val="92"/>
              </w:rPr>
              <w:t>June 29,</w:t>
            </w:r>
          </w:p>
        </w:tc>
      </w:tr>
      <w:tr>
        <w:trPr>
          <w:trHeight w:val="192"/>
        </w:trPr>
        <w:tc>
          <w:tcPr>
            <w:tcW w:w="4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24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803,429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645,289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1,563,737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1,251,560</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549,678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446,569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1,072,960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865,823</w:t>
            </w:r>
          </w:p>
        </w:tc>
      </w:tr>
      <w:tr>
        <w:trPr>
          <w:trHeight w:val="27"/>
        </w:trPr>
        <w:tc>
          <w:tcPr>
            <w:tcW w:w="4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253,751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198,720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490,777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385,737</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198,002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157,641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384,933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310,495</w:t>
            </w:r>
          </w:p>
        </w:tc>
      </w:tr>
      <w:tr>
        <w:trPr>
          <w:trHeight w:val="243"/>
        </w:trPr>
        <w:tc>
          <w:tcPr>
            <w:tcW w:w="49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13,215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12,594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26,160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24,890</w:t>
            </w: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10,175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22,750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30,452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22,961</w:t>
            </w:r>
          </w:p>
        </w:tc>
      </w:tr>
      <w:tr>
        <w:trPr>
          <w:trHeight w:val="237"/>
        </w:trPr>
        <w:tc>
          <w:tcPr>
            <w:tcW w:w="49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221,392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192,985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441,545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358,346</w:t>
            </w:r>
          </w:p>
        </w:tc>
      </w:tr>
      <w:tr>
        <w:trPr>
          <w:trHeight w:val="27"/>
        </w:trPr>
        <w:tc>
          <w:tcPr>
            <w:tcW w:w="4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32,359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49,232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27,391</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15,452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11,104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31,890</w:t>
            </w:r>
          </w:p>
        </w:tc>
      </w:tr>
      <w:tr>
        <w:trPr>
          <w:trHeight w:val="243"/>
        </w:trPr>
        <w:tc>
          <w:tcPr>
            <w:tcW w:w="4980" w:type="dxa"/>
            <w:vAlign w:val="bottom"/>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30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5,162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5,162</w:t>
            </w:r>
          </w:p>
        </w:tc>
      </w:tr>
      <w:tr>
        <w:trPr>
          <w:trHeight w:val="27"/>
        </w:trPr>
        <w:tc>
          <w:tcPr>
            <w:tcW w:w="4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5,270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20,614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11,302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37,052</w:t>
            </w: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27,089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(14,879)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37,930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(9,661)</w:t>
            </w: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(2,803)</w:t>
            </w:r>
          </w:p>
        </w:tc>
      </w:tr>
      <w:tr>
        <w:trPr>
          <w:trHeight w:val="264"/>
        </w:trPr>
        <w:tc>
          <w:tcPr>
            <w:tcW w:w="4980" w:type="dxa"/>
            <w:vAlign w:val="bottom"/>
          </w:tcPr>
          <w:p>
            <w:pPr>
              <w:ind w:left="20"/>
              <w:spacing w:after="0"/>
              <w:rPr>
                <w:sz w:val="20"/>
                <w:szCs w:val="20"/>
                <w:color w:val="auto"/>
              </w:rPr>
            </w:pPr>
            <w:r>
              <w:rPr>
                <w:rFonts w:ascii="Arial" w:cs="Arial" w:eastAsia="Arial" w:hAnsi="Arial"/>
                <w:sz w:val="18"/>
                <w:szCs w:val="18"/>
                <w:color w:val="auto"/>
              </w:rPr>
              <w:t>Net income (loss) and comprehensive income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29,333</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(10,632)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41,975</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(6,858)</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share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(0.10)</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(0.10)</w:t>
            </w: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90,800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70,475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90,152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69,494</w:t>
            </w: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98,618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70,475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97,333</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69,494</w:t>
            </w:r>
          </w:p>
        </w:tc>
      </w:tr>
      <w:tr>
        <w:trPr>
          <w:trHeight w:val="27"/>
        </w:trPr>
        <w:tc>
          <w:tcPr>
            <w:tcW w:w="49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Voting Common</w:t>
            </w: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Nonvoting Common</w:t>
            </w:r>
          </w:p>
        </w:tc>
        <w:tc>
          <w:tcPr>
            <w:tcW w:w="80" w:type="dxa"/>
            <w:vAlign w:val="bottom"/>
          </w:tcPr>
          <w:p>
            <w:pPr>
              <w:spacing w:after="0"/>
              <w:rPr>
                <w:sz w:val="16"/>
                <w:szCs w:val="16"/>
                <w:color w:val="auto"/>
              </w:rPr>
            </w:pPr>
          </w:p>
        </w:tc>
        <w:tc>
          <w:tcPr>
            <w:tcW w:w="10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9"/>
              </w:rPr>
              <w:t>Preferred</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Retained</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Stockholders’</w:t>
            </w:r>
          </w:p>
        </w:tc>
      </w:tr>
      <w:tr>
        <w:trPr>
          <w:trHeight w:val="196"/>
        </w:trPr>
        <w:tc>
          <w:tcPr>
            <w:tcW w:w="30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Paid-In Capital</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Equity</w:t>
            </w: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28, 2019</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88"/>
              </w:rPr>
              <w:t>89,005,062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89</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717,282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28,013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8"/>
              </w:rPr>
              <w:t>745,384</w:t>
            </w:r>
          </w:p>
        </w:tc>
      </w:tr>
      <w:tr>
        <w:trPr>
          <w:trHeight w:val="229"/>
        </w:trPr>
        <w:tc>
          <w:tcPr>
            <w:tcW w:w="3000" w:type="dxa"/>
            <w:vAlign w:val="bottom"/>
          </w:tcPr>
          <w:p>
            <w:pPr>
              <w:ind w:left="120"/>
              <w:spacing w:after="0"/>
              <w:rPr>
                <w:sz w:val="20"/>
                <w:szCs w:val="20"/>
                <w:color w:val="auto"/>
              </w:rPr>
            </w:pPr>
            <w:r>
              <w:rPr>
                <w:rFonts w:ascii="Arial" w:cs="Arial" w:eastAsia="Arial" w:hAnsi="Arial"/>
                <w:sz w:val="18"/>
                <w:szCs w:val="18"/>
                <w:color w:val="auto"/>
              </w:rPr>
              <w:t>Cumulative effect of accounting</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000" w:type="dxa"/>
            <w:vAlign w:val="bottom"/>
          </w:tcPr>
          <w:p>
            <w:pPr>
              <w:ind w:left="120"/>
              <w:spacing w:after="0"/>
              <w:rPr>
                <w:sz w:val="20"/>
                <w:szCs w:val="20"/>
                <w:color w:val="auto"/>
              </w:rPr>
            </w:pPr>
            <w:r>
              <w:rPr>
                <w:rFonts w:ascii="Arial" w:cs="Arial" w:eastAsia="Arial" w:hAnsi="Arial"/>
                <w:sz w:val="18"/>
                <w:szCs w:val="18"/>
                <w:color w:val="auto"/>
              </w:rPr>
              <w:t>change</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439</w:t>
            </w:r>
          </w:p>
        </w:tc>
      </w:tr>
      <w:tr>
        <w:trPr>
          <w:trHeight w:val="27"/>
        </w:trPr>
        <w:tc>
          <w:tcPr>
            <w:tcW w:w="3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Exercise and vesting of share-based</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awards</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902,132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6,032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6,033</w:t>
            </w:r>
          </w:p>
        </w:tc>
      </w:tr>
      <w:tr>
        <w:trPr>
          <w:trHeight w:val="243"/>
        </w:trPr>
        <w:tc>
          <w:tcPr>
            <w:tcW w:w="3000" w:type="dxa"/>
            <w:vAlign w:val="bottom"/>
          </w:tcPr>
          <w:p>
            <w:pPr>
              <w:ind w:left="120"/>
              <w:spacing w:after="0"/>
              <w:rPr>
                <w:sz w:val="20"/>
                <w:szCs w:val="20"/>
                <w:color w:val="auto"/>
              </w:rPr>
            </w:pPr>
            <w:r>
              <w:rPr>
                <w:rFonts w:ascii="Arial" w:cs="Arial" w:eastAsia="Arial" w:hAnsi="Arial"/>
                <w:sz w:val="18"/>
                <w:szCs w:val="18"/>
                <w:color w:val="auto"/>
                <w:w w:val="97"/>
              </w:rPr>
              <w:t>Share-based compensation expense</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20,277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20,277</w:t>
            </w:r>
          </w:p>
        </w:tc>
      </w:tr>
      <w:tr>
        <w:trPr>
          <w:trHeight w:val="27"/>
        </w:trPr>
        <w:tc>
          <w:tcPr>
            <w:tcW w:w="3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r>
      <w:tr>
        <w:trPr>
          <w:trHeight w:val="229"/>
        </w:trPr>
        <w:tc>
          <w:tcPr>
            <w:tcW w:w="3000" w:type="dxa"/>
            <w:vAlign w:val="bottom"/>
          </w:tcPr>
          <w:p>
            <w:pPr>
              <w:ind w:left="120"/>
              <w:spacing w:after="0"/>
              <w:rPr>
                <w:sz w:val="20"/>
                <w:szCs w:val="20"/>
                <w:color w:val="auto"/>
              </w:rPr>
            </w:pPr>
            <w:r>
              <w:rPr>
                <w:rFonts w:ascii="Arial" w:cs="Arial" w:eastAsia="Arial" w:hAnsi="Arial"/>
                <w:sz w:val="18"/>
                <w:szCs w:val="18"/>
                <w:color w:val="auto"/>
              </w:rPr>
              <w:t>Net income and comprehensive</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000" w:type="dxa"/>
            <w:vAlign w:val="bottom"/>
          </w:tcPr>
          <w:p>
            <w:pPr>
              <w:ind w:left="120"/>
              <w:spacing w:after="0"/>
              <w:rPr>
                <w:sz w:val="20"/>
                <w:szCs w:val="20"/>
                <w:color w:val="auto"/>
              </w:rPr>
            </w:pPr>
            <w:r>
              <w:rPr>
                <w:rFonts w:ascii="Arial" w:cs="Arial" w:eastAsia="Arial" w:hAnsi="Arial"/>
                <w:sz w:val="18"/>
                <w:szCs w:val="18"/>
                <w:color w:val="auto"/>
              </w:rPr>
              <w:t>income</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12,642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12,642</w:t>
            </w:r>
          </w:p>
        </w:tc>
      </w:tr>
      <w:tr>
        <w:trPr>
          <w:trHeight w:val="27"/>
        </w:trPr>
        <w:tc>
          <w:tcPr>
            <w:tcW w:w="30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28, 2020</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88"/>
              </w:rPr>
              <w:t>89,907,194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90</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743,444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41,094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8"/>
              </w:rPr>
              <w:t>784,628</w:t>
            </w:r>
          </w:p>
        </w:tc>
      </w:tr>
      <w:tr>
        <w:trPr>
          <w:trHeight w:val="229"/>
        </w:trPr>
        <w:tc>
          <w:tcPr>
            <w:tcW w:w="3000" w:type="dxa"/>
            <w:vAlign w:val="bottom"/>
          </w:tcPr>
          <w:p>
            <w:pPr>
              <w:ind w:left="120"/>
              <w:spacing w:after="0"/>
              <w:rPr>
                <w:sz w:val="20"/>
                <w:szCs w:val="20"/>
                <w:color w:val="auto"/>
              </w:rPr>
            </w:pPr>
            <w:r>
              <w:rPr>
                <w:rFonts w:ascii="Arial" w:cs="Arial" w:eastAsia="Arial" w:hAnsi="Arial"/>
                <w:sz w:val="18"/>
                <w:szCs w:val="18"/>
                <w:color w:val="auto"/>
                <w:w w:val="98"/>
              </w:rPr>
              <w:t>Exercise and vesting of share-based</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000" w:type="dxa"/>
            <w:vAlign w:val="bottom"/>
          </w:tcPr>
          <w:p>
            <w:pPr>
              <w:ind w:left="120"/>
              <w:spacing w:after="0"/>
              <w:rPr>
                <w:sz w:val="20"/>
                <w:szCs w:val="20"/>
                <w:color w:val="auto"/>
              </w:rPr>
            </w:pPr>
            <w:r>
              <w:rPr>
                <w:rFonts w:ascii="Arial" w:cs="Arial" w:eastAsia="Arial" w:hAnsi="Arial"/>
                <w:sz w:val="18"/>
                <w:szCs w:val="18"/>
                <w:color w:val="auto"/>
              </w:rPr>
              <w:t>awards</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w w:val="99"/>
              </w:rPr>
              <w:t>1,511,079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9,844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9,845</w:t>
            </w:r>
          </w:p>
        </w:tc>
      </w:tr>
      <w:tr>
        <w:trPr>
          <w:trHeight w:val="27"/>
        </w:trPr>
        <w:tc>
          <w:tcPr>
            <w:tcW w:w="3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paid on behalf of employees</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related</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7"/>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89"/>
              </w:rPr>
              <w:t>to net settlement of share-based awards</w:t>
            </w: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w:t>
            </w:r>
          </w:p>
        </w:tc>
      </w:tr>
      <w:tr>
        <w:trPr>
          <w:trHeight w:val="243"/>
        </w:trPr>
        <w:tc>
          <w:tcPr>
            <w:tcW w:w="3000" w:type="dxa"/>
            <w:vAlign w:val="bottom"/>
          </w:tcPr>
          <w:p>
            <w:pPr>
              <w:ind w:left="120"/>
              <w:spacing w:after="0"/>
              <w:rPr>
                <w:sz w:val="20"/>
                <w:szCs w:val="20"/>
                <w:color w:val="auto"/>
              </w:rPr>
            </w:pPr>
            <w:r>
              <w:rPr>
                <w:rFonts w:ascii="Arial" w:cs="Arial" w:eastAsia="Arial" w:hAnsi="Arial"/>
                <w:sz w:val="18"/>
                <w:szCs w:val="18"/>
                <w:color w:val="auto"/>
                <w:w w:val="97"/>
              </w:rPr>
              <w:t>Share-based compensation expense</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10,175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10,175</w:t>
            </w:r>
          </w:p>
        </w:tc>
      </w:tr>
      <w:tr>
        <w:trPr>
          <w:trHeight w:val="27"/>
        </w:trPr>
        <w:tc>
          <w:tcPr>
            <w:tcW w:w="3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r>
      <w:tr>
        <w:trPr>
          <w:trHeight w:val="229"/>
        </w:trPr>
        <w:tc>
          <w:tcPr>
            <w:tcW w:w="3000" w:type="dxa"/>
            <w:vAlign w:val="bottom"/>
          </w:tcPr>
          <w:p>
            <w:pPr>
              <w:ind w:left="120"/>
              <w:spacing w:after="0"/>
              <w:rPr>
                <w:sz w:val="20"/>
                <w:szCs w:val="20"/>
                <w:color w:val="auto"/>
              </w:rPr>
            </w:pPr>
            <w:r>
              <w:rPr>
                <w:rFonts w:ascii="Arial" w:cs="Arial" w:eastAsia="Arial" w:hAnsi="Arial"/>
                <w:sz w:val="18"/>
                <w:szCs w:val="18"/>
                <w:color w:val="auto"/>
              </w:rPr>
              <w:t>Net income and comprehensive</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000" w:type="dxa"/>
            <w:vAlign w:val="bottom"/>
          </w:tcPr>
          <w:p>
            <w:pPr>
              <w:ind w:left="120"/>
              <w:spacing w:after="0"/>
              <w:rPr>
                <w:sz w:val="20"/>
                <w:szCs w:val="20"/>
                <w:color w:val="auto"/>
              </w:rPr>
            </w:pPr>
            <w:r>
              <w:rPr>
                <w:rFonts w:ascii="Arial" w:cs="Arial" w:eastAsia="Arial" w:hAnsi="Arial"/>
                <w:sz w:val="18"/>
                <w:szCs w:val="18"/>
                <w:color w:val="auto"/>
              </w:rPr>
              <w:t>income</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29,333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29,333</w:t>
            </w:r>
          </w:p>
        </w:tc>
      </w:tr>
      <w:tr>
        <w:trPr>
          <w:trHeight w:val="27"/>
        </w:trPr>
        <w:tc>
          <w:tcPr>
            <w:tcW w:w="30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27, 2020</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88"/>
              </w:rPr>
              <w:t>91,418,273</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91</w:t>
            </w:r>
          </w:p>
        </w:tc>
        <w:tc>
          <w:tcPr>
            <w:tcW w:w="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762,883</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70,427</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8"/>
              </w:rPr>
              <w:t>833,401</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Voting Common</w:t>
            </w: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Nonvoting Common</w:t>
            </w:r>
          </w:p>
        </w:tc>
        <w:tc>
          <w:tcPr>
            <w:tcW w:w="80" w:type="dxa"/>
            <w:vAlign w:val="bottom"/>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Preferred</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Retained</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Stockholders’</w:t>
            </w:r>
          </w:p>
        </w:tc>
      </w:tr>
      <w:tr>
        <w:trPr>
          <w:trHeight w:val="196"/>
        </w:trPr>
        <w:tc>
          <w:tcPr>
            <w:tcW w:w="30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Paid-In Capital</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Equity</w:t>
            </w: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29, 2018</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88"/>
              </w:rPr>
              <w:t>67,435,288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67</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1,038,413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287,457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12,426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8"/>
              </w:rPr>
              <w:t>299,951</w:t>
            </w:r>
          </w:p>
        </w:tc>
      </w:tr>
      <w:tr>
        <w:trPr>
          <w:trHeight w:val="229"/>
        </w:trPr>
        <w:tc>
          <w:tcPr>
            <w:tcW w:w="3000" w:type="dxa"/>
            <w:vAlign w:val="bottom"/>
          </w:tcPr>
          <w:p>
            <w:pPr>
              <w:ind w:left="120"/>
              <w:spacing w:after="0"/>
              <w:rPr>
                <w:sz w:val="20"/>
                <w:szCs w:val="20"/>
                <w:color w:val="auto"/>
              </w:rPr>
            </w:pPr>
            <w:r>
              <w:rPr>
                <w:rFonts w:ascii="Arial" w:cs="Arial" w:eastAsia="Arial" w:hAnsi="Arial"/>
                <w:sz w:val="18"/>
                <w:szCs w:val="18"/>
                <w:color w:val="auto"/>
              </w:rPr>
              <w:t>Cumulative effect of accounting</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000" w:type="dxa"/>
            <w:vAlign w:val="bottom"/>
          </w:tcPr>
          <w:p>
            <w:pPr>
              <w:ind w:left="120"/>
              <w:spacing w:after="0"/>
              <w:rPr>
                <w:sz w:val="20"/>
                <w:szCs w:val="20"/>
                <w:color w:val="auto"/>
              </w:rPr>
            </w:pPr>
            <w:r>
              <w:rPr>
                <w:rFonts w:ascii="Arial" w:cs="Arial" w:eastAsia="Arial" w:hAnsi="Arial"/>
                <w:sz w:val="18"/>
                <w:szCs w:val="18"/>
                <w:color w:val="auto"/>
              </w:rPr>
              <w:t>change</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169</w:t>
            </w:r>
          </w:p>
        </w:tc>
      </w:tr>
      <w:tr>
        <w:trPr>
          <w:trHeight w:val="27"/>
        </w:trPr>
        <w:tc>
          <w:tcPr>
            <w:tcW w:w="3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Exercise and vesting of share-based</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awards</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42,438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3000" w:type="dxa"/>
            <w:vAlign w:val="bottom"/>
          </w:tcPr>
          <w:p>
            <w:pPr>
              <w:ind w:left="120"/>
              <w:spacing w:after="0"/>
              <w:rPr>
                <w:sz w:val="20"/>
                <w:szCs w:val="20"/>
                <w:color w:val="auto"/>
              </w:rPr>
            </w:pPr>
            <w:r>
              <w:rPr>
                <w:rFonts w:ascii="Arial" w:cs="Arial" w:eastAsia="Arial" w:hAnsi="Arial"/>
                <w:sz w:val="18"/>
                <w:szCs w:val="18"/>
                <w:color w:val="auto"/>
                <w:w w:val="97"/>
              </w:rPr>
              <w:t>Share-based compensation expense</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211</w:t>
            </w:r>
          </w:p>
        </w:tc>
      </w:tr>
      <w:tr>
        <w:trPr>
          <w:trHeight w:val="27"/>
        </w:trPr>
        <w:tc>
          <w:tcPr>
            <w:tcW w:w="3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w:t>
            </w:r>
          </w:p>
        </w:tc>
      </w:tr>
      <w:tr>
        <w:trPr>
          <w:trHeight w:val="229"/>
        </w:trPr>
        <w:tc>
          <w:tcPr>
            <w:tcW w:w="3000" w:type="dxa"/>
            <w:vAlign w:val="bottom"/>
          </w:tcPr>
          <w:p>
            <w:pPr>
              <w:ind w:left="120"/>
              <w:spacing w:after="0"/>
              <w:rPr>
                <w:sz w:val="20"/>
                <w:szCs w:val="20"/>
                <w:color w:val="auto"/>
              </w:rPr>
            </w:pPr>
            <w:r>
              <w:rPr>
                <w:rFonts w:ascii="Arial" w:cs="Arial" w:eastAsia="Arial" w:hAnsi="Arial"/>
                <w:sz w:val="18"/>
                <w:szCs w:val="18"/>
                <w:color w:val="auto"/>
              </w:rPr>
              <w:t>Net income and comprehensive</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000" w:type="dxa"/>
            <w:vAlign w:val="bottom"/>
          </w:tcPr>
          <w:p>
            <w:pPr>
              <w:ind w:left="120"/>
              <w:spacing w:after="0"/>
              <w:rPr>
                <w:sz w:val="20"/>
                <w:szCs w:val="20"/>
                <w:color w:val="auto"/>
              </w:rPr>
            </w:pPr>
            <w:r>
              <w:rPr>
                <w:rFonts w:ascii="Arial" w:cs="Arial" w:eastAsia="Arial" w:hAnsi="Arial"/>
                <w:sz w:val="18"/>
                <w:szCs w:val="18"/>
                <w:color w:val="auto"/>
              </w:rPr>
              <w:t>income</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3,774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3,774</w:t>
            </w:r>
          </w:p>
        </w:tc>
      </w:tr>
      <w:tr>
        <w:trPr>
          <w:trHeight w:val="27"/>
        </w:trPr>
        <w:tc>
          <w:tcPr>
            <w:tcW w:w="30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30, 2019</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88"/>
              </w:rPr>
              <w:t>67,477,726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67</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1,038,413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287,668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16,115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8"/>
              </w:rPr>
              <w:t>303,851</w:t>
            </w:r>
          </w:p>
        </w:tc>
      </w:tr>
      <w:tr>
        <w:trPr>
          <w:trHeight w:val="229"/>
        </w:trPr>
        <w:tc>
          <w:tcPr>
            <w:tcW w:w="3000" w:type="dxa"/>
            <w:vAlign w:val="bottom"/>
          </w:tcPr>
          <w:p>
            <w:pPr>
              <w:ind w:left="120"/>
              <w:spacing w:after="0"/>
              <w:rPr>
                <w:sz w:val="20"/>
                <w:szCs w:val="20"/>
                <w:color w:val="auto"/>
              </w:rPr>
            </w:pPr>
            <w:r>
              <w:rPr>
                <w:rFonts w:ascii="Arial" w:cs="Arial" w:eastAsia="Arial" w:hAnsi="Arial"/>
                <w:sz w:val="18"/>
                <w:szCs w:val="18"/>
                <w:color w:val="auto"/>
                <w:w w:val="98"/>
              </w:rPr>
              <w:t>Exercise and vesting of share-based</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000" w:type="dxa"/>
            <w:vAlign w:val="bottom"/>
          </w:tcPr>
          <w:p>
            <w:pPr>
              <w:ind w:left="120"/>
              <w:spacing w:after="0"/>
              <w:rPr>
                <w:sz w:val="20"/>
                <w:szCs w:val="20"/>
                <w:color w:val="auto"/>
              </w:rPr>
            </w:pPr>
            <w:r>
              <w:rPr>
                <w:rFonts w:ascii="Arial" w:cs="Arial" w:eastAsia="Arial" w:hAnsi="Arial"/>
                <w:sz w:val="18"/>
                <w:szCs w:val="18"/>
                <w:color w:val="auto"/>
              </w:rPr>
              <w:t>awards</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314</w:t>
            </w:r>
          </w:p>
        </w:tc>
      </w:tr>
      <w:tr>
        <w:trPr>
          <w:trHeight w:val="27"/>
        </w:trPr>
        <w:tc>
          <w:tcPr>
            <w:tcW w:w="3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Issuance of common stock upon initial</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8"/>
              </w:rPr>
              <w:t>public offering, net of issuance costs</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88"/>
              </w:rPr>
              <w:t>19,765,625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20</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400,468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8"/>
              </w:rPr>
              <w:t>400,488</w:t>
            </w:r>
          </w:p>
        </w:tc>
      </w:tr>
      <w:tr>
        <w:trPr>
          <w:trHeight w:val="229"/>
        </w:trPr>
        <w:tc>
          <w:tcPr>
            <w:tcW w:w="3000" w:type="dxa"/>
            <w:vAlign w:val="bottom"/>
          </w:tcPr>
          <w:p>
            <w:pPr>
              <w:ind w:left="120"/>
              <w:spacing w:after="0"/>
              <w:rPr>
                <w:sz w:val="20"/>
                <w:szCs w:val="20"/>
                <w:color w:val="auto"/>
              </w:rPr>
            </w:pPr>
            <w:r>
              <w:rPr>
                <w:rFonts w:ascii="Arial" w:cs="Arial" w:eastAsia="Arial" w:hAnsi="Arial"/>
                <w:sz w:val="18"/>
                <w:szCs w:val="18"/>
                <w:color w:val="auto"/>
              </w:rPr>
              <w:t>Conversion of nonvoting to voting</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000" w:type="dxa"/>
            <w:vAlign w:val="bottom"/>
          </w:tcPr>
          <w:p>
            <w:pPr>
              <w:ind w:left="120"/>
              <w:spacing w:after="0"/>
              <w:rPr>
                <w:sz w:val="20"/>
                <w:szCs w:val="20"/>
                <w:color w:val="auto"/>
              </w:rPr>
            </w:pPr>
            <w:r>
              <w:rPr>
                <w:rFonts w:ascii="Arial" w:cs="Arial" w:eastAsia="Arial" w:hAnsi="Arial"/>
                <w:sz w:val="18"/>
                <w:szCs w:val="18"/>
                <w:color w:val="auto"/>
              </w:rPr>
              <w:t>common shares</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w w:val="99"/>
              </w:rPr>
              <w:t>1,068,413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w w:val="93"/>
              </w:rPr>
              <w:t>(1,068,413)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3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Redemption of preferred shares</w:t>
            </w: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3000" w:type="dxa"/>
            <w:vAlign w:val="bottom"/>
          </w:tcPr>
          <w:p>
            <w:pPr>
              <w:ind w:left="120"/>
              <w:spacing w:after="0"/>
              <w:rPr>
                <w:sz w:val="20"/>
                <w:szCs w:val="20"/>
                <w:color w:val="auto"/>
              </w:rPr>
            </w:pPr>
            <w:r>
              <w:rPr>
                <w:rFonts w:ascii="Arial" w:cs="Arial" w:eastAsia="Arial" w:hAnsi="Arial"/>
                <w:sz w:val="18"/>
                <w:szCs w:val="18"/>
                <w:color w:val="auto"/>
                <w:w w:val="97"/>
              </w:rPr>
              <w:t>Share-based compensation expense</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22,750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22,750</w:t>
            </w:r>
          </w:p>
        </w:tc>
      </w:tr>
      <w:tr>
        <w:trPr>
          <w:trHeight w:val="27"/>
        </w:trPr>
        <w:tc>
          <w:tcPr>
            <w:tcW w:w="3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29"/>
        </w:trPr>
        <w:tc>
          <w:tcPr>
            <w:tcW w:w="3000" w:type="dxa"/>
            <w:vAlign w:val="bottom"/>
          </w:tcPr>
          <w:p>
            <w:pPr>
              <w:ind w:left="120"/>
              <w:spacing w:after="0"/>
              <w:rPr>
                <w:sz w:val="20"/>
                <w:szCs w:val="20"/>
                <w:color w:val="auto"/>
              </w:rPr>
            </w:pPr>
            <w:r>
              <w:rPr>
                <w:rFonts w:ascii="Arial" w:cs="Arial" w:eastAsia="Arial" w:hAnsi="Arial"/>
                <w:sz w:val="18"/>
                <w:szCs w:val="18"/>
                <w:color w:val="auto"/>
                <w:w w:val="94"/>
              </w:rPr>
              <w:t>Net income (loss) and comprehensive</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000" w:type="dxa"/>
            <w:vAlign w:val="bottom"/>
          </w:tcPr>
          <w:p>
            <w:pPr>
              <w:ind w:left="120"/>
              <w:spacing w:after="0"/>
              <w:rPr>
                <w:sz w:val="20"/>
                <w:szCs w:val="20"/>
                <w:color w:val="auto"/>
              </w:rPr>
            </w:pPr>
            <w:r>
              <w:rPr>
                <w:rFonts w:ascii="Arial" w:cs="Arial" w:eastAsia="Arial" w:hAnsi="Arial"/>
                <w:sz w:val="18"/>
                <w:szCs w:val="18"/>
                <w:color w:val="auto"/>
              </w:rPr>
              <w:t>income (loss)</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(10,632)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(10,632)</w:t>
            </w:r>
          </w:p>
        </w:tc>
      </w:tr>
      <w:tr>
        <w:trPr>
          <w:trHeight w:val="27"/>
        </w:trPr>
        <w:tc>
          <w:tcPr>
            <w:tcW w:w="30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29, 2019</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88"/>
              </w:rPr>
              <w:t>88,311,764</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88</w:t>
            </w:r>
          </w:p>
        </w:tc>
        <w:tc>
          <w:tcPr>
            <w:tcW w:w="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711,200</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5,400</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8"/>
              </w:rPr>
              <w:t>716,688</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1020" w:type="dxa"/>
            <w:vAlign w:val="bottom"/>
            <w:tcBorders>
              <w:bottom w:val="single" w:sz="8" w:color="auto"/>
            </w:tcBorders>
          </w:tcPr>
          <w:p>
            <w:pPr>
              <w:spacing w:after="0"/>
              <w:rPr>
                <w:sz w:val="16"/>
                <w:szCs w:val="16"/>
                <w:color w:val="auto"/>
              </w:rPr>
            </w:pPr>
          </w:p>
        </w:tc>
      </w:tr>
      <w:tr>
        <w:trPr>
          <w:trHeight w:val="152"/>
        </w:trPr>
        <w:tc>
          <w:tcPr>
            <w:tcW w:w="8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460" w:type="dxa"/>
            <w:vAlign w:val="bottom"/>
          </w:tcPr>
          <w:p>
            <w:pPr>
              <w:spacing w:after="0"/>
              <w:rPr>
                <w:sz w:val="13"/>
                <w:szCs w:val="13"/>
                <w:color w:val="auto"/>
              </w:rPr>
            </w:pPr>
          </w:p>
        </w:tc>
        <w:tc>
          <w:tcPr>
            <w:tcW w:w="1020" w:type="dxa"/>
            <w:vAlign w:val="bottom"/>
          </w:tcPr>
          <w:p>
            <w:pPr>
              <w:jc w:val="right"/>
              <w:ind w:right="391"/>
              <w:spacing w:after="0" w:line="153" w:lineRule="exact"/>
              <w:rPr>
                <w:sz w:val="20"/>
                <w:szCs w:val="20"/>
                <w:color w:val="auto"/>
              </w:rPr>
            </w:pPr>
            <w:r>
              <w:rPr>
                <w:rFonts w:ascii="Arial" w:cs="Arial" w:eastAsia="Arial" w:hAnsi="Arial"/>
                <w:sz w:val="14"/>
                <w:szCs w:val="14"/>
                <w:b w:val="1"/>
                <w:bCs w:val="1"/>
                <w:color w:val="auto"/>
                <w:w w:val="92"/>
              </w:rPr>
              <w:t>June 29,</w:t>
            </w:r>
          </w:p>
        </w:tc>
      </w:tr>
      <w:tr>
        <w:trPr>
          <w:trHeight w:val="192"/>
        </w:trPr>
        <w:tc>
          <w:tcPr>
            <w:tcW w:w="8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r>
      <w:tr>
        <w:trPr>
          <w:trHeight w:val="23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16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41,975</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(6,858)</w:t>
            </w: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Depreciation of property and equipment</w:t>
            </w:r>
          </w:p>
        </w:tc>
        <w:tc>
          <w:tcPr>
            <w:tcW w:w="3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23,832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20,936</w:t>
            </w: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intangible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5,069</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Amortization of debt issuance costs and bond discounts</w:t>
            </w:r>
          </w:p>
        </w:tc>
        <w:tc>
          <w:tcPr>
            <w:tcW w:w="3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1,515</w:t>
            </w: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5,162</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30,452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22,961</w:t>
            </w: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2,064</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(4,783)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(2,787)</w:t>
            </w: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415</w:t>
            </w:r>
          </w:p>
        </w:tc>
      </w:tr>
      <w:tr>
        <w:trPr>
          <w:trHeight w:val="243"/>
        </w:trPr>
        <w:tc>
          <w:tcPr>
            <w:tcW w:w="816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Independent operator and other 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3,210</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Merchandise inventories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(9,854)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(4,410)</w:t>
            </w: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(4,039)</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Income and other taxes payable</w:t>
            </w:r>
          </w:p>
        </w:tc>
        <w:tc>
          <w:tcPr>
            <w:tcW w:w="3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5,901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(1,460)</w:t>
            </w: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Trade accounts payable, accrued compensation and other 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(4,145)</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Changes in operating lease assets and liabilities, net</w:t>
            </w:r>
          </w:p>
        </w:tc>
        <w:tc>
          <w:tcPr>
            <w:tcW w:w="3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11,131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2,085</w:t>
            </w:r>
          </w:p>
        </w:tc>
      </w:tr>
      <w:tr>
        <w:trPr>
          <w:trHeight w:val="27"/>
        </w:trPr>
        <w:tc>
          <w:tcPr>
            <w:tcW w:w="8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90,056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39,718</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advances to independent operators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(5,673)</w:t>
            </w:r>
          </w:p>
        </w:tc>
      </w:tr>
      <w:tr>
        <w:trPr>
          <w:trHeight w:val="243"/>
        </w:trPr>
        <w:tc>
          <w:tcPr>
            <w:tcW w:w="8160" w:type="dxa"/>
            <w:vAlign w:val="bottom"/>
          </w:tcPr>
          <w:p>
            <w:pPr>
              <w:ind w:left="120"/>
              <w:spacing w:after="0"/>
              <w:rPr>
                <w:sz w:val="20"/>
                <w:szCs w:val="20"/>
                <w:color w:val="auto"/>
              </w:rPr>
            </w:pPr>
            <w:r>
              <w:rPr>
                <w:rFonts w:ascii="Arial" w:cs="Arial" w:eastAsia="Arial" w:hAnsi="Arial"/>
                <w:sz w:val="18"/>
                <w:szCs w:val="18"/>
                <w:color w:val="auto"/>
              </w:rPr>
              <w:t>Repayments of cash advances from independent operators</w:t>
            </w:r>
          </w:p>
        </w:tc>
        <w:tc>
          <w:tcPr>
            <w:tcW w:w="3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3,017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2,026</w:t>
            </w: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(39,806)</w:t>
            </w:r>
          </w:p>
        </w:tc>
      </w:tr>
      <w:tr>
        <w:trPr>
          <w:trHeight w:val="243"/>
        </w:trPr>
        <w:tc>
          <w:tcPr>
            <w:tcW w:w="8160" w:type="dxa"/>
            <w:vAlign w:val="bottom"/>
          </w:tcPr>
          <w:p>
            <w:pPr>
              <w:ind w:left="120"/>
              <w:spacing w:after="0"/>
              <w:rPr>
                <w:sz w:val="20"/>
                <w:szCs w:val="20"/>
                <w:color w:val="auto"/>
              </w:rPr>
            </w:pPr>
            <w:r>
              <w:rPr>
                <w:rFonts w:ascii="Arial" w:cs="Arial" w:eastAsia="Arial" w:hAnsi="Arial"/>
                <w:sz w:val="18"/>
                <w:szCs w:val="18"/>
                <w:color w:val="auto"/>
              </w:rPr>
              <w:t>Proceeds from sales of assets</w:t>
            </w:r>
          </w:p>
        </w:tc>
        <w:tc>
          <w:tcPr>
            <w:tcW w:w="3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611</w:t>
            </w: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Intangible assets and licenses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r>
      <w:tr>
        <w:trPr>
          <w:trHeight w:val="237"/>
        </w:trPr>
        <w:tc>
          <w:tcPr>
            <w:tcW w:w="8160" w:type="dxa"/>
            <w:vAlign w:val="bottom"/>
          </w:tcPr>
          <w:p>
            <w:pPr>
              <w:ind w:left="46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(52,170)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(44,523)</w:t>
            </w: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120"/>
              <w:spacing w:after="0"/>
              <w:rPr>
                <w:sz w:val="20"/>
                <w:szCs w:val="20"/>
                <w:color w:val="auto"/>
              </w:rPr>
            </w:pPr>
            <w:r>
              <w:rPr>
                <w:rFonts w:ascii="Arial" w:cs="Arial" w:eastAsia="Arial" w:hAnsi="Arial"/>
                <w:sz w:val="18"/>
                <w:szCs w:val="18"/>
                <w:color w:val="auto"/>
              </w:rPr>
              <w:t>Proceeds from initial public offering, net of underwriting discounts paid</w:t>
            </w:r>
          </w:p>
        </w:tc>
        <w:tc>
          <w:tcPr>
            <w:tcW w:w="30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407,666</w:t>
            </w: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exercise of share-based compensation awards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15,878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314</w:t>
            </w:r>
          </w:p>
        </w:tc>
      </w:tr>
      <w:tr>
        <w:trPr>
          <w:trHeight w:val="243"/>
        </w:trPr>
        <w:tc>
          <w:tcPr>
            <w:tcW w:w="8160" w:type="dxa"/>
            <w:vAlign w:val="bottom"/>
          </w:tcPr>
          <w:p>
            <w:pPr>
              <w:ind w:left="120"/>
              <w:spacing w:after="0"/>
              <w:rPr>
                <w:sz w:val="20"/>
                <w:szCs w:val="20"/>
                <w:color w:val="auto"/>
              </w:rPr>
            </w:pPr>
            <w:r>
              <w:rPr>
                <w:rFonts w:ascii="Arial" w:cs="Arial" w:eastAsia="Arial" w:hAnsi="Arial"/>
                <w:sz w:val="18"/>
                <w:szCs w:val="18"/>
                <w:color w:val="auto"/>
              </w:rPr>
              <w:t>Proceeds from revolving credit facility loan</w:t>
            </w:r>
          </w:p>
        </w:tc>
        <w:tc>
          <w:tcPr>
            <w:tcW w:w="3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90,000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Payments related to net settlement of share-based compensation awards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tcPr>
          <w:p>
            <w:pPr>
              <w:ind w:left="120"/>
              <w:spacing w:after="0"/>
              <w:rPr>
                <w:sz w:val="20"/>
                <w:szCs w:val="20"/>
                <w:color w:val="auto"/>
              </w:rPr>
            </w:pPr>
            <w:r>
              <w:rPr>
                <w:rFonts w:ascii="Arial" w:cs="Arial" w:eastAsia="Arial" w:hAnsi="Arial"/>
                <w:sz w:val="18"/>
                <w:szCs w:val="18"/>
                <w:color w:val="auto"/>
              </w:rPr>
              <w:t>Other direct costs paid related to the initial public offering</w:t>
            </w:r>
          </w:p>
        </w:tc>
        <w:tc>
          <w:tcPr>
            <w:tcW w:w="30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(4,950)</w:t>
            </w: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Principal payments on term loans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(399,813)</w:t>
            </w:r>
          </w:p>
        </w:tc>
      </w:tr>
      <w:tr>
        <w:trPr>
          <w:trHeight w:val="243"/>
        </w:trPr>
        <w:tc>
          <w:tcPr>
            <w:tcW w:w="8160" w:type="dxa"/>
            <w:vAlign w:val="bottom"/>
          </w:tcPr>
          <w:p>
            <w:pPr>
              <w:ind w:left="120"/>
              <w:spacing w:after="0"/>
              <w:rPr>
                <w:sz w:val="20"/>
                <w:szCs w:val="20"/>
                <w:color w:val="auto"/>
              </w:rPr>
            </w:pPr>
            <w:r>
              <w:rPr>
                <w:rFonts w:ascii="Arial" w:cs="Arial" w:eastAsia="Arial" w:hAnsi="Arial"/>
                <w:sz w:val="18"/>
                <w:szCs w:val="18"/>
                <w:color w:val="auto"/>
              </w:rPr>
              <w:t>Principal payments on revolving credit facility loan</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(90,000)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Principal payments on other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r>
      <w:tr>
        <w:trPr>
          <w:trHeight w:val="243"/>
        </w:trPr>
        <w:tc>
          <w:tcPr>
            <w:tcW w:w="8160" w:type="dxa"/>
            <w:vAlign w:val="bottom"/>
          </w:tcPr>
          <w:p>
            <w:pPr>
              <w:ind w:left="12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(337)</w:t>
            </w: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Debt issuance costs paid</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36"/>
        </w:trPr>
        <w:tc>
          <w:tcPr>
            <w:tcW w:w="8160" w:type="dxa"/>
            <w:vAlign w:val="bottom"/>
          </w:tcPr>
          <w:p>
            <w:pPr>
              <w:ind w:left="46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13,816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2,419</w:t>
            </w:r>
          </w:p>
        </w:tc>
      </w:tr>
      <w:tr>
        <w:trPr>
          <w:trHeight w:val="27"/>
        </w:trPr>
        <w:tc>
          <w:tcPr>
            <w:tcW w:w="8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51,702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(2,386)</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28,101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21,063</w:t>
            </w:r>
          </w:p>
        </w:tc>
      </w:tr>
      <w:tr>
        <w:trPr>
          <w:trHeight w:val="27"/>
        </w:trPr>
        <w:tc>
          <w:tcPr>
            <w:tcW w:w="8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79,803</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18,677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1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 Based in Emeryville, California, and incorporated in Delaware in 2014, Grocery Outlet Holding Corp. (together with</w:t>
      </w:r>
      <w:r>
        <w:rPr>
          <w:rFonts w:ascii="Arial" w:cs="Arial" w:eastAsia="Arial" w:hAnsi="Arial"/>
          <w:sz w:val="18"/>
          <w:szCs w:val="18"/>
          <w:b w:val="1"/>
          <w:bCs w:val="1"/>
          <w:color w:val="auto"/>
        </w:rPr>
        <w:t xml:space="preserve"> </w:t>
      </w:r>
      <w:r>
        <w:rPr>
          <w:rFonts w:ascii="Arial" w:cs="Arial" w:eastAsia="Arial" w:hAnsi="Arial"/>
          <w:sz w:val="18"/>
          <w:szCs w:val="18"/>
          <w:color w:val="auto"/>
        </w:rPr>
        <w:t>our wholly owned subsidiaries, collectively, “Grocery Outlet,” “we,” or the “Company”) is a high-growth, extreme value retailer of quality, name-brand consumables and fresh products sold through a network of independently operated stores. As of June 27, 2020, we had 362 stores in California, Washington, Oregon, Pennsylvania, Idaho and Nevada.</w:t>
      </w:r>
    </w:p>
    <w:p>
      <w:pPr>
        <w:spacing w:after="0" w:line="7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Initial Public Offering </w:t>
      </w:r>
      <w:r>
        <w:rPr>
          <w:rFonts w:ascii="Arial" w:cs="Arial" w:eastAsia="Arial" w:hAnsi="Arial"/>
          <w:sz w:val="18"/>
          <w:szCs w:val="18"/>
          <w:color w:val="auto"/>
        </w:rPr>
        <w:t>— In June 2019, we completed an initial public offering (“IPO”) of 19,765,625 shares of our common stock at a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price of $22.00 per share for net proceeds of $407.7 million, after deducting underwriting discounts and commissions of $27.1 million and offering costs of $7.2 million. The shares of common stock sold in the IPO and the net proceeds from the IPO included the full exercise of the underwriters’ option to purchase additional shares.</w:t>
      </w:r>
    </w:p>
    <w:p>
      <w:pPr>
        <w:spacing w:after="0" w:line="7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Our Amended and Restated Certificate of Incorporation (the “Charter”) became effective in connection with the completion of the IPO on June 24, 2019. The Charter, among other things, provided that all of our outstanding shares of nonvoting common stock were automatically converted into shares of voting common stock on a one-for-one basis and that our authorized capital stock consisted of 500,000,000 shares of common stock, and 50,000,000 shares of preferred stock, par value $0.001 per share. Our bylaws were also amended and restated as of June 24, 2019. Additionally, upon the closing of the IPO, we redeemed all of our outstanding preferred stock for a total of $1.00.</w:t>
      </w:r>
    </w:p>
    <w:p>
      <w:pPr>
        <w:spacing w:after="0" w:line="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June 24, 2019, we used the net proceeds from the IPO to repay $150.0 million in principal on the outstanding term loan under our second lien credit agreement, dated as of October 22, 2018 (as amended, the “Second Lien Credit Agreement”), as well as accrued and unpaid interest as of that date of $3.6 million, and terminated the Second Lien Credit Agreement. In addition, using the remainder of net proceeds, together with excess cash on hand, we prepaid a portion of our outstanding senior secured term loan under our First Lien Credit Agreement totaling $248.0 million plus accrued interest of $3.8 million. See Note 4 for additional information.</w:t>
      </w:r>
    </w:p>
    <w:p>
      <w:pPr>
        <w:spacing w:after="0" w:line="7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Secondary Public Offerings </w:t>
      </w:r>
      <w:r>
        <w:rPr>
          <w:rFonts w:ascii="Arial" w:cs="Arial" w:eastAsia="Arial" w:hAnsi="Arial"/>
          <w:sz w:val="18"/>
          <w:szCs w:val="18"/>
          <w:color w:val="auto"/>
        </w:rPr>
        <w:t>— On October 8, 2019, certain of our selling stockholders completed a secondary public offering of shares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We did not receive any of the proceeds from the sale of these shares by the selling stockholders. We incurred related offering costs of $1.1 million and received $3.2 million in cash (excluding withholding taxes) in connection with the exercise of 451,470 options by certain stockholders participating in this secondary public offering.</w:t>
      </w:r>
    </w:p>
    <w:p>
      <w:pPr>
        <w:spacing w:after="0" w:line="7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February 3, 2020, certain of our selling stockholders completed an additional secondary public offering of shares of our common stock. We did not receive any of the proceeds from the sale of these shares by the selling stockholders. We incurred related offering costs of $1.1 million which we recognized in selling, general and administrative expenses during the 26 weeks ended June 27, 2020. We received $1.4 million in cash (excluding withholding taxes) in connection with the exercise of 191,470 options by certain stockholders participating in this secondary public offering.</w:t>
      </w:r>
    </w:p>
    <w:p>
      <w:pPr>
        <w:spacing w:after="0" w:line="6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April 27, 2020, certain of our selling stockholders completed another secondary public offering of shares of our common stock. We did not receive any of the proceeds from the sale of these shares by the selling stockholders. We incurred related offering costs of $1.0 million which we recognized in selling, general and administrative expenses during the 13 and 26 weeks ended June 27, 2020. We received $1.6 million in cash (excluding withholding taxes) in connection with the exercise of 269,000 options by certain stockholders participating in this secondary public offering.</w:t>
      </w:r>
    </w:p>
    <w:p>
      <w:pPr>
        <w:spacing w:after="0" w:line="6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May 28, 2020, the stockholder affiliated with our former private equity sponsor, Hellman and Friedman LLC, distributed the remainder of its holdings representing 9.6 million shares of our common stock to its equity holders. We did not receive any proceeds or incur any material costs related to this distribution.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accompanying unaudited condensed consolidated financial statements have been prepared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principles generally accepted in the United States of America (“GAAP”) and the applicable rules and regulations of the U.S. Securities and Exchange Commission (the “SEC”) for interim reporting. Certain information and note disclosures included in our annual financial statements prepared in accordance with GAAP have been condensed or omitted pursuant to such rules and regulations. The accompanying unaudited condensed consolidated financial statements should be read in conjunction with the audited consolidated financial statements included in our Annual Report on Form 10-K for the fiscal year ended December 28, 2019 filed with the SEC on March 25, 2020. The condensed consolidated balance sheet as of December 28, 2019 included herein has been derived from those audited consolidated financial statements.</w:t>
      </w:r>
    </w:p>
    <w:p>
      <w:pPr>
        <w:spacing w:after="0" w:line="6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accompanying unaudited condensed consolidated financial statements include the accounts of Grocery Outlet Holding Corp. and its wholly owned subsidiaries. All intercompany balances and transactions have been eliminated. In the opinion of our management, these condensed consolidated financial statements include all adjustments, consisting of normal recurring adjustments, necessary for a fair presentation of our financial position, results of operations, cash flows and stockholders' equity for the interim periods presented. The interim results of operations and cash flows are not necessarily indicative of those results and cash flows expected for any future interim or annual period. Certain prior period amounts in the condensed consolidated statements of cash flows have been reclassified to conform to the current period presentation. The reclassification of these items had no impact on net income, earnings per share, or retained earnings in the current or prior period.</w:t>
      </w:r>
    </w:p>
    <w:p>
      <w:pPr>
        <w:spacing w:after="0" w:line="6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consolidated financial statements in conformity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reported amounts of assets and liabilities, disclosure of contingent assets and liabilities at the date of the financial statements and the reported amounts of revenues and expenses during the reporting period. Actual results can differ from these estimates depending upon certain risks and uncertainties, and changes in these estimates are recorded when known.</w:t>
      </w:r>
    </w:p>
    <w:p>
      <w:pPr>
        <w:spacing w:after="0" w:line="72"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 We manage our business as one operating segment. All of our sales were made to customers located in the United States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property and equipment is located in the United States.</w:t>
      </w:r>
    </w:p>
    <w:p>
      <w:pPr>
        <w:spacing w:after="0" w:line="5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Merchandise Inventories </w:t>
      </w:r>
      <w:r>
        <w:rPr>
          <w:rFonts w:ascii="Arial" w:cs="Arial" w:eastAsia="Arial" w:hAnsi="Arial"/>
          <w:sz w:val="18"/>
          <w:szCs w:val="18"/>
          <w:color w:val="auto"/>
        </w:rPr>
        <w:t>— Merchandise inventories are valued at the lower of cost or net realizable value. Cost is determined by the first-in, first-out weighted-average cost method for warehouse inventories and the retail inventory method for store inventories. We provide for estimated inventory losses between physical inventory counts based on historical averages. This provision is adjusted periodically to reflect the actual shrink results of the physical inventory counts.</w:t>
      </w:r>
    </w:p>
    <w:p>
      <w:pPr>
        <w:spacing w:after="0" w:line="7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 We determine if an arrangement is a lease at inception. Operating leases are included in operating lease right-of-use assets, current lease</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and long-term lease liabilities on the condensed consolidated balance sheets. Finance leases are included in other assets, current lease liabilities, and long-term lease liabilities on our condensed consolidated balance sheets. Right-of-use assets represent our right to use an underlying asset for the lease term and lease liabilities represent our obligation to make lease payments arising from the lease over the same term. Right-of-use assets and liabilities are recognized at commencement date based on the present value of the lease payments over the lease term, reduced by landlord incentives. As most of our leases do not provide an implicit rate, we use our incremental borrowing rate, which is estimated to approximate the interest rate on a collateralized basis with similar terms and payments based on the information available at the commencement date, to determine the present value of our lease payments. The right-of-use asset is recorded net of lease incentives. Our lease terms may include options to extend or terminate the lease when it is reasonably certain that we will exercise that option. Lease expense for operating lease payments is recognized on a straight-line basis over the lease term. Amortization of finance lease right-of-use assets, interest expense on finance lease liabilities and operating and financing cash flows for finance leases is immaterial.</w:t>
      </w:r>
    </w:p>
    <w:p>
      <w:pPr>
        <w:spacing w:after="0" w:line="5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lease agreements with retail facilities for store locations, distribution centers, office space and equipment with lease and non-lease components, which are accounted for separately. Leases with an initial term of 12 months or less are not recorded on the balance sheet; lease expense for these leases is recognized on a straight-line basis over the lease term. The short-term lease expense is reflective of the short-term lease commitments on a go forward basis. We sublease certain real estate to unrelated third parties under non-cancelable leases and the sublease portfolio consists of operating leases for retail stores.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 Fair value is defined as the exchange price, or exit price, representing the amount that would be received to sell an</w:t>
      </w:r>
      <w:r>
        <w:rPr>
          <w:rFonts w:ascii="Arial" w:cs="Arial" w:eastAsia="Arial" w:hAnsi="Arial"/>
          <w:sz w:val="18"/>
          <w:szCs w:val="18"/>
          <w:b w:val="1"/>
          <w:bCs w:val="1"/>
          <w:color w:val="auto"/>
        </w:rPr>
        <w:t xml:space="preserve"> </w:t>
      </w:r>
      <w:r>
        <w:rPr>
          <w:rFonts w:ascii="Arial" w:cs="Arial" w:eastAsia="Arial" w:hAnsi="Arial"/>
          <w:sz w:val="18"/>
          <w:szCs w:val="18"/>
          <w:color w:val="auto"/>
        </w:rPr>
        <w:t>asset or paid to transfer a liability in an orderly transaction between market participants. The fair value of financial instruments is categorized based upon the level of judgment associated with the inputs used to measure their fair values. Fair value is measured using inputs from the three levels of the fair value hierarchy, which are described as follows:</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assets and liabilities in active markets or inputs that are observable.</w:t>
      </w:r>
    </w:p>
    <w:p>
      <w:pPr>
        <w:spacing w:after="0" w:line="63" w:lineRule="exact"/>
        <w:rPr>
          <w:sz w:val="20"/>
          <w:szCs w:val="20"/>
          <w:color w:val="auto"/>
        </w:rPr>
      </w:pPr>
    </w:p>
    <w:p>
      <w:pPr>
        <w:ind w:left="980" w:hanging="323"/>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in which there is little or no market data, which requires us to develop our own assumptions when pricing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instruments, such as cash flow modeling assumptions.</w:t>
      </w:r>
    </w:p>
    <w:p>
      <w:pPr>
        <w:spacing w:after="0" w:line="5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assets’ or liabilities’ fair value measurement level within the fair value hierarchy is based on the lowest level of any input that is significant to the fair value measurement. The fair value framework requires that we maximize the use of observable inputs and minimize the use of unobservable inputs when measuring fair value.</w:t>
      </w:r>
    </w:p>
    <w:p>
      <w:pPr>
        <w:spacing w:after="0" w:line="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were no assets or liabilities measured at fair value on a recurring basis as of June 27, 2020 or December 28, 2019. There were no transfers of assets or liabilities between levels within the fair value hierarchy as of June 27, 2020 or December 28, 2019.</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financial assets and liabilities are carried at cost, which generally approximates their fair value, as described below:</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i w:val="1"/>
          <w:iCs w:val="1"/>
          <w:color w:val="auto"/>
        </w:rPr>
        <w:t xml:space="preserve">Cash and cash equivalents, independent operator receivables, other accounts receivable and accounts payable </w:t>
      </w:r>
      <w:r>
        <w:rPr>
          <w:rFonts w:ascii="Arial" w:cs="Arial" w:eastAsia="Arial" w:hAnsi="Arial"/>
          <w:sz w:val="18"/>
          <w:szCs w:val="18"/>
          <w:color w:val="auto"/>
        </w:rPr>
        <w:t>— The carrying value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approximates their fair value due to factors such as their short-term nature or their variable interest rates.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Independent operator notes receivable (net) </w:t>
      </w:r>
      <w:r>
        <w:rPr>
          <w:rFonts w:ascii="Arial" w:cs="Arial" w:eastAsia="Arial" w:hAnsi="Arial"/>
          <w:sz w:val="18"/>
          <w:szCs w:val="18"/>
          <w:color w:val="auto"/>
        </w:rPr>
        <w:t>— The carrying value of such financial instruments approximates their fair value.</w:t>
      </w:r>
    </w:p>
    <w:p>
      <w:pPr>
        <w:spacing w:after="0" w:line="11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i w:val="1"/>
          <w:iCs w:val="1"/>
          <w:color w:val="auto"/>
        </w:rPr>
        <w:t xml:space="preserve">Notes payable and term loans </w:t>
      </w:r>
      <w:r>
        <w:rPr>
          <w:rFonts w:ascii="Arial" w:cs="Arial" w:eastAsia="Arial" w:hAnsi="Arial"/>
          <w:sz w:val="16"/>
          <w:szCs w:val="16"/>
          <w:color w:val="auto"/>
        </w:rPr>
        <w:t>— The carrying value of such financial instruments generally approximates their fair value since the stated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rates approximates market rates for loans with similar terms for borrowers with similar credit profiles. However, in accordance with Accounting Standards Codification (“ASC”) Topic 825, Financial Instruments, the fair values of our term loans as of June 27, 2020 and December 28, 2019 are set forth below.</w:t>
      </w:r>
    </w:p>
    <w:p>
      <w:pPr>
        <w:spacing w:after="0" w:line="4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carrying amounts and estimated fair values of our significant financial liabilities that are not recorded at fair value on the condensed consolidated balance sheets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66040</wp:posOffset>
            </wp:positionV>
            <wp:extent cx="39776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June 27,</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December 28,</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w w:val="89"/>
              </w:rPr>
              <w:t>2020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w w:val="83"/>
              </w:rPr>
              <w:t>2019</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980" w:type="dxa"/>
            <w:vAlign w:val="bottom"/>
          </w:tcPr>
          <w:p>
            <w:pPr>
              <w:spacing w:after="0"/>
              <w:rPr>
                <w:sz w:val="12"/>
                <w:szCs w:val="12"/>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w w:val="94"/>
              </w:rPr>
              <w:t>Estimated Fair Value</w:t>
            </w:r>
          </w:p>
        </w:tc>
        <w:tc>
          <w:tcPr>
            <w:tcW w:w="100" w:type="dxa"/>
            <w:vAlign w:val="bottom"/>
          </w:tcPr>
          <w:p>
            <w:pPr>
              <w:spacing w:after="0"/>
              <w:rPr>
                <w:sz w:val="12"/>
                <w:szCs w:val="12"/>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11"/>
                <w:szCs w:val="11"/>
                <w:b w:val="1"/>
                <w:bCs w:val="1"/>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w w:val="95"/>
              </w:rPr>
              <w:t>Estimated Fair Value</w:t>
            </w:r>
          </w:p>
        </w:tc>
        <w:tc>
          <w:tcPr>
            <w:tcW w:w="0" w:type="dxa"/>
            <w:vAlign w:val="bottom"/>
          </w:tcPr>
          <w:p>
            <w:pPr>
              <w:spacing w:after="0"/>
              <w:rPr>
                <w:sz w:val="1"/>
                <w:szCs w:val="1"/>
                <w:color w:val="auto"/>
              </w:rPr>
            </w:pPr>
          </w:p>
        </w:tc>
      </w:tr>
      <w:tr>
        <w:trPr>
          <w:trHeight w:val="153"/>
        </w:trPr>
        <w:tc>
          <w:tcPr>
            <w:tcW w:w="49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w:t>
            </w:r>
          </w:p>
        </w:tc>
        <w:tc>
          <w:tcPr>
            <w:tcW w:w="10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3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Term Loans (Level 2)</w:t>
            </w:r>
          </w:p>
        </w:tc>
        <w:tc>
          <w:tcPr>
            <w:tcW w:w="420" w:type="dxa"/>
            <w:vAlign w:val="bottom"/>
          </w:tcPr>
          <w:p>
            <w:pPr>
              <w:jc w:val="right"/>
              <w:ind w:right="239"/>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458,623</w:t>
            </w:r>
          </w:p>
        </w:tc>
        <w:tc>
          <w:tcPr>
            <w:tcW w:w="640" w:type="dxa"/>
            <w:vAlign w:val="bottom"/>
            <w:gridSpan w:val="3"/>
          </w:tcPr>
          <w:p>
            <w:pPr>
              <w:jc w:val="right"/>
              <w:ind w:right="248"/>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6"/>
              <w:spacing w:after="0"/>
              <w:rPr>
                <w:sz w:val="20"/>
                <w:szCs w:val="20"/>
                <w:color w:val="auto"/>
              </w:rPr>
            </w:pPr>
            <w:r>
              <w:rPr>
                <w:rFonts w:ascii="Arial" w:cs="Arial" w:eastAsia="Arial" w:hAnsi="Arial"/>
                <w:sz w:val="18"/>
                <w:szCs w:val="18"/>
                <w:color w:val="auto"/>
              </w:rPr>
              <w:t>442,175</w:t>
            </w:r>
          </w:p>
        </w:tc>
        <w:tc>
          <w:tcPr>
            <w:tcW w:w="100" w:type="dxa"/>
            <w:vAlign w:val="bottom"/>
          </w:tcPr>
          <w:p>
            <w:pPr>
              <w:spacing w:after="0"/>
              <w:rPr>
                <w:sz w:val="21"/>
                <w:szCs w:val="21"/>
                <w:color w:val="auto"/>
              </w:rPr>
            </w:pPr>
          </w:p>
        </w:tc>
        <w:tc>
          <w:tcPr>
            <w:tcW w:w="420" w:type="dxa"/>
            <w:vAlign w:val="bottom"/>
          </w:tcPr>
          <w:p>
            <w:pPr>
              <w:jc w:val="right"/>
              <w:ind w:right="219"/>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458,682</w:t>
            </w:r>
          </w:p>
        </w:tc>
        <w:tc>
          <w:tcPr>
            <w:tcW w:w="720" w:type="dxa"/>
            <w:vAlign w:val="bottom"/>
            <w:gridSpan w:val="3"/>
          </w:tcPr>
          <w:p>
            <w:pPr>
              <w:jc w:val="right"/>
              <w:ind w:right="34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86"/>
              <w:spacing w:after="0"/>
              <w:rPr>
                <w:sz w:val="20"/>
                <w:szCs w:val="20"/>
                <w:color w:val="auto"/>
              </w:rPr>
            </w:pPr>
            <w:r>
              <w:rPr>
                <w:rFonts w:ascii="Arial" w:cs="Arial" w:eastAsia="Arial" w:hAnsi="Arial"/>
                <w:sz w:val="18"/>
                <w:szCs w:val="18"/>
                <w:color w:val="auto"/>
              </w:rPr>
              <w:t>466,515</w:t>
            </w:r>
          </w:p>
        </w:tc>
        <w:tc>
          <w:tcPr>
            <w:tcW w:w="0" w:type="dxa"/>
            <w:vAlign w:val="bottom"/>
          </w:tcPr>
          <w:p>
            <w:pPr>
              <w:spacing w:after="0"/>
              <w:rPr>
                <w:sz w:val="1"/>
                <w:szCs w:val="1"/>
                <w:color w:val="auto"/>
              </w:rPr>
            </w:pPr>
          </w:p>
        </w:tc>
      </w:tr>
      <w:tr>
        <w:trPr>
          <w:trHeight w:val="167"/>
        </w:trPr>
        <w:tc>
          <w:tcPr>
            <w:tcW w:w="4980" w:type="dxa"/>
            <w:vAlign w:val="bottom"/>
          </w:tcPr>
          <w:p>
            <w:pPr>
              <w:spacing w:after="0"/>
              <w:rPr>
                <w:sz w:val="20"/>
                <w:szCs w:val="20"/>
                <w:color w:val="auto"/>
              </w:rPr>
            </w:pPr>
            <w:r>
              <w:rPr>
                <w:rFonts w:ascii="Arial" w:cs="Arial" w:eastAsia="Arial" w:hAnsi="Arial"/>
                <w:sz w:val="11"/>
                <w:szCs w:val="11"/>
                <w:color w:val="auto"/>
              </w:rPr>
              <w:t>_______________________</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carrying amounts as of June 27, 2020 and December 28, 2019 are net of unamortized debt discounts of $1.4 million and $1.5 million, respectively.</w:t>
      </w:r>
    </w:p>
    <w:p>
      <w:pPr>
        <w:spacing w:after="0" w:line="59" w:lineRule="exact"/>
        <w:rPr>
          <w:rFonts w:ascii="Arial" w:cs="Arial" w:eastAsia="Arial" w:hAnsi="Arial"/>
          <w:sz w:val="16"/>
          <w:szCs w:val="16"/>
          <w:color w:val="auto"/>
        </w:rPr>
      </w:pPr>
    </w:p>
    <w:p>
      <w:pPr>
        <w:ind w:left="500" w:right="20" w:hanging="492"/>
        <w:spacing w:after="0" w:line="275"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estimated fair value of our term loans was determined based on the average quoted bid-ask prices for the term loans in an over-the-counter market on the last trading day of the periods presented.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 We recognize revenue from the sale of products at the point of sale, net of any taxes or deposits collected and remitted to governmental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authorities. Our performance obligations are satisfied upon the transfer of goods to the customer, at the point of sale, and payment from customers is also due at the time of sale. Discounts provided to customers by us are recognized at the time of sale as a reduction in sales as the products are sold. Discounts provided by independent operators are not recognized as a reduction in sales as these are provided solely by the independent operator who bears the incremental costs arising from the discount. We do not accept manufacturer coupons.</w:t>
      </w:r>
    </w:p>
    <w:p>
      <w:pPr>
        <w:spacing w:after="0" w:line="68"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We do not have any material contract assets or receivables from contracts with customers, any revenue recognized in the current year from performance obligations satisfied in previous periods, any performance obligations, or any material costs to obtain or fulfill a contract as of June 27, 2020 and December 28, 2019.</w:t>
      </w:r>
    </w:p>
    <w:p>
      <w:pPr>
        <w:spacing w:after="0" w:line="7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Gift Cards </w:t>
      </w:r>
      <w:r>
        <w:rPr>
          <w:rFonts w:ascii="Arial" w:cs="Arial" w:eastAsia="Arial" w:hAnsi="Arial"/>
          <w:sz w:val="18"/>
          <w:szCs w:val="18"/>
          <w:color w:val="auto"/>
        </w:rPr>
        <w:t>— We record a deferred revenue liability when a Grocery Outlet gift card is sold. Revenue related to gift cards is recognized as the gift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cards are redeemed, which is when we have satisfied our performance obligation. While gift cards are generally redeemed within 12 months, some are never fully redeemed. We reduce the liability and recognize revenue for the unused portion of the gift cards (“breakage”) under the proportional method, where recognition of breakage income is based upon the historical run-off rate of unredeemed gift cards. Our gift card deferred revenue liability was $1.8 million as of June 27, 2020 and $2.0 million as of December 28, 2019. Breakage amounts were immaterial for the 13-week periods ended June 27, 2020 and June 29, 2019.</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Disaggregated Revenues </w:t>
      </w:r>
      <w:r>
        <w:rPr>
          <w:rFonts w:ascii="Arial" w:cs="Arial" w:eastAsia="Arial" w:hAnsi="Arial"/>
          <w:sz w:val="18"/>
          <w:szCs w:val="18"/>
          <w:color w:val="auto"/>
        </w:rPr>
        <w:t>— The following table presents sales revenue by type of product for the periods indicated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1020" w:type="dxa"/>
            <w:vAlign w:val="bottom"/>
            <w:tcBorders>
              <w:bottom w:val="single" w:sz="8" w:color="auto"/>
            </w:tcBorders>
          </w:tcPr>
          <w:p>
            <w:pPr>
              <w:spacing w:after="0"/>
              <w:rPr>
                <w:sz w:val="16"/>
                <w:szCs w:val="16"/>
                <w:color w:val="auto"/>
              </w:rPr>
            </w:pPr>
          </w:p>
        </w:tc>
      </w:tr>
      <w:tr>
        <w:trPr>
          <w:trHeight w:val="152"/>
        </w:trPr>
        <w:tc>
          <w:tcPr>
            <w:tcW w:w="4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48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460" w:type="dxa"/>
            <w:vAlign w:val="bottom"/>
          </w:tcPr>
          <w:p>
            <w:pPr>
              <w:spacing w:after="0"/>
              <w:rPr>
                <w:sz w:val="13"/>
                <w:szCs w:val="13"/>
                <w:color w:val="auto"/>
              </w:rPr>
            </w:pPr>
          </w:p>
        </w:tc>
        <w:tc>
          <w:tcPr>
            <w:tcW w:w="1020" w:type="dxa"/>
            <w:vAlign w:val="bottom"/>
          </w:tcPr>
          <w:p>
            <w:pPr>
              <w:jc w:val="right"/>
              <w:ind w:right="397"/>
              <w:spacing w:after="0" w:line="153" w:lineRule="exact"/>
              <w:rPr>
                <w:sz w:val="20"/>
                <w:szCs w:val="20"/>
                <w:color w:val="auto"/>
              </w:rPr>
            </w:pPr>
            <w:r>
              <w:rPr>
                <w:rFonts w:ascii="Arial" w:cs="Arial" w:eastAsia="Arial" w:hAnsi="Arial"/>
                <w:sz w:val="14"/>
                <w:szCs w:val="14"/>
                <w:b w:val="1"/>
                <w:bCs w:val="1"/>
                <w:color w:val="auto"/>
                <w:w w:val="92"/>
              </w:rPr>
              <w:t>June 29,</w:t>
            </w:r>
          </w:p>
        </w:tc>
      </w:tr>
      <w:tr>
        <w:trPr>
          <w:trHeight w:val="192"/>
        </w:trPr>
        <w:tc>
          <w:tcPr>
            <w:tcW w:w="4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r>
      <w:tr>
        <w:trPr>
          <w:trHeight w:val="270"/>
        </w:trPr>
        <w:tc>
          <w:tcPr>
            <w:tcW w:w="4980" w:type="dxa"/>
            <w:vAlign w:val="bottom"/>
            <w:shd w:val="clear" w:color="auto" w:fill="CCEEFF"/>
          </w:tcPr>
          <w:p>
            <w:pPr>
              <w:ind w:left="20"/>
              <w:spacing w:after="0" w:line="269" w:lineRule="exact"/>
              <w:rPr>
                <w:sz w:val="20"/>
                <w:szCs w:val="20"/>
                <w:color w:val="auto"/>
              </w:rPr>
            </w:pPr>
            <w:r>
              <w:rPr>
                <w:rFonts w:ascii="Arial" w:cs="Arial" w:eastAsia="Arial" w:hAnsi="Arial"/>
                <w:sz w:val="18"/>
                <w:szCs w:val="18"/>
                <w:color w:val="auto"/>
              </w:rPr>
              <w:t xml:space="preserve">Perishable </w:t>
            </w:r>
            <w:r>
              <w:rPr>
                <w:rFonts w:ascii="Arial" w:cs="Arial" w:eastAsia="Arial" w:hAnsi="Arial"/>
                <w:sz w:val="28"/>
                <w:szCs w:val="28"/>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275,819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221,473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529,267</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428,429</w:t>
            </w:r>
          </w:p>
        </w:tc>
      </w:tr>
      <w:tr>
        <w:trPr>
          <w:trHeight w:val="270"/>
        </w:trPr>
        <w:tc>
          <w:tcPr>
            <w:tcW w:w="49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Non-perishable </w:t>
            </w:r>
            <w:r>
              <w:rPr>
                <w:rFonts w:ascii="Arial" w:cs="Arial" w:eastAsia="Arial" w:hAnsi="Arial"/>
                <w:sz w:val="28"/>
                <w:szCs w:val="28"/>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527,610</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423,816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1,034,470</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823,131</w:t>
            </w:r>
          </w:p>
        </w:tc>
      </w:tr>
      <w:tr>
        <w:trPr>
          <w:trHeight w:val="28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803,429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645,289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1,563,737</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1,251,560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Perishable departments include dairy and deli; produce and floral; and fresh meat and seafood.</w:t>
      </w:r>
    </w:p>
    <w:p>
      <w:pPr>
        <w:spacing w:after="0" w:line="59" w:lineRule="exact"/>
        <w:rPr>
          <w:rFonts w:ascii="Arial" w:cs="Arial" w:eastAsia="Arial" w:hAnsi="Arial"/>
          <w:sz w:val="16"/>
          <w:szCs w:val="16"/>
          <w:color w:val="auto"/>
        </w:rPr>
      </w:pPr>
    </w:p>
    <w:p>
      <w:pPr>
        <w:ind w:left="240" w:hanging="232"/>
        <w:spacing w:after="0"/>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Non-perishable departments include grocery; general merchandise; health and beauty care; frozen foods; and beer and wine.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color w:val="auto"/>
        </w:rPr>
        <w:t>— In accordance with the variable interest entities sub-section of ASC Topic 810, Consolidation, we assess at each</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period whether we, or any consolidated entity, are considered the primary beneficiary of a variable interest entity (“VIE”) and therefore required to consolidate it. Determining whether to consolidate a VIE may require judgment in assessing (i) whether an entity is a VIE, and (ii) if a reporting entity is a VIE’s primary beneficiary. A reporting entity is determined to be a VIE’s primary beneficiary if it has the power to direct the activities that most significantly impact a VIE’s economic performance and the obligation to absorb losses or rights to receive benefits that could potentially be significant to a VIE.</w:t>
      </w:r>
    </w:p>
    <w:p>
      <w:pPr>
        <w:spacing w:after="0" w:line="83"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had 357, 342 and 324 stores operated by independent operators as of June 27, 2020, December 28, 2019 and June 29, 2019, respectively. We had agreements in place with each independent operator. The independent operator orders its merchandise exclusively from us which is provided to the independent operator on consignment. Under the independent operator agreement, the independent operator may select a majority of merchandise that we consign to the independent operator, which the independent operator chooses from our merchandise order guide according to the independent operator’s knowledge and experience with local customer purchasing trends, preferences, historical sales and similar factors. The independent operator agreement gives the independent operator discretion to adjust our initial prices if the overall effect of all price changes at any time comports with the reputation of our Grocery Outlet retail stores for selling quality, name-brand consumables and fresh products and other merchandise at extreme discounts. Independent operators are required to furnish initial working capital and to acquire certain store and safety assets. The independent operator is required to hire, train and employ a properly trained workforce sufficient in number to enable the independent operator to fulfill its obligations under the independent operator agreement. The independent operator is responsible for expenses required for business operations, including all labor costs, utilities, credit card processing fees, supplies, taxes, fines, levies and other expenses. Either party may terminate the independent operator agreement without cause upon 75 days’ notice.</w:t>
      </w:r>
    </w:p>
    <w:p>
      <w:pPr>
        <w:spacing w:after="0" w:line="6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As consignor of all merchandise to each independent operator, the aggregate net sales proceeds from merchandise sales belongs to us. Sales related to independent operator stores were $788.5 million and $629.7 million for the 13 weeks ended June 27, 2020 and June 29, 2019, respectively, and $1.53 billion and $1.22 billion for the 26 weeks ended June 27, 2020 and June 29, 2019, respectively. We, in turn, pay independent operators a commission based on a share of the gross profit of the store. Inventories and related sales proceeds are our property, and we are responsible for store rent and related occupancy costs. Independent operator commissions were expensed and included in selling, general and administrative expenses. Independent operator commissions were $122.5 million and $95.8 million for the 13 weeks ended June 27, 2020 and June 29, 2019, respectively, and $236.9 million and $187.0 million for the 26 weeks ended June 27, 2020 and June 29, 2019, respectively. Independent operator commissions of $9.4 million and $6.1 million were included in accrued expenses as of June 27, 2020 and December 28, 2019, respectively.</w:t>
      </w:r>
    </w:p>
    <w:p>
      <w:pPr>
        <w:spacing w:after="0" w:line="7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Independent operators may fund their initial store investment from existing capital, a third-party loan or most commonly through a loan from us, as further discussed in Note 2. As collateral for independent operator obligations and performance, the operator agreements grant us the security interests in the assets owned by the independent operator. The total investment at risk associated with each independent operator is not sufficient to permit each independent operator to finance its activities without additional subordinated financial support and, as a result, the independent operators are VIEs which we have variable interests in. To determine if we are the primary beneficiary of these VIEs, we evaluate whether we have (i) the power to direct the activities that most significantly impact the independent operator’s economic performance and (ii) the obligation to absorb losses or the right to receive benefits of the independent operator that could potentially be significant to the independent operator. Our evaluation includes identification of significant activities and an assessment of its ability to direct those activities.</w:t>
      </w:r>
    </w:p>
    <w:p>
      <w:pPr>
        <w:spacing w:after="0" w:line="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Activities that most significantly impact the independent operator economic performance relate to sales and labor. Sales activities that significantly impact the independent operators’ economic performance include determining what merchandise the independent operator will order and sell and the price of such merchandise, both of which the independent operator controls. The independent operator is also responsible for all of their own labor. Labor activities that significantly impact the independent operator’s economic performance include hiring, training, supervising, directing, compensating (including wages, salaries and employee benefits) and terminating all of the employees of the independent operator, activities which the independent operator controls. Accordingly, the independent operator has the power to direct the activities that most significantly impact the independent operator’s economic performance. Furthermore, the mutual termination rights associated with the operator agreements do not give the Company power over the independent operator.</w:t>
      </w:r>
    </w:p>
    <w:p>
      <w:pPr>
        <w:spacing w:after="0" w:line="8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Our maximum exposure to the independent operators is generally limited to the gross operator notes and receivables due from these entities, which was $40.6 million and $37.7 million as of June 27, 2020 and December 28, 2019, respectively. See Note 2 for additional information.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b w:val="1"/>
          <w:bCs w:val="1"/>
          <w:i w:val="1"/>
          <w:iCs w:val="1"/>
          <w:color w:val="auto"/>
        </w:rPr>
        <w:t xml:space="preserve">ASU No. 2016-13 </w:t>
      </w:r>
      <w:r>
        <w:rPr>
          <w:rFonts w:ascii="Arial" w:cs="Arial" w:eastAsia="Arial" w:hAnsi="Arial"/>
          <w:sz w:val="17"/>
          <w:szCs w:val="17"/>
          <w:color w:val="auto"/>
        </w:rPr>
        <w:t>— In June 2016, the Financial Accounting Standards Board (“FASB”) issued ASU No. 2016-13,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Measurement of Credit Losses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on Financial Instruments </w:t>
      </w:r>
      <w:r>
        <w:rPr>
          <w:rFonts w:ascii="Arial" w:cs="Arial" w:eastAsia="Arial" w:hAnsi="Arial"/>
          <w:sz w:val="17"/>
          <w:szCs w:val="17"/>
          <w:color w:val="auto"/>
        </w:rPr>
        <w:t>(“ASU 2016-13”). ASU 2016-13, which was further updated and clarified by the FASB through issuance of additional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ASUs, amends the guidance surrounding measurement and recognition of credit losses on financial assets measured at amortized cost, including trade receivables and debt securities, by requiring recognition of an allowance for credit losses expected to be incurred over an asset’s lifetime based on relevant information about past events, current conditions, and reasonable and supportable forecasts impacting the financial asset's ultimate collectability. This “expected loss” model will likely result in earlier recognition of credit losses than the previous “as incurred” model, under which losses were recognized only upon an occurrence of an event that gave rise to the incurrence of a probable loss. ASU 2016-13 is effective for fiscal years beginning after December 15, 2019, including interim periods within those fiscal years, and is to be adopted on a modified retrospective basis. We adopted ASU 2016-13 on December 29, 2019. The adoption of ASU 2016-13 resulted in a $0.4 million cumulative-effect adjustment to the opening balance of retained earnings. The adoption of the new standard did not have a material impact on our condensed consolidated statements of operations and comprehensive income or condensed consolidated statements of cash flows. See Note 2 for additional information.</w:t>
      </w:r>
    </w:p>
    <w:p>
      <w:pPr>
        <w:spacing w:after="0" w:line="7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ASU No. 2018-15 </w:t>
      </w:r>
      <w:r>
        <w:rPr>
          <w:rFonts w:ascii="Arial" w:cs="Arial" w:eastAsia="Arial" w:hAnsi="Arial"/>
          <w:sz w:val="18"/>
          <w:szCs w:val="18"/>
          <w:color w:val="auto"/>
        </w:rPr>
        <w:t>— In August 2018, the FASB issued ASU No. 2018-15,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Customer’s Accounting for Implementation Costs Incurred in a Cloud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Computing Arrangement That Is a Service Contract </w:t>
      </w:r>
      <w:r>
        <w:rPr>
          <w:rFonts w:ascii="Arial" w:cs="Arial" w:eastAsia="Arial" w:hAnsi="Arial"/>
          <w:sz w:val="18"/>
          <w:szCs w:val="18"/>
          <w:color w:val="auto"/>
        </w:rPr>
        <w:t>(“ASU 2018-15”). ASU 2018-15 aligns the requirements for capitalizing implementation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a hosting arrangement that is a service contract with the requirements for capitalizing implementation costs incurred to develop or obtain internal-use software. ASU 2018-15 is effective retrospectively for fiscal years and interim periods within those years beginning after December 15, 2019. We adopted ASU 2018-15 on December 29, 2019. The adoption of ASU 2018-15 did not have a material impact on our condensed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b w:val="1"/>
          <w:bCs w:val="1"/>
          <w:i w:val="1"/>
          <w:iCs w:val="1"/>
          <w:color w:val="auto"/>
        </w:rPr>
        <w:t xml:space="preserve">ASU No. 2019-12 </w:t>
      </w:r>
      <w:r>
        <w:rPr>
          <w:rFonts w:ascii="Arial" w:cs="Arial" w:eastAsia="Arial" w:hAnsi="Arial"/>
          <w:sz w:val="17"/>
          <w:szCs w:val="17"/>
          <w:color w:val="auto"/>
        </w:rPr>
        <w:t>— In December 2019, the FASB issued ASU No. 2019-12,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Simplifying the Accounting for Income Taxes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(“ASU 2019-12”). ASU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2019-12 simplifies accounting guidance for certain tax matters including franchise taxes, certain transactions that result in a step-up in tax basis of goodwill, and enacted changes in tax laws in interim periods. In addition, it eliminates a company’s need to evaluate certain exceptions relating to the incremental approach for intra-period tax allocation, accounting for basis differences when there are ownership changes in foreign investments, and interim period income tax accounting for year-to-date losses that exceed anticipated losses. ASU 2019-12 is effective for fiscal years beginning after December 15, 2020, including interim periods within those fiscal years. We will adopt ASU 2019-12 beginning in the first quarter of fiscal 2021 and are currently evaluating the impact on our condensed consolidated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Independent Operator Notes and Receivables</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amounts included in independent operator notes and accounts receivable consist primarily of funds we loaned to independent operators, net of estimated uncollectible amounts. Independent operator notes are payable on demand and typically bear interest at rates between 3.00% and 9.95%. Accrued interest receivable on independent operator notes is included within the “independent operator receivables and current portion of independent operator notes, net of allowance” line item on the condensed consolidated balance sheets and was $0.4 million and $0.5 million as of June 27, 2020 and December 28, 2019, respectively. There were no independent operator notes that were past due or on a non-accrual status due to delinquency as of June 27, 2020 or December 28, 2019. TCAP notes and receivables, as defined below, are not considered to be past due or on a non-accrual status due to delinquency and are excluded from such measures.</w:t>
      </w:r>
    </w:p>
    <w:p>
      <w:pPr>
        <w:spacing w:after="0" w:line="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Independent operator notes and receivables are financial assets which are measured and carried at amortized cost. An allowance for expected credit losses is deducted from (for expected losses) or added to (for expected recoveries) the amortized cost basis of these assets to arrive at the net carrying amount expected to be collected for such assets.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allowance is estimated using an expected loss framework which includes information about past events, current conditions, and reasonable and supportable forecasts that impact the collectibility of the reported amounts of the assets over their lifetime. The allowance is evaluated on a collective basis for assets with shared risk characteristics and credit quality indicators. The primary shared risk characteristic and credit quality indicator pools that we use as a basis for collective evaluation include:</w:t>
      </w:r>
    </w:p>
    <w:p>
      <w:pPr>
        <w:spacing w:after="0" w:line="79" w:lineRule="exact"/>
        <w:rPr>
          <w:sz w:val="20"/>
          <w:szCs w:val="20"/>
          <w:color w:val="auto"/>
        </w:rPr>
      </w:pPr>
    </w:p>
    <w:p>
      <w:pPr>
        <w:jc w:val="both"/>
        <w:ind w:left="980" w:hanging="324"/>
        <w:spacing w:after="0" w:line="275" w:lineRule="auto"/>
        <w:tabs>
          <w:tab w:leader="none" w:pos="975"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TCAP — Includes the notes and receivables of independent operators with stores that have been open for more than 18 months that are participating in our Temporary Commission Adjustment Program (“TCAP”) as of the end of each reporting period. TCAP allows us to provide a greater commission to participating independent operators who require assistance in meeting their working capital needs for various reasons, such as new or increased competition or differences in independent operator skills and experience. For independent operators participating in TCAP, we lower the interest rate and delay repayment obligations on their outstanding notes.</w:t>
      </w:r>
    </w:p>
    <w:p>
      <w:pPr>
        <w:spacing w:after="0" w:line="64" w:lineRule="exact"/>
        <w:rPr>
          <w:rFonts w:ascii="Arial" w:cs="Arial" w:eastAsia="Arial" w:hAnsi="Arial"/>
          <w:sz w:val="17"/>
          <w:szCs w:val="17"/>
          <w:b w:val="1"/>
          <w:bCs w:val="1"/>
          <w:color w:val="auto"/>
        </w:rPr>
      </w:pPr>
    </w:p>
    <w:p>
      <w:pPr>
        <w:ind w:left="980" w:right="20" w:hanging="324"/>
        <w:spacing w:after="0" w:line="282"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xml:space="preserve">Non-TCAP </w:t>
      </w:r>
      <w:r>
        <w:rPr>
          <w:rFonts w:ascii="Arial" w:cs="Arial" w:eastAsia="Arial" w:hAnsi="Arial"/>
          <w:sz w:val="18"/>
          <w:szCs w:val="18"/>
          <w:b w:val="1"/>
          <w:bCs w:val="1"/>
          <w:color w:val="auto"/>
        </w:rPr>
        <w:t>—</w:t>
      </w:r>
      <w:r>
        <w:rPr>
          <w:rFonts w:ascii="Arial" w:cs="Arial" w:eastAsia="Arial" w:hAnsi="Arial"/>
          <w:sz w:val="18"/>
          <w:szCs w:val="18"/>
          <w:color w:val="auto"/>
        </w:rPr>
        <w:t xml:space="preserve"> Includes the notes and receivables of independent operators with stores that have been open for more than 18 months that are not participating in TCAP as of the end of each reporting period.</w:t>
      </w:r>
    </w:p>
    <w:p>
      <w:pPr>
        <w:spacing w:after="0" w:line="53" w:lineRule="exact"/>
        <w:rPr>
          <w:rFonts w:ascii="Arial" w:cs="Arial" w:eastAsia="Arial" w:hAnsi="Arial"/>
          <w:sz w:val="18"/>
          <w:szCs w:val="18"/>
          <w:b w:val="1"/>
          <w:bCs w:val="1"/>
          <w:color w:val="auto"/>
        </w:rPr>
      </w:pPr>
    </w:p>
    <w:p>
      <w:pPr>
        <w:ind w:left="980" w:right="20" w:hanging="324"/>
        <w:spacing w:after="0" w:line="282"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xml:space="preserve">New store </w:t>
      </w:r>
      <w:r>
        <w:rPr>
          <w:rFonts w:ascii="Arial" w:cs="Arial" w:eastAsia="Arial" w:hAnsi="Arial"/>
          <w:sz w:val="18"/>
          <w:szCs w:val="18"/>
          <w:b w:val="1"/>
          <w:bCs w:val="1"/>
          <w:color w:val="auto"/>
        </w:rPr>
        <w:t>—</w:t>
      </w:r>
      <w:r>
        <w:rPr>
          <w:rFonts w:ascii="Arial" w:cs="Arial" w:eastAsia="Arial" w:hAnsi="Arial"/>
          <w:sz w:val="18"/>
          <w:szCs w:val="18"/>
          <w:color w:val="auto"/>
        </w:rPr>
        <w:t xml:space="preserve"> Includes the notes and receivables of independent operators with stores that have been open for less than 18 months as of the end of each reporting period.</w:t>
      </w:r>
    </w:p>
    <w:p>
      <w:pPr>
        <w:spacing w:after="0" w:line="58"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Assets without such shared risk characteristics or credit quality indicators, such as assets with unique circumstances or with delinquencies and historical losses in excess of their TCAP, non-TCAP or new store peers are evaluated on an individual basis.</w:t>
      </w:r>
    </w:p>
    <w:p>
      <w:pPr>
        <w:spacing w:after="0" w:line="6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Amounts due from independent operators and the related allowances as of June 27, 2020 and December 28, 2019 consisted of the following (in thousands)</w:t>
      </w:r>
      <w:r>
        <w:rPr>
          <w:rFonts w:ascii="Arial" w:cs="Arial" w:eastAsia="Arial" w:hAnsi="Arial"/>
          <w:sz w:val="19"/>
          <w:szCs w:val="19"/>
          <w:color w:val="auto"/>
        </w:rPr>
        <w:t>:</w:t>
      </w: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Current Portion</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Long-term</w:t>
            </w:r>
          </w:p>
        </w:tc>
        <w:tc>
          <w:tcPr>
            <w:tcW w:w="280" w:type="dxa"/>
            <w:vAlign w:val="bottom"/>
          </w:tcPr>
          <w:p>
            <w:pPr>
              <w:spacing w:after="0"/>
              <w:rPr>
                <w:sz w:val="13"/>
                <w:szCs w:val="13"/>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Current Portion</w:t>
            </w:r>
          </w:p>
        </w:tc>
        <w:tc>
          <w:tcPr>
            <w:tcW w:w="180" w:type="dxa"/>
            <w:vAlign w:val="bottom"/>
          </w:tcPr>
          <w:p>
            <w:pPr>
              <w:spacing w:after="0"/>
              <w:rPr>
                <w:sz w:val="13"/>
                <w:szCs w:val="13"/>
                <w:color w:val="auto"/>
              </w:rPr>
            </w:pPr>
          </w:p>
        </w:tc>
        <w:tc>
          <w:tcPr>
            <w:tcW w:w="96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Portion</w:t>
            </w: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Portion</w:t>
            </w:r>
          </w:p>
        </w:tc>
        <w:tc>
          <w:tcPr>
            <w:tcW w:w="0" w:type="dxa"/>
            <w:vAlign w:val="bottom"/>
          </w:tcPr>
          <w:p>
            <w:pPr>
              <w:spacing w:after="0"/>
              <w:rPr>
                <w:sz w:val="1"/>
                <w:szCs w:val="1"/>
                <w:color w:val="auto"/>
              </w:rPr>
            </w:pPr>
          </w:p>
        </w:tc>
      </w:tr>
      <w:tr>
        <w:trPr>
          <w:trHeight w:val="236"/>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27, 2020</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Independent operator notes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35,374</w:t>
            </w:r>
          </w:p>
        </w:tc>
        <w:tc>
          <w:tcPr>
            <w:tcW w:w="120" w:type="dxa"/>
            <w:vAlign w:val="bottom"/>
          </w:tcPr>
          <w:p>
            <w:pPr>
              <w:spacing w:after="0"/>
              <w:rPr>
                <w:sz w:val="21"/>
                <w:szCs w:val="21"/>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(8,064)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26,731</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7"/>
              <w:spacing w:after="0"/>
              <w:rPr>
                <w:sz w:val="20"/>
                <w:szCs w:val="20"/>
                <w:color w:val="auto"/>
              </w:rPr>
            </w:pPr>
            <w:r>
              <w:rPr>
                <w:rFonts w:ascii="Arial" w:cs="Arial" w:eastAsia="Arial" w:hAnsi="Arial"/>
                <w:sz w:val="18"/>
                <w:szCs w:val="18"/>
                <w:color w:val="auto"/>
              </w:rPr>
              <w:t>24,660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Independent operator receivables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5,247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4,712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900" w:type="dxa"/>
            <w:vAlign w:val="bottom"/>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40,621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(8,064)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31,443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6,783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rPr>
              <w:t>24,660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4"/>
        </w:trPr>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Current Portion</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Long-term</w:t>
            </w:r>
          </w:p>
        </w:tc>
        <w:tc>
          <w:tcPr>
            <w:tcW w:w="280" w:type="dxa"/>
            <w:vAlign w:val="bottom"/>
          </w:tcPr>
          <w:p>
            <w:pPr>
              <w:spacing w:after="0"/>
              <w:rPr>
                <w:sz w:val="13"/>
                <w:szCs w:val="13"/>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Current Portion</w:t>
            </w:r>
          </w:p>
        </w:tc>
        <w:tc>
          <w:tcPr>
            <w:tcW w:w="180" w:type="dxa"/>
            <w:vAlign w:val="bottom"/>
          </w:tcPr>
          <w:p>
            <w:pPr>
              <w:spacing w:after="0"/>
              <w:rPr>
                <w:sz w:val="13"/>
                <w:szCs w:val="13"/>
                <w:color w:val="auto"/>
              </w:rPr>
            </w:pPr>
          </w:p>
        </w:tc>
        <w:tc>
          <w:tcPr>
            <w:tcW w:w="96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Portion</w:t>
            </w: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Portion</w:t>
            </w:r>
          </w:p>
        </w:tc>
        <w:tc>
          <w:tcPr>
            <w:tcW w:w="0" w:type="dxa"/>
            <w:vAlign w:val="bottom"/>
          </w:tcPr>
          <w:p>
            <w:pPr>
              <w:spacing w:after="0"/>
              <w:rPr>
                <w:sz w:val="1"/>
                <w:szCs w:val="1"/>
                <w:color w:val="auto"/>
              </w:rPr>
            </w:pPr>
          </w:p>
        </w:tc>
      </w:tr>
      <w:tr>
        <w:trPr>
          <w:trHeight w:val="236"/>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28, 2019</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Independent operator notes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31,952</w:t>
            </w:r>
          </w:p>
        </w:tc>
        <w:tc>
          <w:tcPr>
            <w:tcW w:w="120" w:type="dxa"/>
            <w:vAlign w:val="bottom"/>
          </w:tcPr>
          <w:p>
            <w:pPr>
              <w:spacing w:after="0"/>
              <w:rPr>
                <w:sz w:val="21"/>
                <w:szCs w:val="21"/>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(9,088)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22,186</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7"/>
              <w:spacing w:after="0"/>
              <w:rPr>
                <w:sz w:val="20"/>
                <w:szCs w:val="20"/>
                <w:color w:val="auto"/>
              </w:rPr>
            </w:pPr>
            <w:r>
              <w:rPr>
                <w:rFonts w:ascii="Arial" w:cs="Arial" w:eastAsia="Arial" w:hAnsi="Arial"/>
                <w:sz w:val="18"/>
                <w:szCs w:val="18"/>
                <w:color w:val="auto"/>
              </w:rPr>
              <w:t>20,331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Independent operator receivables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5,753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5,148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900" w:type="dxa"/>
            <w:vAlign w:val="bottom"/>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37,705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(9,088)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27,334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7,003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rPr>
              <w:t>20,331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47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activity in the independent operator notes and receivable allowance was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13 Weeks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26 Weeks Ended</w:t>
            </w:r>
          </w:p>
        </w:tc>
      </w:tr>
      <w:tr>
        <w:trPr>
          <w:trHeight w:val="152"/>
        </w:trPr>
        <w:tc>
          <w:tcPr>
            <w:tcW w:w="6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29,</w:t>
            </w:r>
          </w:p>
        </w:tc>
        <w:tc>
          <w:tcPr>
            <w:tcW w:w="220" w:type="dxa"/>
            <w:vAlign w:val="bottom"/>
          </w:tcPr>
          <w:p>
            <w:pPr>
              <w:spacing w:after="0"/>
              <w:rPr>
                <w:sz w:val="13"/>
                <w:szCs w:val="13"/>
                <w:color w:val="auto"/>
              </w:rPr>
            </w:pPr>
          </w:p>
        </w:tc>
        <w:tc>
          <w:tcPr>
            <w:tcW w:w="10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92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6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10,592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10,259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10,371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9,067</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Provision for independent operator notes and receivables</w:t>
            </w: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2,208</w:t>
            </w: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Cumulative effect of accounting change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Write-off of provision for independent operator notes and receivables</w:t>
            </w: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(620)</w:t>
            </w:r>
          </w:p>
        </w:tc>
      </w:tr>
      <w:tr>
        <w:trPr>
          <w:trHeight w:val="27"/>
        </w:trPr>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9,178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10,655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9,178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10,655</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presents the amortized cost basis of independent operator notes by year of origination and credit quality indicator as of June 27, 2020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Credit Quality Indicator</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2020 (YTD)</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Prior</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250"/>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TCAP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3,750</w:t>
            </w:r>
          </w:p>
        </w:tc>
      </w:tr>
      <w:tr>
        <w:trPr>
          <w:trHeight w:val="243"/>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Non-TCAP</w:t>
            </w:r>
          </w:p>
        </w:tc>
        <w:tc>
          <w:tcPr>
            <w:tcW w:w="16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6,091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6,774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19,927</w:t>
            </w:r>
          </w:p>
        </w:tc>
      </w:tr>
      <w:tr>
        <w:trPr>
          <w:trHeight w:val="27"/>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New store</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6,921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11,697</w:t>
            </w:r>
          </w:p>
        </w:tc>
      </w:tr>
      <w:tr>
        <w:trPr>
          <w:trHeight w:val="264"/>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8,414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14,381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7,610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35,374</w:t>
            </w:r>
          </w:p>
        </w:tc>
      </w:tr>
      <w:tr>
        <w:trPr>
          <w:trHeight w:val="20"/>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85"/>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9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2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generally lease retail facilities for store locations, distribution centers, office space and equipment and account for these leases as operating leases. We account for one retail store lease and certain equipment leases as finance leases. Lease right-of-use assets and lease liabilities are recognized at the lease commencement date based on the present value of the lease payments over the lease term. As most of our leases do not provide an implicit rate, we use our incremental borrowing rate based on information available at the lease commencement date to determine the present value of lease payments. Leases with an initial term of 12 months or less are not recorded on the balance sheet; lease expense for these short-term leases is recognized on a straight-line basis over the lease term.</w:t>
      </w:r>
    </w:p>
    <w:p>
      <w:pPr>
        <w:spacing w:after="0" w:line="8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Leases for 15 of our store locations and one warehouse location are controlled by related parties. As of June 27, 2020, the right-of-use assets and lease liabilities related to these properties were $41.2 million and $45.5 million, respectively. As of June 27, 2020, we had executed leases for 34 store locations that we had not yet taken possession of with total undiscounted future lease payments of $204.0 million over approximately 17 years.</w:t>
      </w:r>
    </w:p>
    <w:p>
      <w:pPr>
        <w:spacing w:after="0" w:line="5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lease terms may include options to extend the lease when we are reasonably certain that we will exercise such options. Based upon our initial investment in store leasehold improvements, we utilize an initial reasonably certain lease life of 15 years. Most leases include one or more options to renew, with renewal terms that can extend the lease term from five to 15 years or more. Our leases do not include any material residual value guarantees or material restrictive covenants. We also have non-cancelable subleases with unrelated third parties with future minimum rental receipts as of June 27, 2020 totaling $4.6 million ending in various years through 2028 which have not been deducted from the future minimum lease payments.</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balance sheet classification of our right-of-use lease assets and lease liabilities as of June 27, 2020 was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6"/>
                <w:szCs w:val="16"/>
                <w:color w:val="auto"/>
              </w:rPr>
            </w:pPr>
          </w:p>
        </w:tc>
        <w:tc>
          <w:tcPr>
            <w:tcW w:w="480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Operating lease assets</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784,224</w:t>
            </w:r>
          </w:p>
        </w:tc>
      </w:tr>
      <w:tr>
        <w:trPr>
          <w:trHeight w:val="27"/>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Finance lease assets</w:t>
            </w:r>
          </w:p>
        </w:tc>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5,921</w:t>
            </w:r>
          </w:p>
        </w:tc>
      </w:tr>
      <w:tr>
        <w:trPr>
          <w:trHeight w:val="263"/>
        </w:trPr>
        <w:tc>
          <w:tcPr>
            <w:tcW w:w="4840" w:type="dxa"/>
            <w:vAlign w:val="bottom"/>
            <w:gridSpan w:val="2"/>
          </w:tcPr>
          <w:p>
            <w:pPr>
              <w:ind w:left="460"/>
              <w:spacing w:after="0"/>
              <w:rPr>
                <w:sz w:val="20"/>
                <w:szCs w:val="20"/>
                <w:color w:val="auto"/>
              </w:rPr>
            </w:pPr>
            <w:r>
              <w:rPr>
                <w:rFonts w:ascii="Arial" w:cs="Arial" w:eastAsia="Arial" w:hAnsi="Arial"/>
                <w:sz w:val="18"/>
                <w:szCs w:val="18"/>
                <w:color w:val="auto"/>
              </w:rPr>
              <w:t>Total leased assets</w:t>
            </w:r>
          </w:p>
        </w:tc>
        <w:tc>
          <w:tcPr>
            <w:tcW w:w="4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790,145</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4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lease liabilities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42,546</w:t>
            </w:r>
          </w:p>
        </w:tc>
      </w:tr>
      <w:tr>
        <w:trPr>
          <w:trHeight w:val="24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Finance</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Current lease liabilities</w:t>
            </w:r>
          </w:p>
        </w:tc>
        <w:tc>
          <w:tcPr>
            <w:tcW w:w="4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837</w:t>
            </w:r>
          </w:p>
        </w:tc>
      </w:tr>
      <w:tr>
        <w:trPr>
          <w:trHeight w:val="27"/>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4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Operating</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Long-term lease liabilities</w:t>
            </w:r>
          </w:p>
        </w:tc>
        <w:tc>
          <w:tcPr>
            <w:tcW w:w="4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818,527</w:t>
            </w:r>
          </w:p>
        </w:tc>
      </w:tr>
      <w:tr>
        <w:trPr>
          <w:trHeight w:val="27"/>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Finance</w:t>
            </w:r>
          </w:p>
        </w:tc>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lease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5,173</w:t>
            </w:r>
          </w:p>
        </w:tc>
      </w:tr>
      <w:tr>
        <w:trPr>
          <w:trHeight w:val="264"/>
        </w:trPr>
        <w:tc>
          <w:tcPr>
            <w:tcW w:w="4840" w:type="dxa"/>
            <w:vAlign w:val="bottom"/>
            <w:gridSpan w:val="2"/>
          </w:tcPr>
          <w:p>
            <w:pPr>
              <w:ind w:left="340"/>
              <w:spacing w:after="0"/>
              <w:rPr>
                <w:sz w:val="20"/>
                <w:szCs w:val="20"/>
                <w:color w:val="auto"/>
              </w:rPr>
            </w:pPr>
            <w:r>
              <w:rPr>
                <w:rFonts w:ascii="Arial" w:cs="Arial" w:eastAsia="Arial" w:hAnsi="Arial"/>
                <w:sz w:val="18"/>
                <w:szCs w:val="18"/>
                <w:color w:val="auto"/>
              </w:rPr>
              <w:t>Total lease liabilities</w:t>
            </w:r>
          </w:p>
        </w:tc>
        <w:tc>
          <w:tcPr>
            <w:tcW w:w="4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867,083</w:t>
            </w: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0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Lease Cost</w:t>
            </w:r>
          </w:p>
        </w:tc>
        <w:tc>
          <w:tcPr>
            <w:tcW w:w="100" w:type="dxa"/>
            <w:vAlign w:val="bottom"/>
            <w:vMerge w:val="restart"/>
          </w:tcPr>
          <w:p>
            <w:pPr>
              <w:spacing w:after="0"/>
              <w:rPr>
                <w:sz w:val="13"/>
                <w:szCs w:val="13"/>
                <w:color w:val="auto"/>
              </w:rPr>
            </w:pPr>
          </w:p>
        </w:tc>
        <w:tc>
          <w:tcPr>
            <w:tcW w:w="24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46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June 29,</w:t>
            </w:r>
          </w:p>
        </w:tc>
        <w:tc>
          <w:tcPr>
            <w:tcW w:w="280" w:type="dxa"/>
            <w:vAlign w:val="bottom"/>
          </w:tcPr>
          <w:p>
            <w:pPr>
              <w:spacing w:after="0"/>
              <w:rPr>
                <w:sz w:val="13"/>
                <w:szCs w:val="13"/>
                <w:color w:val="auto"/>
              </w:rPr>
            </w:pPr>
          </w:p>
        </w:tc>
        <w:tc>
          <w:tcPr>
            <w:tcW w:w="130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27,</w:t>
            </w:r>
          </w:p>
        </w:tc>
        <w:tc>
          <w:tcPr>
            <w:tcW w:w="460" w:type="dxa"/>
            <w:vAlign w:val="bottom"/>
          </w:tcPr>
          <w:p>
            <w:pPr>
              <w:spacing w:after="0"/>
              <w:rPr>
                <w:sz w:val="13"/>
                <w:szCs w:val="13"/>
                <w:color w:val="auto"/>
              </w:rPr>
            </w:pPr>
          </w:p>
        </w:tc>
        <w:tc>
          <w:tcPr>
            <w:tcW w:w="1020" w:type="dxa"/>
            <w:vAlign w:val="bottom"/>
          </w:tcPr>
          <w:p>
            <w:pPr>
              <w:jc w:val="right"/>
              <w:ind w:right="395"/>
              <w:spacing w:after="0" w:line="153" w:lineRule="exact"/>
              <w:rPr>
                <w:sz w:val="20"/>
                <w:szCs w:val="20"/>
                <w:color w:val="auto"/>
              </w:rPr>
            </w:pPr>
            <w:r>
              <w:rPr>
                <w:rFonts w:ascii="Arial" w:cs="Arial" w:eastAsia="Arial" w:hAnsi="Arial"/>
                <w:sz w:val="14"/>
                <w:szCs w:val="14"/>
                <w:b w:val="1"/>
                <w:bCs w:val="1"/>
                <w:color w:val="auto"/>
                <w:w w:val="92"/>
              </w:rPr>
              <w:t>June 29,</w:t>
            </w:r>
          </w:p>
        </w:tc>
        <w:tc>
          <w:tcPr>
            <w:tcW w:w="0" w:type="dxa"/>
            <w:vAlign w:val="bottom"/>
          </w:tcPr>
          <w:p>
            <w:pPr>
              <w:spacing w:after="0"/>
              <w:rPr>
                <w:sz w:val="1"/>
                <w:szCs w:val="1"/>
                <w:color w:val="auto"/>
              </w:rPr>
            </w:pPr>
          </w:p>
        </w:tc>
      </w:tr>
      <w:tr>
        <w:trPr>
          <w:trHeight w:val="192"/>
        </w:trPr>
        <w:tc>
          <w:tcPr>
            <w:tcW w:w="2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8"/>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27,569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23,663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54,083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46,874</w:t>
            </w:r>
          </w:p>
        </w:tc>
        <w:tc>
          <w:tcPr>
            <w:tcW w:w="0" w:type="dxa"/>
            <w:vAlign w:val="bottom"/>
          </w:tcPr>
          <w:p>
            <w:pPr>
              <w:spacing w:after="0"/>
              <w:rPr>
                <w:sz w:val="1"/>
                <w:szCs w:val="1"/>
                <w:color w:val="auto"/>
              </w:rPr>
            </w:pPr>
          </w:p>
        </w:tc>
      </w:tr>
      <w:tr>
        <w:trPr>
          <w:trHeight w:val="243"/>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2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right-of-use</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assets</w:t>
            </w:r>
          </w:p>
        </w:tc>
        <w:tc>
          <w:tcPr>
            <w:tcW w:w="2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2500" w:type="dxa"/>
            <w:vAlign w:val="bottom"/>
            <w:gridSpan w:val="2"/>
          </w:tcPr>
          <w:p>
            <w:pPr>
              <w:ind w:left="220"/>
              <w:spacing w:after="0"/>
              <w:rPr>
                <w:sz w:val="20"/>
                <w:szCs w:val="20"/>
                <w:color w:val="auto"/>
              </w:rPr>
            </w:pPr>
            <w:r>
              <w:rPr>
                <w:rFonts w:ascii="Arial" w:cs="Arial" w:eastAsia="Arial" w:hAnsi="Arial"/>
                <w:sz w:val="18"/>
                <w:szCs w:val="18"/>
                <w:color w:val="auto"/>
              </w:rPr>
              <w:t>Interest on leased liabilities</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37"/>
        </w:trPr>
        <w:tc>
          <w:tcPr>
            <w:tcW w:w="2500" w:type="dxa"/>
            <w:vAlign w:val="bottom"/>
            <w:gridSpan w:val="2"/>
          </w:tcPr>
          <w:p>
            <w:pPr>
              <w:ind w:left="460"/>
              <w:spacing w:after="0"/>
              <w:rPr>
                <w:sz w:val="20"/>
                <w:szCs w:val="20"/>
                <w:color w:val="auto"/>
              </w:rPr>
            </w:pPr>
            <w:r>
              <w:rPr>
                <w:rFonts w:ascii="Arial" w:cs="Arial" w:eastAsia="Arial" w:hAnsi="Arial"/>
                <w:sz w:val="18"/>
                <w:szCs w:val="18"/>
                <w:color w:val="auto"/>
              </w:rPr>
              <w:t>Net lease cost</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27,610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23,593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54,161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46,695</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Short-term lease expense and variable lease payments recorded in operating expenses for the 13 and 26 weeks ended June 27, 2020 and June 29, 2019 were immaterial.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Maturities of lease liabilities as of June 27, 2020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3"/>
              </w:rPr>
              <w:t>Operating Leases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Finance Leases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fiscal 2020</w:t>
            </w: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51,786</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52,372</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Fiscal 2021</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105,518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106,708</w:t>
            </w:r>
          </w:p>
        </w:tc>
      </w:tr>
      <w:tr>
        <w:trPr>
          <w:trHeight w:val="27"/>
        </w:trPr>
        <w:tc>
          <w:tcPr>
            <w:tcW w:w="5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105,387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106,523</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105,266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106,300</w:t>
            </w:r>
          </w:p>
        </w:tc>
      </w:tr>
      <w:tr>
        <w:trPr>
          <w:trHeight w:val="27"/>
        </w:trPr>
        <w:tc>
          <w:tcPr>
            <w:tcW w:w="5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104,470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105,439</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839,954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842,497</w:t>
            </w:r>
          </w:p>
        </w:tc>
      </w:tr>
      <w:tr>
        <w:trPr>
          <w:trHeight w:val="27"/>
        </w:trPr>
        <w:tc>
          <w:tcPr>
            <w:tcW w:w="5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1,312,381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1,319,839</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(451,308)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(452,756)</w:t>
            </w:r>
          </w:p>
        </w:tc>
      </w:tr>
      <w:tr>
        <w:trPr>
          <w:trHeight w:val="27"/>
        </w:trPr>
        <w:tc>
          <w:tcPr>
            <w:tcW w:w="5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3"/>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Present value of lease liabilities</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861,073</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60" w:type="dxa"/>
            <w:vAlign w:val="bottom"/>
            <w:shd w:val="clear" w:color="auto" w:fill="CCEEFF"/>
          </w:tcPr>
          <w:p>
            <w:pPr>
              <w:spacing w:after="0"/>
              <w:rPr>
                <w:sz w:val="24"/>
                <w:szCs w:val="24"/>
                <w:color w:val="auto"/>
              </w:rPr>
            </w:pPr>
          </w:p>
        </w:tc>
        <w:tc>
          <w:tcPr>
            <w:tcW w:w="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867,083</w:t>
            </w:r>
          </w:p>
        </w:tc>
      </w:tr>
      <w:tr>
        <w:trPr>
          <w:trHeight w:val="20"/>
        </w:trPr>
        <w:tc>
          <w:tcPr>
            <w:tcW w:w="656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406"/>
        </w:trPr>
        <w:tc>
          <w:tcPr>
            <w:tcW w:w="8020" w:type="dxa"/>
            <w:vAlign w:val="bottom"/>
            <w:gridSpan w:val="4"/>
          </w:tcPr>
          <w:p>
            <w:pPr>
              <w:ind w:left="500"/>
              <w:spacing w:after="0"/>
              <w:rPr>
                <w:sz w:val="20"/>
                <w:szCs w:val="20"/>
                <w:color w:val="auto"/>
              </w:rPr>
            </w:pPr>
            <w:r>
              <w:rPr>
                <w:rFonts w:ascii="Arial" w:cs="Arial" w:eastAsia="Arial" w:hAnsi="Arial"/>
                <w:sz w:val="18"/>
                <w:szCs w:val="18"/>
                <w:color w:val="auto"/>
              </w:rPr>
              <w:t>The weighted-average lease term and discount rate as of June 27, 2020 were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35"/>
        </w:trPr>
        <w:tc>
          <w:tcPr>
            <w:tcW w:w="5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340"/>
              <w:spacing w:after="0"/>
              <w:rPr>
                <w:sz w:val="20"/>
                <w:szCs w:val="20"/>
                <w:color w:val="auto"/>
              </w:rPr>
            </w:pPr>
            <w:r>
              <w:rPr>
                <w:rFonts w:ascii="Arial" w:cs="Arial" w:eastAsia="Arial" w:hAnsi="Arial"/>
                <w:sz w:val="18"/>
                <w:szCs w:val="18"/>
                <w:color w:val="auto"/>
              </w:rPr>
              <w:t>Operating leases</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 years</w:t>
            </w:r>
          </w:p>
        </w:tc>
      </w:tr>
      <w:tr>
        <w:trPr>
          <w:trHeight w:val="27"/>
        </w:trPr>
        <w:tc>
          <w:tcPr>
            <w:tcW w:w="5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Finance leases</w:t>
            </w: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years</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leases</w:t>
            </w: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7.19 %</w:t>
            </w:r>
          </w:p>
        </w:tc>
      </w:tr>
      <w:tr>
        <w:trPr>
          <w:trHeight w:val="243"/>
        </w:trPr>
        <w:tc>
          <w:tcPr>
            <w:tcW w:w="5340" w:type="dxa"/>
            <w:vAlign w:val="bottom"/>
          </w:tcPr>
          <w:p>
            <w:pPr>
              <w:ind w:left="340"/>
              <w:spacing w:after="0"/>
              <w:rPr>
                <w:sz w:val="20"/>
                <w:szCs w:val="20"/>
                <w:color w:val="auto"/>
              </w:rPr>
            </w:pPr>
            <w:r>
              <w:rPr>
                <w:rFonts w:ascii="Arial" w:cs="Arial" w:eastAsia="Arial" w:hAnsi="Arial"/>
                <w:sz w:val="18"/>
                <w:szCs w:val="18"/>
                <w:color w:val="auto"/>
              </w:rPr>
              <w:t>Finance leases</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6.14 %</w:t>
            </w:r>
          </w:p>
        </w:tc>
      </w:tr>
      <w:tr>
        <w:trPr>
          <w:trHeight w:val="459"/>
        </w:trPr>
        <w:tc>
          <w:tcPr>
            <w:tcW w:w="8020" w:type="dxa"/>
            <w:vAlign w:val="bottom"/>
            <w:gridSpan w:val="4"/>
          </w:tcPr>
          <w:p>
            <w:pPr>
              <w:ind w:left="500"/>
              <w:spacing w:after="0"/>
              <w:rPr>
                <w:sz w:val="20"/>
                <w:szCs w:val="20"/>
                <w:color w:val="auto"/>
              </w:rPr>
            </w:pPr>
            <w:r>
              <w:rPr>
                <w:rFonts w:ascii="Arial" w:cs="Arial" w:eastAsia="Arial" w:hAnsi="Arial"/>
                <w:sz w:val="18"/>
                <w:szCs w:val="18"/>
                <w:color w:val="auto"/>
              </w:rPr>
              <w:t>Supplemental cash flow information related to operating leases was as follows (in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1"/>
        </w:trPr>
        <w:tc>
          <w:tcPr>
            <w:tcW w:w="5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26 Weeks Ended</w:t>
            </w:r>
          </w:p>
        </w:tc>
        <w:tc>
          <w:tcPr>
            <w:tcW w:w="1060" w:type="dxa"/>
            <w:vAlign w:val="bottom"/>
            <w:tcBorders>
              <w:bottom w:val="single" w:sz="8" w:color="auto"/>
            </w:tcBorders>
          </w:tcPr>
          <w:p>
            <w:pPr>
              <w:spacing w:after="0"/>
              <w:rPr>
                <w:sz w:val="24"/>
                <w:szCs w:val="24"/>
                <w:color w:val="auto"/>
              </w:rPr>
            </w:pPr>
          </w:p>
        </w:tc>
      </w:tr>
      <w:tr>
        <w:trPr>
          <w:trHeight w:val="152"/>
        </w:trPr>
        <w:tc>
          <w:tcPr>
            <w:tcW w:w="5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jc w:val="right"/>
              <w:ind w:right="433"/>
              <w:spacing w:after="0" w:line="153" w:lineRule="exact"/>
              <w:rPr>
                <w:sz w:val="20"/>
                <w:szCs w:val="20"/>
                <w:color w:val="auto"/>
              </w:rPr>
            </w:pPr>
            <w:r>
              <w:rPr>
                <w:rFonts w:ascii="Arial" w:cs="Arial" w:eastAsia="Arial" w:hAnsi="Arial"/>
                <w:sz w:val="14"/>
                <w:szCs w:val="14"/>
                <w:b w:val="1"/>
                <w:bCs w:val="1"/>
                <w:color w:val="auto"/>
                <w:w w:val="92"/>
              </w:rPr>
              <w:t>June 29,</w:t>
            </w:r>
          </w:p>
        </w:tc>
      </w:tr>
      <w:tr>
        <w:trPr>
          <w:trHeight w:val="192"/>
        </w:trPr>
        <w:tc>
          <w:tcPr>
            <w:tcW w:w="53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5340" w:type="dxa"/>
            <w:vAlign w:val="bottom"/>
          </w:tcPr>
          <w:p>
            <w:pPr>
              <w:ind w:left="520"/>
              <w:spacing w:after="0"/>
              <w:rPr>
                <w:sz w:val="20"/>
                <w:szCs w:val="20"/>
                <w:color w:val="auto"/>
              </w:rPr>
            </w:pPr>
            <w:r>
              <w:rPr>
                <w:rFonts w:ascii="Arial" w:cs="Arial" w:eastAsia="Arial" w:hAnsi="Arial"/>
                <w:sz w:val="18"/>
                <w:szCs w:val="18"/>
                <w:color w:val="auto"/>
              </w:rPr>
              <w:t>Operating cash flows used by operating leases</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49,108</w:t>
            </w:r>
          </w:p>
        </w:tc>
        <w:tc>
          <w:tcPr>
            <w:tcW w:w="60" w:type="dxa"/>
            <w:vAlign w:val="bottom"/>
          </w:tcPr>
          <w:p>
            <w:pPr>
              <w:spacing w:after="0"/>
              <w:rPr>
                <w:sz w:val="21"/>
                <w:szCs w:val="21"/>
                <w:color w:val="auto"/>
              </w:rPr>
            </w:pPr>
          </w:p>
        </w:tc>
        <w:tc>
          <w:tcPr>
            <w:tcW w:w="5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43,015</w:t>
            </w:r>
          </w:p>
        </w:tc>
      </w:tr>
      <w:tr>
        <w:trPr>
          <w:trHeight w:val="27"/>
        </w:trPr>
        <w:tc>
          <w:tcPr>
            <w:tcW w:w="5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Leased assets obtained in exchange for new operating lease liabilities</w:t>
            </w:r>
          </w:p>
        </w:tc>
        <w:tc>
          <w:tcPr>
            <w:tcW w:w="1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57,627</w:t>
            </w:r>
          </w:p>
        </w:tc>
        <w:tc>
          <w:tcPr>
            <w:tcW w:w="60" w:type="dxa"/>
            <w:vAlign w:val="bottom"/>
            <w:shd w:val="clear" w:color="auto" w:fill="CCEEFF"/>
          </w:tcPr>
          <w:p>
            <w:pPr>
              <w:spacing w:after="0"/>
              <w:rPr>
                <w:sz w:val="23"/>
                <w:szCs w:val="23"/>
                <w:color w:val="auto"/>
              </w:rPr>
            </w:pPr>
          </w:p>
        </w:tc>
        <w:tc>
          <w:tcPr>
            <w:tcW w:w="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57,020</w:t>
            </w:r>
          </w:p>
        </w:tc>
      </w:tr>
      <w:tr>
        <w:trPr>
          <w:trHeight w:val="891"/>
        </w:trPr>
        <w:tc>
          <w:tcPr>
            <w:tcW w:w="5340" w:type="dxa"/>
            <w:vAlign w:val="bottom"/>
          </w:tcPr>
          <w:p>
            <w:pPr>
              <w:spacing w:after="0"/>
              <w:rPr>
                <w:sz w:val="24"/>
                <w:szCs w:val="24"/>
                <w:color w:val="auto"/>
              </w:rPr>
            </w:pPr>
          </w:p>
        </w:tc>
        <w:tc>
          <w:tcPr>
            <w:tcW w:w="1220" w:type="dxa"/>
            <w:vAlign w:val="bottom"/>
          </w:tcPr>
          <w:p>
            <w:pPr>
              <w:jc w:val="right"/>
              <w:ind w:right="75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Long-Term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28,</w:t>
            </w:r>
          </w:p>
        </w:tc>
      </w:tr>
      <w:tr>
        <w:trPr>
          <w:trHeight w:val="192"/>
        </w:trPr>
        <w:tc>
          <w:tcPr>
            <w:tcW w:w="8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r>
      <w:tr>
        <w:trPr>
          <w:trHeight w:val="23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Lien Credit Agreement:</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60" w:type="dxa"/>
            <w:vAlign w:val="bottom"/>
          </w:tcPr>
          <w:p>
            <w:pPr>
              <w:ind w:left="120"/>
              <w:spacing w:after="0"/>
              <w:rPr>
                <w:sz w:val="20"/>
                <w:szCs w:val="20"/>
                <w:color w:val="auto"/>
              </w:rPr>
            </w:pPr>
            <w:r>
              <w:rPr>
                <w:rFonts w:ascii="Arial" w:cs="Arial" w:eastAsia="Arial" w:hAnsi="Arial"/>
                <w:sz w:val="18"/>
                <w:szCs w:val="18"/>
                <w:color w:val="auto"/>
              </w:rPr>
              <w:t>Term loan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460,000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460,188</w:t>
            </w: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246</w:t>
            </w:r>
          </w:p>
        </w:tc>
      </w:tr>
      <w:tr>
        <w:trPr>
          <w:trHeight w:val="237"/>
        </w:trPr>
        <w:tc>
          <w:tcPr>
            <w:tcW w:w="8160" w:type="dxa"/>
            <w:vAlign w:val="bottom"/>
          </w:tcPr>
          <w:p>
            <w:pPr>
              <w:ind w:left="220"/>
              <w:spacing w:after="0"/>
              <w:rPr>
                <w:sz w:val="20"/>
                <w:szCs w:val="20"/>
                <w:color w:val="auto"/>
              </w:rPr>
            </w:pPr>
            <w:r>
              <w:rPr>
                <w:rFonts w:ascii="Arial" w:cs="Arial" w:eastAsia="Arial" w:hAnsi="Arial"/>
                <w:sz w:val="18"/>
                <w:szCs w:val="18"/>
                <w:color w:val="auto"/>
              </w:rPr>
              <w:t>Long-term debt, gross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460,112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460,434</w:t>
            </w: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debt discounts and debt issuance costs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(12,445)</w:t>
            </w:r>
          </w:p>
        </w:tc>
      </w:tr>
      <w:tr>
        <w:trPr>
          <w:trHeight w:val="237"/>
        </w:trPr>
        <w:tc>
          <w:tcPr>
            <w:tcW w:w="8160" w:type="dxa"/>
            <w:vAlign w:val="bottom"/>
          </w:tcPr>
          <w:p>
            <w:pPr>
              <w:ind w:left="220"/>
              <w:spacing w:after="0"/>
              <w:rPr>
                <w:sz w:val="20"/>
                <w:szCs w:val="20"/>
                <w:color w:val="auto"/>
              </w:rPr>
            </w:pPr>
            <w:r>
              <w:rPr>
                <w:rFonts w:ascii="Arial" w:cs="Arial" w:eastAsia="Arial" w:hAnsi="Arial"/>
                <w:sz w:val="18"/>
                <w:szCs w:val="18"/>
                <w:color w:val="auto"/>
              </w:rPr>
              <w:t>Long-term debt, less unamortized debt discounts and debt issuance costs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448,160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447,989</w:t>
            </w: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w:t>
            </w:r>
          </w:p>
        </w:tc>
      </w:tr>
      <w:tr>
        <w:trPr>
          <w:trHeight w:val="263"/>
        </w:trPr>
        <w:tc>
          <w:tcPr>
            <w:tcW w:w="8160" w:type="dxa"/>
            <w:vAlign w:val="bottom"/>
          </w:tcPr>
          <w:p>
            <w:pPr>
              <w:ind w:left="220"/>
              <w:spacing w:after="0"/>
              <w:rPr>
                <w:sz w:val="20"/>
                <w:szCs w:val="20"/>
                <w:color w:val="auto"/>
              </w:rPr>
            </w:pPr>
            <w:r>
              <w:rPr>
                <w:rFonts w:ascii="Arial" w:cs="Arial" w:eastAsia="Arial" w:hAnsi="Arial"/>
                <w:sz w:val="18"/>
                <w:szCs w:val="18"/>
                <w:color w:val="auto"/>
              </w:rPr>
              <w:t>Long-term debt,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448,048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447,743</w:t>
            </w:r>
          </w:p>
        </w:tc>
      </w:tr>
      <w:tr>
        <w:trPr>
          <w:trHeight w:val="21"/>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Agreement</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On October 22, 2018, GOBP Holdings, Inc (“GOBP Holdings”), our wholly owned subsidiary, together with another of our wholly owned subsidiaries, entered into a first lien credit agreement (the “First Lien Credit Agreement”) with a syndicate of lenders for a $725.0 million senior term loan and a revolving credit facility for an amount up to $100.0 million, with a sub-commitment for a $35.0 million letter of credit and a sub-commitment for $20.0 million of swingline loans. Borrowings under the First Lien Credit Agreement are secured by substantially all the assets of the borrower subsidiary and its guarantors. The term loan proceeds were primarily used for retiring our prior first lien credit agreement and paying cash dividends related to our 2018 recapitalization. As of June 27, 2020, we had standby letters of credit outstanding totaling $3.5 million under the First Lien Credit Agreement.</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Term Loans</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First Lien Credit Agreement permits voluntary prepayment on borrowings without premium or penalty. In connection with the closing of our IPO, we prepaid $248.0 million of principal and $3.8 million of interest on the outstanding term loan under the First Lien Credit Agreement on June 24, 2019 and elected to apply the prepayment against the remaining principal installments in the direct order of maturity. No further principal payment on the term loan will be due until the maturity date of this term loan. The terms of the First Lien Credit Agreement include mandatory prepayment requirements on the term loan if certain conditions are met (as described in the First Lien Credit Agreement).</w:t>
      </w:r>
    </w:p>
    <w:p>
      <w:pPr>
        <w:spacing w:after="0" w:line="6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b w:val="1"/>
          <w:bCs w:val="1"/>
          <w:i w:val="1"/>
          <w:iCs w:val="1"/>
          <w:color w:val="auto"/>
        </w:rPr>
        <w:t xml:space="preserve">First Incremental Agreement </w:t>
      </w:r>
      <w:r>
        <w:rPr>
          <w:rFonts w:ascii="Arial" w:cs="Arial" w:eastAsia="Arial" w:hAnsi="Arial"/>
          <w:sz w:val="18"/>
          <w:szCs w:val="18"/>
          <w:color w:val="auto"/>
        </w:rPr>
        <w:t>— On July 23, 2019, GOBP Holdings together with another of our wholly owned subsidiaries entered into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incremental agreement (the “First Incremental Agreement”) to amend the First Lien Credit Agreement. The First Incremental Agreement refinanced the term loan outstanding under the First Lien Credit Agreement with a replacement $475.2 million senior secured term loan (the “First Replacement Term Loan”) with an applicable margin of 3.50% or 3.25% for Eurodollar loans and 2.50% or 2.25% for base rate loans, in each case depending on the public corporate family rating of GOBP Holdings. The First Replacement Term Loan matured on October 22, 2025, which was the same maturity date as the prior term loan under the First Lien Credit Agreement. We wrote off debt issuance costs of $0.3 million and incurred debt modification costs of $0.2 million during the third quarter of fiscal 2019 in connection with this refinance. On October 23, 2019, we prepaid $15.0 million of principal on the First Replacement Term Loan.</w:t>
      </w:r>
    </w:p>
    <w:p>
      <w:pPr>
        <w:spacing w:after="0" w:line="8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b w:val="1"/>
          <w:bCs w:val="1"/>
          <w:i w:val="1"/>
          <w:iCs w:val="1"/>
          <w:color w:val="auto"/>
        </w:rPr>
        <w:t xml:space="preserve">Second Incremental Agreement </w:t>
      </w:r>
      <w:r>
        <w:rPr>
          <w:rFonts w:ascii="Arial" w:cs="Arial" w:eastAsia="Arial" w:hAnsi="Arial"/>
          <w:sz w:val="18"/>
          <w:szCs w:val="18"/>
          <w:color w:val="auto"/>
        </w:rPr>
        <w:t>— On January 24, 2020, GOBP Holdings together with another of our wholly owned subsidiaries, entered into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 incremental agreement (the “Second Incremental Agreement”) which amended the First Incremental Agreement. The Second Incremental Agreement refinanced the First Replacement Term loan under the First Incremental Agreement with a replacement $460.0 million senior secured term loan (the “Second Replacement Term Loan”) with an applicable margin of 2.75% for Eurodollar loans and 1.75% for base rate loans, in each case depending on the public corporate family rating of GOBP Holdings, and made certain other corresponding technical changes and updates to the First Incremental Agreement. The interest rate on the Second Replacement Term Loan was 3.74% as of June 27, 2020. The Second Replacement Term Loan matures on October 22, 2025, which is the same maturity date as prior term loans under the First Lien Credit Agreement and First Incremental Agreement. We wrote off debt issuance costs of $0.1 million and incurred debt modification costs of $0.1 million during the first quarter of fiscal 2020 in connection with this refinance.</w:t>
      </w:r>
    </w:p>
    <w:p>
      <w:pPr>
        <w:spacing w:after="0" w:line="8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Other than as described above, the Second Replacement Term Loan has the same terms as provided under the original First Lien Credit Agreement and the First Incremental Agreement. Additionally, the parties to the Second Incremental Agreement continue to have the same obligations set forth in the original First Lien Credit Agreement and the First Incremental Agreement (collectively, the “First Lien Credit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are required to pay a quarterly commitment fee ranging from 0.25% to 0.50% on the daily unused amount of the commitment under the revolving credit facility based upon the leverage ratio defined in the agreement and certain criteria specified in the agreement. We are also required to pay fronting fees and other customary fees for letters of credit issued under the revolving credit facility. On March 19, 2020, we borrowed $90.0 million under the revolving credit facility of our First Lien Credit Agreement (the “Revolving Credit Facility Loan”), the proceeds of which were to be used as reserve funding for working capital needs as a precautionary measure in light of the economic uncertainty surrounding the COVID-19 pandemic. On May 26, 2020, we repaid the Revolving Credit Facility Loan in full. As of June 27, 2020, we had $96.5 million of borrowing capacity available under the revolving credit facility.</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First Lien Credit Agreement contains certain customary representations and warranties, subject to limitations and exceptions, and affirmative and customary covenants. The First Lien Credit Agreement has the ability to restrict us from entering into certain types of transactions and making certain types of payments including dividends and stock repurchase and other similar distributions, with certain exceptions. Additionally, the revolving credit facility under our First Lien Credit Agreement is subject to a first lien secured leverage ratio (as defined in the First Lien Credit Agreement) of 7.00 to 1.00.</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27, 2020, we were in compliance with all applicable financial covenant requirements for our First Lien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Principal Maturities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maturities of debt as of June 27, 2020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2020</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Fiscal 2021</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460,112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Interest Expense</w:t>
            </w: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80" w:type="dxa"/>
            <w:vAlign w:val="bottom"/>
            <w:gridSpan w:val="2"/>
          </w:tcPr>
          <w:p>
            <w:pPr>
              <w:ind w:left="500"/>
              <w:spacing w:after="0"/>
              <w:rPr>
                <w:sz w:val="20"/>
                <w:szCs w:val="20"/>
                <w:color w:val="auto"/>
              </w:rPr>
            </w:pPr>
            <w:r>
              <w:rPr>
                <w:rFonts w:ascii="Arial" w:cs="Arial" w:eastAsia="Arial" w:hAnsi="Arial"/>
                <w:sz w:val="18"/>
                <w:szCs w:val="18"/>
                <w:color w:val="auto"/>
                <w:w w:val="94"/>
              </w:rPr>
              <w:t>Interest expense, net, consisted of the following (in thousands):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9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48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460" w:type="dxa"/>
            <w:vAlign w:val="bottom"/>
          </w:tcPr>
          <w:p>
            <w:pPr>
              <w:spacing w:after="0"/>
              <w:rPr>
                <w:sz w:val="13"/>
                <w:szCs w:val="13"/>
                <w:color w:val="auto"/>
              </w:rPr>
            </w:pPr>
          </w:p>
        </w:tc>
        <w:tc>
          <w:tcPr>
            <w:tcW w:w="1020" w:type="dxa"/>
            <w:vAlign w:val="bottom"/>
          </w:tcPr>
          <w:p>
            <w:pPr>
              <w:jc w:val="right"/>
              <w:ind w:right="392"/>
              <w:spacing w:after="0" w:line="153" w:lineRule="exact"/>
              <w:rPr>
                <w:sz w:val="20"/>
                <w:szCs w:val="20"/>
                <w:color w:val="auto"/>
              </w:rPr>
            </w:pPr>
            <w:r>
              <w:rPr>
                <w:rFonts w:ascii="Arial" w:cs="Arial" w:eastAsia="Arial" w:hAnsi="Arial"/>
                <w:sz w:val="14"/>
                <w:szCs w:val="14"/>
                <w:b w:val="1"/>
                <w:bCs w:val="1"/>
                <w:color w:val="auto"/>
                <w:w w:val="92"/>
              </w:rPr>
              <w:t>June 29,</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loans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4,998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10,788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31,256</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21"/>
                <w:szCs w:val="21"/>
                <w:color w:val="auto"/>
              </w:rPr>
            </w:pPr>
          </w:p>
        </w:tc>
        <w:tc>
          <w:tcPr>
            <w:tcW w:w="1180" w:type="dxa"/>
            <w:vAlign w:val="bottom"/>
          </w:tcPr>
          <w:p>
            <w:pPr>
              <w:jc w:val="right"/>
              <w:ind w:right="76"/>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finance leases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80" w:type="dxa"/>
            <w:vAlign w:val="bottom"/>
          </w:tcPr>
          <w:p>
            <w:pPr>
              <w:jc w:val="right"/>
              <w:ind w:right="7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64"/>
        </w:trPr>
        <w:tc>
          <w:tcPr>
            <w:tcW w:w="498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5,270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15,452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11,104</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31,890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 and Modification Costs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Debt extinguishment and modification costs consisted of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0"/>
              </w:rPr>
              <w:t>13 Weeks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1020" w:type="dxa"/>
            <w:vAlign w:val="bottom"/>
            <w:tcBorders>
              <w:bottom w:val="single" w:sz="8" w:color="auto"/>
            </w:tcBorders>
          </w:tcPr>
          <w:p>
            <w:pPr>
              <w:spacing w:after="0"/>
              <w:rPr>
                <w:sz w:val="16"/>
                <w:szCs w:val="16"/>
                <w:color w:val="auto"/>
              </w:rPr>
            </w:pPr>
          </w:p>
        </w:tc>
      </w:tr>
      <w:tr>
        <w:trPr>
          <w:trHeight w:val="152"/>
        </w:trPr>
        <w:tc>
          <w:tcPr>
            <w:tcW w:w="4980" w:type="dxa"/>
            <w:vAlign w:val="bottom"/>
          </w:tcPr>
          <w:p>
            <w:pPr>
              <w:spacing w:after="0"/>
              <w:rPr>
                <w:sz w:val="13"/>
                <w:szCs w:val="13"/>
                <w:color w:val="auto"/>
              </w:rPr>
            </w:pPr>
          </w:p>
        </w:tc>
        <w:tc>
          <w:tcPr>
            <w:tcW w:w="10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27,</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460" w:type="dxa"/>
            <w:vAlign w:val="bottom"/>
          </w:tcPr>
          <w:p>
            <w:pPr>
              <w:spacing w:after="0"/>
              <w:rPr>
                <w:sz w:val="13"/>
                <w:szCs w:val="13"/>
                <w:color w:val="auto"/>
              </w:rPr>
            </w:pPr>
          </w:p>
        </w:tc>
        <w:tc>
          <w:tcPr>
            <w:tcW w:w="102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w w:val="92"/>
              </w:rPr>
              <w:t>June 29,</w:t>
            </w:r>
          </w:p>
        </w:tc>
      </w:tr>
      <w:tr>
        <w:trPr>
          <w:trHeight w:val="192"/>
        </w:trPr>
        <w:tc>
          <w:tcPr>
            <w:tcW w:w="49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24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 off of debt issuance costs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3,788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3,788</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Debt modification costs</w:t>
            </w:r>
          </w:p>
        </w:tc>
        <w:tc>
          <w:tcPr>
            <w:tcW w:w="1020" w:type="dxa"/>
            <w:vAlign w:val="bottom"/>
          </w:tcPr>
          <w:p>
            <w:pPr>
              <w:spacing w:after="0"/>
              <w:rPr>
                <w:sz w:val="21"/>
                <w:szCs w:val="21"/>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58"/>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 off of loan discounts</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1,374</w:t>
            </w:r>
          </w:p>
        </w:tc>
      </w:tr>
      <w:tr>
        <w:trPr>
          <w:trHeight w:val="264"/>
        </w:trPr>
        <w:tc>
          <w:tcPr>
            <w:tcW w:w="4980" w:type="dxa"/>
            <w:vAlign w:val="bottom"/>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5,162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5,162</w:t>
            </w:r>
          </w:p>
        </w:tc>
      </w:tr>
      <w:tr>
        <w:trPr>
          <w:trHeight w:val="20"/>
        </w:trPr>
        <w:tc>
          <w:tcPr>
            <w:tcW w:w="4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Share-based Awards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Incentive Plans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Globe Holding Corp. 2014 Stock Incentive Plan (the “2014 Plan”) became effective on October 21, 2014. Under the 2014 Plan, we granted stock options and restricted stock units (“RSUs”) to purchase shares of our common stock. Effective as of June 19, 2019, we terminated the 2014 Plan and as a result no further equity awards may be issued under the 2014 Plan. Any outstanding awards granted under the 2014 Plan will remain subject to the terms of the 2014 Plan and the applicable equity award agreements.</w:t>
      </w:r>
    </w:p>
    <w:p>
      <w:pPr>
        <w:spacing w:after="0" w:line="79"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On June 4, 2019, our board of directors and stockholders approved the Grocery Outlet Holding Corp. 2019 Incentive Plan (the “2019 Plan”). A total of 4,597,862 shares of common stock were reserved for issuance under the 2019 Plan at that time. In addition, on the first day of each fiscal year beginning in fiscal 2020 and ending in fiscal 2029, the 2019 Plan provides for an annual automatic increase of the shares reserved for issuance in an amount equal to the positive difference between (i) 4% of the outstanding common stock on the last day of the immediately preceding fiscal year and (ii) the plan share reserve on the last day of the immediately preceding fiscal year, or a lesser number as determined by our board of directors. As of June 27, 2020, there were a total of 5,057,940 shares of common stock reserved for issuance under the 2019 Plan, which includes 460,078 shares added effective December 29, 2019 per the above noted automatic increase. As of June 27, 2020, there were 3,082,587 shares available for issuance under the 2019 Plan.</w:t>
      </w:r>
    </w:p>
    <w:p>
      <w:pPr>
        <w:spacing w:after="0" w:line="5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On April 28, 2020, the Compensation Committee approved a long-term incentive program (the “LTIP”) under the 2019 Plan. During the 13 weeks ended June 27, 2020, we granted time-based restricted stock units (“RSUs”) and performance-based restricted stock units (“PSUs”) under the LTIP. RSUs granted under the LTIP generally vest over three years. Half of the total PSUs granted under the LTIP will vest upon the achievement of certain revenue-based performance targets (“Tranche I PSUs”) and half will vest upon the achievement of certain adjusted EBITDA-based performance targets (“Tranche II PSUs”) as determined by the Compensation Committee following the last day of the three-year performance period from December 29, 2019 to December 31, 2022. The number of PSUs ultimately earned will equal the number of Tranche I and Tranche II PSUs granted multiplied by the applicable percentage of actual revenue and adjusted-EBITDA performance target levels achieved, and can range from 0% to 200% of the number of PSUs granted based on the following performance target levels and percentages: below minimum (0%); minimum (50%); target (100%); maximum (200%); above maximum (200%). Actual performance target level achievement percentages that fall between the minimum and target performance levels and the target and maximum performance levels will be determined using linear interpolation.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Determination</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fair value of stock option, RSU and PSU awards is determined as of the grant date. For time-based stock options, a Black-Scholes valuation model is utilized to estimate the fair value of the awards. For performance-based stock options, a Monte Carlo simulation approach implemented in a risk-neutral framework is utilized to estimate the fair value of the awards. For RSUs and PSUs, the closing price of our common stock as reported on the grant date is utilized to estimate the fair value of the awards.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determine the input assumptions for the Black-Scholes stock option valuation model as follows:</w:t>
      </w:r>
    </w:p>
    <w:p>
      <w:pPr>
        <w:spacing w:after="0" w:line="113" w:lineRule="exact"/>
        <w:rPr>
          <w:sz w:val="20"/>
          <w:szCs w:val="20"/>
          <w:color w:val="auto"/>
        </w:rPr>
      </w:pPr>
    </w:p>
    <w:p>
      <w:pPr>
        <w:jc w:val="both"/>
        <w:ind w:left="980" w:hanging="324"/>
        <w:spacing w:after="0" w:line="314" w:lineRule="auto"/>
        <w:tabs>
          <w:tab w:leader="none" w:pos="975"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 xml:space="preserve">Expected term </w:t>
      </w:r>
      <w:r>
        <w:rPr>
          <w:rFonts w:ascii="Arial" w:cs="Arial" w:eastAsia="Arial" w:hAnsi="Arial"/>
          <w:sz w:val="16"/>
          <w:szCs w:val="16"/>
          <w:b w:val="1"/>
          <w:bCs w:val="1"/>
          <w:color w:val="auto"/>
        </w:rPr>
        <w:t>—</w:t>
      </w:r>
      <w:r>
        <w:rPr>
          <w:rFonts w:ascii="Arial" w:cs="Arial" w:eastAsia="Arial" w:hAnsi="Arial"/>
          <w:sz w:val="16"/>
          <w:szCs w:val="16"/>
          <w:color w:val="auto"/>
        </w:rPr>
        <w:t xml:space="preserve"> The expected term represents the period that a stock option award is expected to be outstanding. We have limited historical exercise data from which to derive expected term input assumptions. Consequently, we calculate expected term using the SEC simplified method whereby the expected term of a stock option award is equal to the average of the award's contractual term and vesting term.</w:t>
      </w:r>
    </w:p>
    <w:p>
      <w:pPr>
        <w:spacing w:after="0" w:line="33" w:lineRule="exact"/>
        <w:rPr>
          <w:rFonts w:ascii="Arial" w:cs="Arial" w:eastAsia="Arial" w:hAnsi="Arial"/>
          <w:sz w:val="16"/>
          <w:szCs w:val="16"/>
          <w:b w:val="1"/>
          <w:bCs w:val="1"/>
          <w:color w:val="auto"/>
        </w:rPr>
      </w:pPr>
    </w:p>
    <w:p>
      <w:pPr>
        <w:jc w:val="both"/>
        <w:ind w:left="980" w:hanging="324"/>
        <w:spacing w:after="0" w:line="261" w:lineRule="auto"/>
        <w:tabs>
          <w:tab w:leader="none" w:pos="97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 xml:space="preserve">Volatility </w:t>
      </w:r>
      <w:r>
        <w:rPr>
          <w:rFonts w:ascii="Arial" w:cs="Arial" w:eastAsia="Arial" w:hAnsi="Arial"/>
          <w:sz w:val="18"/>
          <w:szCs w:val="18"/>
          <w:b w:val="1"/>
          <w:bCs w:val="1"/>
          <w:color w:val="auto"/>
        </w:rPr>
        <w:t>—</w:t>
      </w:r>
      <w:r>
        <w:rPr>
          <w:rFonts w:ascii="Arial" w:cs="Arial" w:eastAsia="Arial" w:hAnsi="Arial"/>
          <w:sz w:val="18"/>
          <w:szCs w:val="18"/>
          <w:color w:val="auto"/>
        </w:rPr>
        <w:t xml:space="preserve"> We have limited historical data from which to derive stock price volatility input assumptions. Consequently, we estimate stock price volatility for our common stock by taking the average historic price volatility for industry peers based on daily price observations over a period equivalent to the expected term of the stock option award. Industry peers consist of several public companies in our industry which are of similar size, complexity and stage of development.</w:t>
      </w:r>
    </w:p>
    <w:p>
      <w:pPr>
        <w:spacing w:after="0" w:line="71" w:lineRule="exact"/>
        <w:rPr>
          <w:rFonts w:ascii="Arial" w:cs="Arial" w:eastAsia="Arial" w:hAnsi="Arial"/>
          <w:sz w:val="18"/>
          <w:szCs w:val="18"/>
          <w:b w:val="1"/>
          <w:bCs w:val="1"/>
          <w:color w:val="auto"/>
        </w:rPr>
      </w:pPr>
    </w:p>
    <w:p>
      <w:pPr>
        <w:ind w:left="980" w:hanging="324"/>
        <w:spacing w:after="0" w:line="282" w:lineRule="auto"/>
        <w:tabs>
          <w:tab w:leader="none" w:pos="97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 xml:space="preserve">Risk-free interest rate </w:t>
      </w:r>
      <w:r>
        <w:rPr>
          <w:rFonts w:ascii="Arial" w:cs="Arial" w:eastAsia="Arial" w:hAnsi="Arial"/>
          <w:sz w:val="18"/>
          <w:szCs w:val="18"/>
          <w:b w:val="1"/>
          <w:bCs w:val="1"/>
          <w:color w:val="auto"/>
        </w:rPr>
        <w:t>—</w:t>
      </w:r>
      <w:r>
        <w:rPr>
          <w:rFonts w:ascii="Arial" w:cs="Arial" w:eastAsia="Arial" w:hAnsi="Arial"/>
          <w:sz w:val="18"/>
          <w:szCs w:val="18"/>
          <w:color w:val="auto"/>
        </w:rPr>
        <w:t xml:space="preserve"> The risk-free interest rate is based on the U.S. Treasury yield curve in effective on a stock option award's grant date for U.S Treasury securities with maturities that approximate the expected term of the stock option award.</w:t>
      </w:r>
    </w:p>
    <w:p>
      <w:pPr>
        <w:spacing w:after="0" w:line="53" w:lineRule="exact"/>
        <w:rPr>
          <w:rFonts w:ascii="Arial" w:cs="Arial" w:eastAsia="Arial" w:hAnsi="Arial"/>
          <w:sz w:val="18"/>
          <w:szCs w:val="18"/>
          <w:b w:val="1"/>
          <w:bCs w:val="1"/>
          <w:color w:val="auto"/>
        </w:rPr>
      </w:pPr>
    </w:p>
    <w:p>
      <w:pPr>
        <w:ind w:left="980" w:right="20" w:hanging="324"/>
        <w:spacing w:after="0" w:line="282" w:lineRule="auto"/>
        <w:tabs>
          <w:tab w:leader="none" w:pos="97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 xml:space="preserve">Dividend yield </w:t>
      </w:r>
      <w:r>
        <w:rPr>
          <w:rFonts w:ascii="Arial" w:cs="Arial" w:eastAsia="Arial" w:hAnsi="Arial"/>
          <w:sz w:val="18"/>
          <w:szCs w:val="18"/>
          <w:b w:val="1"/>
          <w:bCs w:val="1"/>
          <w:color w:val="auto"/>
        </w:rPr>
        <w:t>—</w:t>
      </w:r>
      <w:r>
        <w:rPr>
          <w:rFonts w:ascii="Arial" w:cs="Arial" w:eastAsia="Arial" w:hAnsi="Arial"/>
          <w:sz w:val="18"/>
          <w:szCs w:val="18"/>
          <w:color w:val="auto"/>
        </w:rPr>
        <w:t xml:space="preserve"> Dividend yield is assumed to be zero as we have not paid and do not expect to pay cash dividends on our common shares subsequent to our IPO.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Activity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stock option activity under all equity incentive plans during the 26 weeks ended June 27,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Time-Based Stock Options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454"/>
              <w:spacing w:after="0"/>
              <w:rPr>
                <w:sz w:val="20"/>
                <w:szCs w:val="20"/>
                <w:color w:val="auto"/>
              </w:rPr>
            </w:pPr>
            <w:r>
              <w:rPr>
                <w:rFonts w:ascii="Arial" w:cs="Arial" w:eastAsia="Arial" w:hAnsi="Arial"/>
                <w:sz w:val="14"/>
                <w:szCs w:val="14"/>
                <w:b w:val="1"/>
                <w:bCs w:val="1"/>
                <w:color w:val="auto"/>
              </w:rPr>
              <w:t>Performance-Based Stock Options</w:t>
            </w:r>
          </w:p>
        </w:tc>
        <w:tc>
          <w:tcPr>
            <w:tcW w:w="0" w:type="dxa"/>
            <w:vAlign w:val="bottom"/>
          </w:tcPr>
          <w:p>
            <w:pPr>
              <w:spacing w:after="0"/>
              <w:rPr>
                <w:sz w:val="1"/>
                <w:szCs w:val="1"/>
                <w:color w:val="auto"/>
              </w:rPr>
            </w:pPr>
          </w:p>
        </w:tc>
      </w:tr>
      <w:tr>
        <w:trPr>
          <w:trHeight w:val="152"/>
        </w:trPr>
        <w:tc>
          <w:tcPr>
            <w:tcW w:w="4760" w:type="dxa"/>
            <w:vAlign w:val="bottom"/>
          </w:tcPr>
          <w:p>
            <w:pPr>
              <w:spacing w:after="0"/>
              <w:rPr>
                <w:sz w:val="13"/>
                <w:szCs w:val="13"/>
                <w:color w:val="auto"/>
              </w:rPr>
            </w:pPr>
          </w:p>
        </w:tc>
        <w:tc>
          <w:tcPr>
            <w:tcW w:w="15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Weighted-Average</w:t>
            </w:r>
          </w:p>
        </w:tc>
        <w:tc>
          <w:tcPr>
            <w:tcW w:w="160" w:type="dxa"/>
            <w:vAlign w:val="bottom"/>
          </w:tcPr>
          <w:p>
            <w:pPr>
              <w:spacing w:after="0"/>
              <w:rPr>
                <w:sz w:val="13"/>
                <w:szCs w:val="13"/>
                <w:color w:val="auto"/>
              </w:rPr>
            </w:pPr>
          </w:p>
        </w:tc>
        <w:tc>
          <w:tcPr>
            <w:tcW w:w="138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3"/>
              </w:rPr>
              <w:t>Number of Options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6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as of December 28, 2019</w:t>
            </w:r>
          </w:p>
        </w:tc>
        <w:tc>
          <w:tcPr>
            <w:tcW w:w="15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6,243,667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5,777,121</w:t>
            </w: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43"/>
        </w:trPr>
        <w:tc>
          <w:tcPr>
            <w:tcW w:w="47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tcPr>
          <w:p>
            <w:pPr>
              <w:jc w:val="right"/>
              <w:ind w:right="16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(1,433,680)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(894,946)</w:t>
            </w:r>
          </w:p>
        </w:tc>
        <w:tc>
          <w:tcPr>
            <w:tcW w:w="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43"/>
        </w:trPr>
        <w:tc>
          <w:tcPr>
            <w:tcW w:w="4760" w:type="dxa"/>
            <w:vAlign w:val="bottom"/>
          </w:tcPr>
          <w:p>
            <w:pPr>
              <w:ind w:left="120"/>
              <w:spacing w:after="0"/>
              <w:rPr>
                <w:sz w:val="20"/>
                <w:szCs w:val="20"/>
                <w:color w:val="auto"/>
              </w:rPr>
            </w:pPr>
            <w:r>
              <w:rPr>
                <w:rFonts w:ascii="Arial" w:cs="Arial" w:eastAsia="Arial" w:hAnsi="Arial"/>
                <w:sz w:val="18"/>
                <w:szCs w:val="18"/>
                <w:color w:val="auto"/>
              </w:rPr>
              <w:t>Forfeitures</w:t>
            </w: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(49,871)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21"/>
                <w:szCs w:val="21"/>
                <w:color w:val="auto"/>
              </w:rPr>
            </w:pPr>
          </w:p>
        </w:tc>
        <w:tc>
          <w:tcPr>
            <w:tcW w:w="1540" w:type="dxa"/>
            <w:vAlign w:val="bottom"/>
            <w:gridSpan w:val="2"/>
          </w:tcPr>
          <w:p>
            <w:pPr>
              <w:jc w:val="right"/>
              <w:ind w:right="124"/>
              <w:spacing w:after="0"/>
              <w:rPr>
                <w:sz w:val="20"/>
                <w:szCs w:val="20"/>
                <w:color w:val="auto"/>
              </w:rPr>
            </w:pPr>
            <w:r>
              <w:rPr>
                <w:rFonts w:ascii="Arial" w:cs="Arial" w:eastAsia="Arial" w:hAnsi="Arial"/>
                <w:sz w:val="18"/>
                <w:szCs w:val="18"/>
                <w:color w:val="auto"/>
              </w:rPr>
              <w:t>(13,071)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June 27, 2020</w:t>
            </w:r>
          </w:p>
        </w:tc>
        <w:tc>
          <w:tcPr>
            <w:tcW w:w="15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4,760,116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auto"/>
            </w:tcBorders>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4,869,104</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60" w:type="dxa"/>
            <w:vAlign w:val="bottom"/>
          </w:tcPr>
          <w:p>
            <w:pPr>
              <w:ind w:left="20"/>
              <w:spacing w:after="0"/>
              <w:rPr>
                <w:sz w:val="20"/>
                <w:szCs w:val="20"/>
                <w:color w:val="auto"/>
              </w:rPr>
            </w:pPr>
            <w:r>
              <w:rPr>
                <w:rFonts w:ascii="Arial" w:cs="Arial" w:eastAsia="Arial" w:hAnsi="Arial"/>
                <w:sz w:val="18"/>
                <w:szCs w:val="18"/>
                <w:color w:val="auto"/>
              </w:rPr>
              <w:t>Options vested and expected to vest as of June 27, 2020</w:t>
            </w:r>
          </w:p>
        </w:tc>
        <w:tc>
          <w:tcPr>
            <w:tcW w:w="15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4,760,116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1540" w:type="dxa"/>
            <w:vAlign w:val="bottom"/>
            <w:tcBorders>
              <w:bottom w:val="single" w:sz="8" w:color="auto"/>
            </w:tcBorders>
            <w:gridSpan w:val="2"/>
          </w:tcPr>
          <w:p>
            <w:pPr>
              <w:jc w:val="right"/>
              <w:ind w:right="164"/>
              <w:spacing w:after="0"/>
              <w:rPr>
                <w:sz w:val="20"/>
                <w:szCs w:val="20"/>
                <w:color w:val="auto"/>
              </w:rPr>
            </w:pPr>
            <w:r>
              <w:rPr>
                <w:rFonts w:ascii="Arial" w:cs="Arial" w:eastAsia="Arial" w:hAnsi="Arial"/>
                <w:sz w:val="18"/>
                <w:szCs w:val="18"/>
                <w:color w:val="auto"/>
              </w:rPr>
              <w:t>4,869,104</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 as of June 27, 2020</w:t>
            </w:r>
          </w:p>
        </w:tc>
        <w:tc>
          <w:tcPr>
            <w:tcW w:w="15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3,124,297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auto"/>
            </w:tcBorders>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4,869,104</w:t>
            </w:r>
          </w:p>
        </w:tc>
        <w:tc>
          <w:tcPr>
            <w:tcW w:w="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560" w:type="dxa"/>
            <w:vAlign w:val="bottom"/>
            <w:gridSpan w:val="8"/>
          </w:tcPr>
          <w:p>
            <w:pPr>
              <w:jc w:val="right"/>
              <w:ind w:right="24"/>
              <w:spacing w:after="0"/>
              <w:rPr>
                <w:sz w:val="20"/>
                <w:szCs w:val="20"/>
                <w:color w:val="auto"/>
              </w:rPr>
            </w:pPr>
            <w:r>
              <w:rPr>
                <w:rFonts w:ascii="Arial" w:cs="Arial" w:eastAsia="Arial" w:hAnsi="Arial"/>
                <w:sz w:val="18"/>
                <w:szCs w:val="18"/>
                <w:color w:val="auto"/>
                <w:w w:val="96"/>
              </w:rPr>
              <w:t>The following table summarizes our RSU activity under all equity incentive plans during the 26 weeks ended June 27, 2020: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6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December 28, 2019</w:t>
            </w: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190,872</w:t>
            </w: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43"/>
        </w:trPr>
        <w:tc>
          <w:tcPr>
            <w:tcW w:w="47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265,062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36.91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(92,986)</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43"/>
        </w:trPr>
        <w:tc>
          <w:tcPr>
            <w:tcW w:w="4760" w:type="dxa"/>
            <w:vAlign w:val="bottom"/>
          </w:tcPr>
          <w:p>
            <w:pPr>
              <w:ind w:left="120"/>
              <w:spacing w:after="0"/>
              <w:rPr>
                <w:sz w:val="20"/>
                <w:szCs w:val="20"/>
                <w:color w:val="auto"/>
              </w:rPr>
            </w:pPr>
            <w:r>
              <w:rPr>
                <w:rFonts w:ascii="Arial" w:cs="Arial" w:eastAsia="Arial" w:hAnsi="Arial"/>
                <w:sz w:val="18"/>
                <w:szCs w:val="18"/>
                <w:color w:val="auto"/>
              </w:rPr>
              <w:t>Forfeitures</w:t>
            </w: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(8,937)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June 27, 2020</w:t>
            </w: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354,011</w:t>
            </w: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PSU activity under the 2019 Plan during the 26 weeks ended June 27, 2020:</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4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113"/>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26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December 28, 2019</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272,640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4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Forfeitures</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as of June 27, 2020</w:t>
            </w:r>
          </w:p>
        </w:tc>
        <w:tc>
          <w:tcPr>
            <w:tcW w:w="1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272,153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recognize compensation expense for stock options and RSUs by amortizing the grant date fair value on a straight-line basis over the expected vesting period to the extent we determine the vesting of the grant is probable. We recognize share-based award forfeitures in the period such forfeitures occur.</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Time-Based Stock Options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did not record compensation expense for time-based stock options grants prior to the closing of our IPO because such time-based options were subject to a post-termination repurchase right by us until certain contingent events such as involuntary termination, a change in control, or an initial public offering occurred, and such contingent events were not deemed probable during any interim or fiscal period prior to our IPO. As a result of this repurchase right feature, other than in limited circumstances, stock issued upon the exercise of these options could be repurchased at our discretion at the lower of fair value or the applicable exercise price. The repurchase right feature lapsed upon the closing of our IPO on June 24, 2019 (the “IPO closing date”). Subsequent to the IPO closing date, we recognized share-based compensation expense for prior service completed as of the IPO closing date and began recognizing the remaining unamortized share-based compensation expense related to these outstanding time-based stock options over the remaining service period.</w:t>
      </w:r>
    </w:p>
    <w:p>
      <w:pPr>
        <w:spacing w:after="0" w:line="8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During the 13 weeks ended June 27, 2020 and June 29, 2019, we recognized $0.7 million and $22.5 million, respectively, of share-based compensation expense for time-based stock options. During the 26 weeks ended June 27, 2020 and June 29, 2019, we recognized $1.5 million and $22.5 million, respectively, of share-based compensation expense for time-based stock options. Unamortized compensation cost related to unvested time-based stock options was $8.2 million as of June 27, 2020, $7.1 million of which relates to time-based stock options granted at the time of our IPO. The $8.2 million of unamortized compensation cost is expected to be amortized over a weighted average period of approximately 3.00 years.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Performance-Based Stock Options</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did not record compensation expense for performance-based stock options during the 13 and 26 weeks ended June 29, 2019 because the performance criteria of such awards had not been achieved and the ultimate vesting of the awards was not considered probable as of June 29, 2019. On February 3, 2020 and April 27, 2020, certain selling stockholders completed secondary public offerings of shares of our common stock. In conjunction with these secondary offerings, certain performance criteria were achieved resulting in the vesting of 4.1 million and 1.7 million performance-based stock options, respectively, and the recognition of $18.5 million and $7.6 million, respectively, of share-based compensation expense associated with the vesting of these performance-based stock options. As of June 27, 2020, all outstanding performance-based stock options are fully vested and fully expensed.</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Time-Based Restricted Stock Units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the 13 weeks ended June 27, 2020 and June 29, 2019, we recognized $1.3 million and $0.2 million, respectively, of share-based compensation expense for RSUs held by employees and non-employee directors. During the 26 weeks ended June 27, 2020 and June 29, 2019, we recognized $2.2 million and $0.3 million, respectively, of share-based compensation expense for RSUs held by employees and non-employee directors. Unamortized compensation cost related to unvested RSUs was $10.7 million as of June 27, 2020, which is expected to be amortized over a weighted average period of approximately 2.60 years.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As of June 27, 2020, it was deemed probable that the target level of achievement of the Tranche I and Tranche II PSU performance conditions would be achieved, and accordingly, we recognized $0.5 million of share-based compensation expense for the Tranche I and Tranche II PSUs during the 13 weeks ended June 27, 2020 which represents the expense associated with the expected level of achievement. There were no such amounts recognized in comparable prior year periods. Unamortized compensation cost related to the expected level of achievement of unvested PSUs was $9.6 million as of June 27, 2020, which is expected to be amortized over a weighted average period of approximately 2.50 years.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For time-based stock options and RSU share-based awards that were outstanding on the dividend dates of June 23, 2016 and October 22, 2018 and that are expected to vest during fiscal 2020 and beyond, we intend to make dividend payments as these time-based stock options and RSUs vest. Pursuant to the 2014 Plan, if we are unable to make those payments, we may instead elect to reduce the per share exercise price of each such time-based stock option by an amount equal to the dividend amount in lieu of making the applicable dividend payment. As such, our dividends are not considered declared and payable and are not accrued as a liability in our condensed consolidated balance sheets as of June 27, 2020. We paid an immaterial amount of cash dividends on vested time-based stock options and RSUs during the 13 and 26 weeks ended June 27, 2020 and June 29, 2019, respectively, which was included in share-based compensation expense for those respective periods. Unamortized compensation cost related to future dividend payments on unvested time-based stock options and RSU share-based awards was approximately $0.6 million as of June 27, 2020.</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income tax benefit and effective income tax rate were as follows (dollars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1060" w:type="dxa"/>
            <w:vAlign w:val="bottom"/>
            <w:tcBorders>
              <w:bottom w:val="single" w:sz="8" w:color="auto"/>
            </w:tcBorders>
          </w:tcPr>
          <w:p>
            <w:pPr>
              <w:spacing w:after="0"/>
              <w:rPr>
                <w:sz w:val="16"/>
                <w:szCs w:val="16"/>
                <w:color w:val="auto"/>
              </w:rPr>
            </w:pPr>
          </w:p>
        </w:tc>
      </w:tr>
      <w:tr>
        <w:trPr>
          <w:trHeight w:val="152"/>
        </w:trPr>
        <w:tc>
          <w:tcPr>
            <w:tcW w:w="4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27,</w:t>
            </w:r>
          </w:p>
        </w:tc>
        <w:tc>
          <w:tcPr>
            <w:tcW w:w="480" w:type="dxa"/>
            <w:vAlign w:val="bottom"/>
          </w:tcPr>
          <w:p>
            <w:pPr>
              <w:spacing w:after="0"/>
              <w:rPr>
                <w:sz w:val="13"/>
                <w:szCs w:val="13"/>
                <w:color w:val="auto"/>
              </w:rPr>
            </w:pPr>
          </w:p>
        </w:tc>
        <w:tc>
          <w:tcPr>
            <w:tcW w:w="1160" w:type="dxa"/>
            <w:vAlign w:val="bottom"/>
            <w:gridSpan w:val="2"/>
          </w:tcPr>
          <w:p>
            <w:pPr>
              <w:jc w:val="center"/>
              <w:ind w:right="600"/>
              <w:spacing w:after="0" w:line="153" w:lineRule="exact"/>
              <w:rPr>
                <w:sz w:val="20"/>
                <w:szCs w:val="20"/>
                <w:color w:val="auto"/>
              </w:rPr>
            </w:pPr>
            <w:r>
              <w:rPr>
                <w:rFonts w:ascii="Arial" w:cs="Arial" w:eastAsia="Arial" w:hAnsi="Arial"/>
                <w:sz w:val="14"/>
                <w:szCs w:val="14"/>
                <w:b w:val="1"/>
                <w:bCs w:val="1"/>
                <w:color w:val="auto"/>
                <w:w w:val="92"/>
              </w:rPr>
              <w:t>June 29,</w:t>
            </w:r>
          </w:p>
        </w:tc>
        <w:tc>
          <w:tcPr>
            <w:tcW w:w="300" w:type="dxa"/>
            <w:vAlign w:val="bottom"/>
          </w:tcPr>
          <w:p>
            <w:pPr>
              <w:spacing w:after="0"/>
              <w:rPr>
                <w:sz w:val="13"/>
                <w:szCs w:val="13"/>
                <w:color w:val="auto"/>
              </w:rPr>
            </w:pPr>
          </w:p>
        </w:tc>
        <w:tc>
          <w:tcPr>
            <w:tcW w:w="13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27,</w:t>
            </w:r>
          </w:p>
        </w:tc>
        <w:tc>
          <w:tcPr>
            <w:tcW w:w="480" w:type="dxa"/>
            <w:vAlign w:val="bottom"/>
          </w:tcPr>
          <w:p>
            <w:pPr>
              <w:spacing w:after="0"/>
              <w:rPr>
                <w:sz w:val="13"/>
                <w:szCs w:val="13"/>
                <w:color w:val="auto"/>
              </w:rPr>
            </w:pPr>
          </w:p>
        </w:tc>
        <w:tc>
          <w:tcPr>
            <w:tcW w:w="1060" w:type="dxa"/>
            <w:vAlign w:val="bottom"/>
          </w:tcPr>
          <w:p>
            <w:pPr>
              <w:jc w:val="center"/>
              <w:ind w:right="399"/>
              <w:spacing w:after="0" w:line="153" w:lineRule="exact"/>
              <w:rPr>
                <w:sz w:val="20"/>
                <w:szCs w:val="20"/>
                <w:color w:val="auto"/>
              </w:rPr>
            </w:pPr>
            <w:r>
              <w:rPr>
                <w:rFonts w:ascii="Arial" w:cs="Arial" w:eastAsia="Arial" w:hAnsi="Arial"/>
                <w:sz w:val="14"/>
                <w:szCs w:val="14"/>
                <w:b w:val="1"/>
                <w:bCs w:val="1"/>
                <w:color w:val="auto"/>
                <w:w w:val="89"/>
              </w:rPr>
              <w:t>June 29,</w:t>
            </w:r>
          </w:p>
        </w:tc>
      </w:tr>
      <w:tr>
        <w:trPr>
          <w:trHeight w:val="192"/>
        </w:trPr>
        <w:tc>
          <w:tcPr>
            <w:tcW w:w="47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(4,247)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(4,045)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(2,803)</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29.0 %</w:t>
            </w:r>
          </w:p>
        </w:tc>
      </w:tr>
    </w:tbl>
    <w:p>
      <w:pPr>
        <w:spacing w:after="0" w:line="22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decrease in our effective income tax rate for the 13 and 26 weeks ended June 27, 2020 compared to the corresponding periods in fiscal 2019 was primarily due to excess tax benefits related to the exercise of stock options and vesting of employee restricted stock units. Our effective income tax rate for the 13 and 26 weeks ended June 27, 2020 is lower than the U.S. statutory income tax rate of 21% primarily due to excess tax benefits related to the exercise of stock options and the vesting of employee restricted stock units. Our effective income tax rate for the 13 and 26 weeks ended June 29, 2019 is higher than the U.S. statutory income tax rate of 21% primarily due to state income taxes and permanently nondeductible expenses.</w:t>
      </w:r>
    </w:p>
    <w:p>
      <w:pPr>
        <w:spacing w:after="0" w:line="5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policy is to include interest and penalties associated with uncertain tax positions within income tax expense and include accrued interest and penalties with the related income tax liability on our condensed consolidated balance sheets. To date, we have not recognized any interest and penalties in our condensed consolidated statements of operations and comprehensive income, nor have we accrued for or made payments for interest and penalties. As of June 27, 2020 and December 28, 2019, we had no uncertain tax positions and do not anticipate any changes to our uncertain tax positions within the next 12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leased property from entities affiliated with certain of our non-controlling stockholders for 15 store locations and one warehouse location as of June 27, 2020 and for 16 store locations and one warehouse location as of June 29, 2019. These entities received aggregate lease payments from of us of $1.5 million for each of the 13 weeks ended June 27, 2020 and June 29, 2019, and $3.0 million and $3.1 million for the 26 weeks ended June 27, 2020 and June 29, 2019 , respectively.</w:t>
      </w:r>
    </w:p>
    <w:p>
      <w:pPr>
        <w:spacing w:after="0" w:line="79"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During April 2020, we entered into an aircraft dry lease agreement (the “aircraft lease”) with an entity controlled by our Chief Executive Officer, Mr. Lindberg, to lease a Pilatus PC-12 aircraft. We believe that this agreement provides us better access to visit our stores, many of which are in remote areas or are not easily accessible by car or regular commercial airline service, and to visit prospective real estate sites. The aircraft lease gives us the ability to use the aircraft in the course of our operations on an as-needed, non-exclusive basis. The aircraft lease provides that we pay an hourly lease rate and we bear all direct operating costs associated with our use of the aircraft, and the lessor bears all fixed costs (e.g. maintenance, hangar, insurance). Mr. Lindberg, to the extent that he operates the aircraft for his personal use, will bear all costs associated with his operation of the aircraft. We believe that the terms of the aircraft lease are no less favorable than could be obtained from an unrelated third party and we believe that the foregoing arrangement, including related direct operating costs, insurance and crew costs, will reduce our average hourly cost for use of private aircraft, which previously had been primarily conducted through charter arrangements. Operating lease costs related to the aircraft lease are included in selling, general and administrative expenses, and were immaterial for the 13 and 26 weeks ended June 27, 2020 and June 29, 2019.</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Operator Notes and Receivables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offer interest-bearing notes to independent operators and the gross operating notes and receivables due from these entities was $40.6 million and $37.7 million as of June 27, 2020 and December 28, 2019, respectively. See Note 2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are involved from time to time in claims, proceedings and litigation arising in the normal course of business. We do not believe the impact of such litigation will have a material adverse effect on our condensed consolidated financial statements taken as a whole.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(Loss)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calculation of basic and diluted earnings (loss) per share (in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1020" w:type="dxa"/>
            <w:vAlign w:val="bottom"/>
            <w:tcBorders>
              <w:bottom w:val="single" w:sz="8" w:color="auto"/>
            </w:tcBorders>
          </w:tcPr>
          <w:p>
            <w:pPr>
              <w:spacing w:after="0"/>
              <w:rPr>
                <w:sz w:val="16"/>
                <w:szCs w:val="16"/>
                <w:color w:val="auto"/>
              </w:rPr>
            </w:pPr>
          </w:p>
        </w:tc>
      </w:tr>
      <w:tr>
        <w:trPr>
          <w:trHeight w:val="152"/>
        </w:trPr>
        <w:tc>
          <w:tcPr>
            <w:tcW w:w="4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48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460" w:type="dxa"/>
            <w:vAlign w:val="bottom"/>
          </w:tcPr>
          <w:p>
            <w:pPr>
              <w:spacing w:after="0"/>
              <w:rPr>
                <w:sz w:val="13"/>
                <w:szCs w:val="13"/>
                <w:color w:val="auto"/>
              </w:rPr>
            </w:pPr>
          </w:p>
        </w:tc>
        <w:tc>
          <w:tcPr>
            <w:tcW w:w="1020" w:type="dxa"/>
            <w:vAlign w:val="bottom"/>
          </w:tcPr>
          <w:p>
            <w:pPr>
              <w:jc w:val="right"/>
              <w:ind w:right="394"/>
              <w:spacing w:after="0" w:line="153" w:lineRule="exact"/>
              <w:rPr>
                <w:sz w:val="20"/>
                <w:szCs w:val="20"/>
                <w:color w:val="auto"/>
              </w:rPr>
            </w:pPr>
            <w:r>
              <w:rPr>
                <w:rFonts w:ascii="Arial" w:cs="Arial" w:eastAsia="Arial" w:hAnsi="Arial"/>
                <w:sz w:val="14"/>
                <w:szCs w:val="14"/>
                <w:b w:val="1"/>
                <w:bCs w:val="1"/>
                <w:color w:val="auto"/>
                <w:w w:val="92"/>
              </w:rPr>
              <w:t>June 29,</w:t>
            </w:r>
          </w:p>
        </w:tc>
      </w:tr>
      <w:tr>
        <w:trPr>
          <w:trHeight w:val="192"/>
        </w:trPr>
        <w:tc>
          <w:tcPr>
            <w:tcW w:w="4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r>
      <w:tr>
        <w:trPr>
          <w:trHeight w:val="236"/>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Net income (loss) and comprehensive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29,333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(10,632)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41,975</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(6,858)</w:t>
            </w: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4980" w:type="dxa"/>
            <w:vAlign w:val="bottom"/>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300" w:type="dxa"/>
            <w:vAlign w:val="bottom"/>
          </w:tcPr>
          <w:p>
            <w:pPr>
              <w:spacing w:after="0"/>
              <w:rPr>
                <w:sz w:val="23"/>
                <w:szCs w:val="23"/>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90,800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70,475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90,152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69,494</w:t>
            </w: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7,729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7,103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Effect of dilutive RSUs</w:t>
            </w:r>
          </w:p>
        </w:tc>
        <w:tc>
          <w:tcPr>
            <w:tcW w:w="30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498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Weighted-average shares outstanding — diluted </w:t>
            </w:r>
            <w:r>
              <w:rPr>
                <w:rFonts w:ascii="Arial" w:cs="Arial" w:eastAsia="Arial" w:hAnsi="Arial"/>
                <w:sz w:val="28"/>
                <w:szCs w:val="28"/>
                <w:color w:val="auto"/>
                <w:vertAlign w:val="superscript"/>
              </w:rPr>
              <w:t>(1)</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98,618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70,475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97,333</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69,494</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Earnings (loss) per share :</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(0.10)</w:t>
            </w:r>
          </w:p>
        </w:tc>
      </w:tr>
      <w:tr>
        <w:trPr>
          <w:trHeight w:val="243"/>
        </w:trPr>
        <w:tc>
          <w:tcPr>
            <w:tcW w:w="4980" w:type="dxa"/>
            <w:vAlign w:val="bottom"/>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(0.10)</w:t>
            </w:r>
          </w:p>
        </w:tc>
      </w:tr>
      <w:tr>
        <w:trPr>
          <w:trHeight w:val="194"/>
        </w:trPr>
        <w:tc>
          <w:tcPr>
            <w:tcW w:w="4980" w:type="dxa"/>
            <w:vAlign w:val="bottom"/>
          </w:tcPr>
          <w:p>
            <w:pPr>
              <w:spacing w:after="0"/>
              <w:rPr>
                <w:sz w:val="20"/>
                <w:szCs w:val="20"/>
                <w:color w:val="auto"/>
              </w:rPr>
            </w:pPr>
            <w:r>
              <w:rPr>
                <w:rFonts w:ascii="Arial" w:cs="Arial" w:eastAsia="Arial" w:hAnsi="Arial"/>
                <w:sz w:val="11"/>
                <w:szCs w:val="11"/>
                <w:color w:val="auto"/>
              </w:rPr>
              <w:t>_______________________</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39" w:lineRule="exact"/>
        <w:rPr>
          <w:sz w:val="20"/>
          <w:szCs w:val="20"/>
          <w:color w:val="auto"/>
        </w:rPr>
      </w:pPr>
    </w:p>
    <w:p>
      <w:pPr>
        <w:ind w:left="500" w:hanging="492"/>
        <w:spacing w:after="0" w:line="275"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diluted weighted-average shares outstanding for the 13 and 26 weeks ended June 29, 2019 did not include performance-based stock options because the requisite performance criteria of such stock options had not been achieved as of that date.</w:t>
      </w:r>
    </w:p>
    <w:p>
      <w:pPr>
        <w:spacing w:after="0" w:line="10" w:lineRule="exact"/>
        <w:rPr>
          <w:rFonts w:ascii="Arial" w:cs="Arial" w:eastAsia="Arial" w:hAnsi="Arial"/>
          <w:sz w:val="16"/>
          <w:szCs w:val="16"/>
          <w:color w:val="auto"/>
        </w:rPr>
      </w:pPr>
    </w:p>
    <w:p>
      <w:pPr>
        <w:jc w:val="both"/>
        <w:ind w:left="500"/>
        <w:spacing w:after="0" w:line="261" w:lineRule="auto"/>
        <w:rPr>
          <w:rFonts w:ascii="Arial" w:cs="Arial" w:eastAsia="Arial" w:hAnsi="Arial"/>
          <w:sz w:val="16"/>
          <w:szCs w:val="16"/>
          <w:color w:val="auto"/>
        </w:rPr>
      </w:pPr>
      <w:r>
        <w:rPr>
          <w:rFonts w:ascii="Arial" w:cs="Arial" w:eastAsia="Arial" w:hAnsi="Arial"/>
          <w:sz w:val="16"/>
          <w:szCs w:val="16"/>
          <w:color w:val="auto"/>
        </w:rPr>
        <w:t>On February 3, 2020, in conjunction with a secondary offering, certain performance criteria were achieved resulting in the vesting of 4.1 million performance-based stock options, and accordingly, these vested performance-based stock options are included in the diluted weighted-average shares outstanding for the 13 and 26 weeks ended June 27, 2020.</w:t>
      </w:r>
    </w:p>
    <w:p>
      <w:pPr>
        <w:spacing w:after="0" w:line="20" w:lineRule="exact"/>
        <w:rPr>
          <w:rFonts w:ascii="Arial" w:cs="Arial" w:eastAsia="Arial" w:hAnsi="Arial"/>
          <w:sz w:val="16"/>
          <w:szCs w:val="16"/>
          <w:color w:val="auto"/>
        </w:rPr>
      </w:pPr>
    </w:p>
    <w:p>
      <w:pPr>
        <w:jc w:val="both"/>
        <w:ind w:left="500"/>
        <w:spacing w:after="0" w:line="261" w:lineRule="auto"/>
        <w:rPr>
          <w:rFonts w:ascii="Arial" w:cs="Arial" w:eastAsia="Arial" w:hAnsi="Arial"/>
          <w:sz w:val="16"/>
          <w:szCs w:val="16"/>
          <w:color w:val="auto"/>
        </w:rPr>
      </w:pPr>
      <w:r>
        <w:rPr>
          <w:rFonts w:ascii="Arial" w:cs="Arial" w:eastAsia="Arial" w:hAnsi="Arial"/>
          <w:sz w:val="16"/>
          <w:szCs w:val="16"/>
          <w:color w:val="auto"/>
        </w:rPr>
        <w:t>On April 27, 2020 in conjunction with an additional secondary offering, certain performance criteria were achieved resulting in the vesting of the remaining 1.7 million unvested performance-based stock options, and accordingly, these vested performance-based stock options are included in the diluted weighted-average shares outstanding for the 13 and 26 weeks ended June 27, 2020. See Note 5 for additional information.</w:t>
      </w:r>
    </w:p>
    <w:p>
      <w:pPr>
        <w:spacing w:after="0" w:line="178" w:lineRule="exact"/>
        <w:rPr>
          <w:sz w:val="20"/>
          <w:szCs w:val="20"/>
          <w:color w:val="auto"/>
        </w:rPr>
      </w:pPr>
    </w:p>
    <w:p>
      <w:pPr>
        <w:ind w:firstLine="486"/>
        <w:spacing w:after="0" w:line="276" w:lineRule="auto"/>
        <w:rPr>
          <w:sz w:val="20"/>
          <w:szCs w:val="20"/>
          <w:color w:val="auto"/>
        </w:rPr>
      </w:pPr>
      <w:r>
        <w:rPr>
          <w:rFonts w:ascii="Arial" w:cs="Arial" w:eastAsia="Arial" w:hAnsi="Arial"/>
          <w:sz w:val="18"/>
          <w:szCs w:val="18"/>
          <w:color w:val="auto"/>
        </w:rPr>
        <w:t>The following weighted-average common stock equivalents were excluded from the calculation of diluted earnings (loss) per share because their effect would have been anti-dilutive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13 Weeks Ended</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26 Weeks Ended</w:t>
            </w:r>
          </w:p>
        </w:tc>
        <w:tc>
          <w:tcPr>
            <w:tcW w:w="1000" w:type="dxa"/>
            <w:vAlign w:val="bottom"/>
            <w:tcBorders>
              <w:bottom w:val="single" w:sz="8" w:color="auto"/>
            </w:tcBorders>
          </w:tcPr>
          <w:p>
            <w:pPr>
              <w:spacing w:after="0"/>
              <w:rPr>
                <w:sz w:val="16"/>
                <w:szCs w:val="16"/>
                <w:color w:val="auto"/>
              </w:rPr>
            </w:pPr>
          </w:p>
        </w:tc>
      </w:tr>
      <w:tr>
        <w:trPr>
          <w:trHeight w:val="152"/>
        </w:trPr>
        <w:tc>
          <w:tcPr>
            <w:tcW w:w="5020" w:type="dxa"/>
            <w:vAlign w:val="bottom"/>
          </w:tcPr>
          <w:p>
            <w:pPr>
              <w:spacing w:after="0"/>
              <w:rPr>
                <w:sz w:val="13"/>
                <w:szCs w:val="13"/>
                <w:color w:val="auto"/>
              </w:rPr>
            </w:pPr>
          </w:p>
        </w:tc>
        <w:tc>
          <w:tcPr>
            <w:tcW w:w="1020" w:type="dxa"/>
            <w:vAlign w:val="bottom"/>
          </w:tcPr>
          <w:p>
            <w:pPr>
              <w:jc w:val="center"/>
              <w:ind w:left="388"/>
              <w:spacing w:after="0" w:line="153" w:lineRule="exact"/>
              <w:rPr>
                <w:sz w:val="20"/>
                <w:szCs w:val="20"/>
                <w:color w:val="auto"/>
              </w:rPr>
            </w:pPr>
            <w:r>
              <w:rPr>
                <w:rFonts w:ascii="Arial" w:cs="Arial" w:eastAsia="Arial" w:hAnsi="Arial"/>
                <w:sz w:val="14"/>
                <w:szCs w:val="14"/>
                <w:b w:val="1"/>
                <w:bCs w:val="1"/>
                <w:color w:val="auto"/>
                <w:w w:val="92"/>
              </w:rPr>
              <w:t>June 27,</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left="388"/>
              <w:spacing w:after="0" w:line="153" w:lineRule="exact"/>
              <w:rPr>
                <w:sz w:val="20"/>
                <w:szCs w:val="20"/>
                <w:color w:val="auto"/>
              </w:rPr>
            </w:pPr>
            <w:r>
              <w:rPr>
                <w:rFonts w:ascii="Arial" w:cs="Arial" w:eastAsia="Arial" w:hAnsi="Arial"/>
                <w:sz w:val="14"/>
                <w:szCs w:val="14"/>
                <w:b w:val="1"/>
                <w:bCs w:val="1"/>
                <w:color w:val="auto"/>
                <w:w w:val="92"/>
              </w:rPr>
              <w:t>June 29,</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left="388"/>
              <w:spacing w:after="0" w:line="153" w:lineRule="exact"/>
              <w:rPr>
                <w:sz w:val="20"/>
                <w:szCs w:val="20"/>
                <w:color w:val="auto"/>
              </w:rPr>
            </w:pPr>
            <w:r>
              <w:rPr>
                <w:rFonts w:ascii="Arial" w:cs="Arial" w:eastAsia="Arial" w:hAnsi="Arial"/>
                <w:sz w:val="14"/>
                <w:szCs w:val="14"/>
                <w:b w:val="1"/>
                <w:bCs w:val="1"/>
                <w:color w:val="auto"/>
                <w:w w:val="92"/>
              </w:rPr>
              <w:t>June 27,</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jc w:val="right"/>
              <w:ind w:right="397"/>
              <w:spacing w:after="0" w:line="153" w:lineRule="exact"/>
              <w:rPr>
                <w:sz w:val="20"/>
                <w:szCs w:val="20"/>
                <w:color w:val="auto"/>
              </w:rPr>
            </w:pPr>
            <w:r>
              <w:rPr>
                <w:rFonts w:ascii="Arial" w:cs="Arial" w:eastAsia="Arial" w:hAnsi="Arial"/>
                <w:sz w:val="14"/>
                <w:szCs w:val="14"/>
                <w:b w:val="1"/>
                <w:bCs w:val="1"/>
                <w:color w:val="auto"/>
                <w:w w:val="89"/>
              </w:rPr>
              <w:t>June 29,</w:t>
            </w:r>
          </w:p>
        </w:tc>
      </w:tr>
      <w:tr>
        <w:trPr>
          <w:trHeight w:val="192"/>
        </w:trPr>
        <w:tc>
          <w:tcPr>
            <w:tcW w:w="50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r>
      <w:tr>
        <w:trPr>
          <w:trHeight w:val="25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580" w:type="dxa"/>
            <w:vAlign w:val="bottom"/>
            <w:tcBorders>
              <w:bottom w:val="single" w:sz="8" w:color="CCEEFF"/>
            </w:tcBorders>
            <w:gridSpan w:val="3"/>
            <w:shd w:val="clear" w:color="auto" w:fill="CCEEFF"/>
          </w:tcPr>
          <w:p>
            <w:pPr>
              <w:jc w:val="right"/>
              <w:ind w:right="106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5,935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5,838</w:t>
            </w: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RSUs</w:t>
            </w:r>
          </w:p>
        </w:tc>
        <w:tc>
          <w:tcPr>
            <w:tcW w:w="4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ind w:left="260"/>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50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3"/>
        </w:trPr>
        <w:tc>
          <w:tcPr>
            <w:tcW w:w="6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6,014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9"/>
              </w:rPr>
              <w:t>61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i w:val="1"/>
          <w:iCs w:val="1"/>
          <w:color w:val="auto"/>
        </w:rPr>
        <w:t xml:space="preserve">You should read the following discussion of our financial condition and results of operations in conjunction with the unaudited condensed consolidated financial statements and related notes thereto included elsewhere </w:t>
      </w:r>
      <w:r>
        <w:rPr>
          <w:rFonts w:ascii="Arial" w:cs="Arial" w:eastAsia="Arial" w:hAnsi="Arial"/>
          <w:sz w:val="16"/>
          <w:szCs w:val="16"/>
          <w:i w:val="1"/>
          <w:iCs w:val="1"/>
          <w:color w:val="231F20"/>
        </w:rPr>
        <w:t>in this report,</w:t>
      </w:r>
      <w:r>
        <w:rPr>
          <w:rFonts w:ascii="Arial" w:cs="Arial" w:eastAsia="Arial" w:hAnsi="Arial"/>
          <w:sz w:val="16"/>
          <w:szCs w:val="16"/>
          <w:i w:val="1"/>
          <w:iCs w:val="1"/>
          <w:color w:val="auto"/>
        </w:rPr>
        <w:t xml:space="preserve"> and the audited consolidated financial statements and related notes thereto and management’s discussion and analysis of financial condition and results of operations included in our Annual Report on Form 10-K for the fiscal year ended December 28, 2019 filed with the </w:t>
      </w:r>
      <w:r>
        <w:rPr>
          <w:rFonts w:ascii="Arial" w:cs="Arial" w:eastAsia="Arial" w:hAnsi="Arial"/>
          <w:sz w:val="16"/>
          <w:szCs w:val="16"/>
          <w:i w:val="1"/>
          <w:iCs w:val="1"/>
          <w:color w:val="231F20"/>
        </w:rPr>
        <w:t>U.S. Securities and Exchange Commission (the “SEC”)</w:t>
      </w:r>
      <w:r>
        <w:rPr>
          <w:rFonts w:ascii="Arial" w:cs="Arial" w:eastAsia="Arial" w:hAnsi="Arial"/>
          <w:sz w:val="16"/>
          <w:szCs w:val="16"/>
          <w:i w:val="1"/>
          <w:iCs w:val="1"/>
          <w:color w:val="auto"/>
        </w:rPr>
        <w:t xml:space="preserve"> on March 25, 2020.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in other sections of this report.</w:t>
      </w:r>
    </w:p>
    <w:p>
      <w:pPr>
        <w:spacing w:after="0" w:line="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i w:val="1"/>
          <w:iCs w:val="1"/>
          <w:color w:val="auto"/>
        </w:rPr>
        <w:t>We operate on a fiscal year that ends on the Saturday closest to December 31st each year. References to the second quarter of fiscal 2020 and the second quarter of fiscal 2019 refer to the 13 weeks ended June 27, 2020 and June 29, 2019, respectively.</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231F20"/>
        </w:rPr>
        <w:t>As used in this report, references to “Grocery Outlet,”“the Company,”“the registrant,”“we,”“us” and “our,” refer to Grocery Outlet Holding Corp. and its consolidated subsidiaries unless otherwise indicated or the context requires otherwise.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are a high-growth, extreme value retailer of quality, name-brand consumables and fresh products sold through a network of independently operated stores. Our flexible buying model allows us to offer quality, name-brand opportunistic products at prices generally 40% to 70% below those of conventional retailers. Entrepreneurial independent operators (“IOs”) run our stores and create a neighborhood feel through personalized customer service and a localized product offering. This differentiated approach has driven 16 consecutive years of positive comparable store sales growth. As of June 27, 2020, we had 362 stores in California, Washington, Oregon, Pennsylvania, Idaho and Nevada.</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June 24, 2019, we completed our initial public offering (“IPO”) of 19,765,625 shares of our common stock at a public offering price of $22.00 per share for net proceeds of $407.7 million, after deducting underwriting discounts and commissions of $27.1 million. We incurred related offering costs of $7.2 million, which we recognized as a charge to additional paid-in capital. The shares of common stock sold in the IPO and the net proceeds from the IPO included the full exercise of the underwriters’ option to purchase additional shares.</w:t>
      </w:r>
    </w:p>
    <w:p>
      <w:pPr>
        <w:spacing w:after="0" w:line="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connection with the closing of our IPO, we repaid in full the $150.0 million outstanding principal amount and $3.6 million accrued interest on our second lien term loan and terminated the related loan agreement. Additionally, using the remainder of the net proceeds, together with excess cash on hand, we prepaid a portion of the term loan outstanding under our first lien credit agreement, dated as of October 22, 2018 (as amended, the “First Lien Credit Agreement”) totaling $248.0 million and $3.8 million of accrued interest. On October 23, 2019, we prepaid an additional $15.0 million of principal on the term loan outstanding under our First Lien Credit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Public Offerings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October 8, 2019, certain of our selling stockholders completed a secondary public offering of shares of our common stock. We did not receive any of the proceeds from the sale of these shares by the selling stockholders. We incurred related offering costs of $1.1 million which we recognized in selling, general and administrative expenses during fiscal 2019. We received $3.2 million in cash (excluding withholding taxes) in connection with the exercise of 451,470 options by certain stockholders participating in this secondary public offering.</w:t>
      </w:r>
    </w:p>
    <w:p>
      <w:pPr>
        <w:spacing w:after="0" w:line="7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February 3, 2020, certain of our selling stockholders completed an additional secondary public offering of shares of our common stock. We did not receive any of the proceeds from the sale of these shares by the selling stockholders. We incurred related offering costs of $1.1 million which we recognized in selling, general and administrative expenses during the 26 weeks ended June 27, 2020. We received $1.4 million in cash (excluding withholding taxes) in connection with the exercise of 191,470 options by certain stockholders participating in this secondary public offering.</w:t>
      </w:r>
    </w:p>
    <w:p>
      <w:pPr>
        <w:spacing w:after="0" w:line="6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April 27, 2020, certain of our selling stockholders completed a third secondary public offering of shares of our common stock. We did not receive any of the proceeds from the sale of these shares by the selling stockholders. We incurred related offering costs of $1.0 million which we recognized in selling, general and administrative expenses during the 13 and 26 weeks ended June 27, 2020. We received $1.6 million in cash (excluding withholding taxes) in connection with the exercise of 269,000 options by certain stockholders participating in this secondary public offering.</w:t>
      </w:r>
    </w:p>
    <w:p>
      <w:pPr>
        <w:spacing w:after="0" w:line="6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May 28, 2020, the stockholder affiliated with our former private equity sponsor, Hellman and Friedman LLC, distributed the remainder of its holdings representing 9.6 million shares of our common stock to its equity holders. We did not receive any proceeds or incur any material costs related to this distribution.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March 11, 2020, the World Health Organization declared the novel strain of coronavirus, COVID-19, a global pandemic and recommended containment and mitigation measures worldwide. As a result, many states, including states where we have significant operations, declared a state of emergency, closed schools and non-essential businesses and enacted limitations on the number of people allowed to gather at one time in the same space. As of the date of this filing, grocery stores are considered essential businesses in states and counties that have enacted requirements that residents leave their homes only for essential business (“shelter in place requirements”) and are able to continue operating. As COVID-19 has continued to spread and the situation has continued to evolve, there has been a surge of positive COVID-19 cases around the country during, and subsequent to, the second quarter of fiscal 2020 as shelter in place requirements have lapsed and other businesses have begun to reopen.</w:t>
      </w:r>
    </w:p>
    <w:p>
      <w:pPr>
        <w:spacing w:after="0" w:line="6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expect that our IOs may face staffing challenges as long as school and childcare closures and COVID-19-related concerns exist. In addition, during the 26 weeks ended June 27, 2020, certain inventory items such as water, beans and bread as well as key cleaning supplies and protective equipment were, and may continue to be, in short supply. These factors could impact the ability of stores to operate normal hours of operation or have sufficient inventory at all times which may disrupt our business and negatively impact our financial results. Further, planned construction and opening of new stores has been and may continue to be negatively impacted due to shelter in place requirements and the closure of government offices in certain areas. During the 26 weeks ended June 27, 2020, from time to time we had to temporarily close certain stores for cleaning after persons at those locations tested positive for COVID-19. In the event that an employee, IO, or IO employee tests positive for COVID-19, we may have to again temporarily close a store, office or distribution center for cleaning and/or quarantine one or more employees which could negatively impact our financial results. We have incurred, and expect to continue to incur, cleaning and safety costs, costs for protective equipment and supplies, and higher personnel expenses. In addition, we have incurred, and expect to continue to incur, additional expenses as a result of certain increased costs related to our IOs. For example, we are paying a portion of the costs of protective equipment, cleaning supplies and bags for our IOs as well as reducing interest rates on outstanding IO note balances. We cannot reasonably estimate the length or severity of this pandemic, but it could have a material adverse impact on our consolidated financial position, consolidated results of operations, and consolidated cash flows in fiscal 2020. See “Item 1A. Risk Factors—Major health epidemics, such as the outbreak caused by a coronavirus (COVID-19), and other outbreaks could disrupt and adversely affect our operations, financial condition and business”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Measures We Use to Evaluate Our Business</w:t>
      </w:r>
    </w:p>
    <w:p>
      <w:pPr>
        <w:spacing w:after="0" w:line="12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consider a variety of financial and operating measures in assessing the performance of our business. The key GAAP measures we use are net sales, gross profit and gross margin, selling, general and administrative expenses (“SG&amp;A”) and operating income. The key operational metrics and non-GAAP measures we use are number of new stores, comparable store sales, EBITDA, adjusted EBITDA and non-GAAP adjusted net income.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of Fiscal 2020 Overview</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financial and operating performance results for the second quarter of fiscal 2020 were as follows:</w:t>
      </w:r>
    </w:p>
    <w:p>
      <w:pPr>
        <w:spacing w:after="0" w:line="131" w:lineRule="exact"/>
        <w:rPr>
          <w:sz w:val="20"/>
          <w:szCs w:val="20"/>
          <w:color w:val="auto"/>
        </w:rPr>
      </w:pPr>
    </w:p>
    <w:p>
      <w:pPr>
        <w:ind w:left="820" w:right="280" w:hanging="326"/>
        <w:spacing w:after="0" w:line="250" w:lineRule="auto"/>
        <w:tabs>
          <w:tab w:leader="none" w:pos="808" w:val="left"/>
        </w:tabs>
        <w:numPr>
          <w:ilvl w:val="0"/>
          <w:numId w:val="8"/>
        </w:numPr>
        <w:rPr>
          <w:rFonts w:ascii="Arial" w:cs="Arial" w:eastAsia="Arial" w:hAnsi="Arial"/>
          <w:sz w:val="20"/>
          <w:szCs w:val="20"/>
          <w:color w:val="auto"/>
        </w:rPr>
      </w:pPr>
      <w:r>
        <w:rPr>
          <w:rFonts w:ascii="Arial" w:cs="Arial" w:eastAsia="Arial" w:hAnsi="Arial"/>
          <w:sz w:val="18"/>
          <w:szCs w:val="18"/>
          <w:color w:val="auto"/>
        </w:rPr>
        <w:t>Net sales increased by 24.5% to $803.4 million from $645.3 million in the second quarter of fiscal 2019; comparable store sales increased by 16.7% compared to a 5.8% increase in the same period last year.</w:t>
      </w:r>
    </w:p>
    <w:p>
      <w:pPr>
        <w:spacing w:after="0" w:line="84" w:lineRule="exact"/>
        <w:rPr>
          <w:rFonts w:ascii="Arial" w:cs="Arial" w:eastAsia="Arial" w:hAnsi="Arial"/>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opened 7 new stores and closed 0, ending the second quarter of fiscal 2020 with 362 stores in six states.</w:t>
      </w:r>
    </w:p>
    <w:p>
      <w:pPr>
        <w:spacing w:after="0" w:line="117" w:lineRule="exact"/>
        <w:rPr>
          <w:rFonts w:ascii="Arial" w:cs="Arial" w:eastAsia="Arial" w:hAnsi="Arial"/>
          <w:sz w:val="18"/>
          <w:szCs w:val="18"/>
          <w:color w:val="auto"/>
        </w:rPr>
      </w:pPr>
    </w:p>
    <w:p>
      <w:pPr>
        <w:ind w:left="820" w:right="8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increased by $40.0 million to $29.3 million, or $0.30 per diluted share, compared to net loss of $10.6 million, or $(0.15) per diluted share, in the second quarter of fiscal 2019.</w:t>
      </w:r>
    </w:p>
    <w:p>
      <w:pPr>
        <w:spacing w:after="0" w:line="60"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8"/>
          <w:szCs w:val="28"/>
          <w:color w:val="auto"/>
          <w:vertAlign w:val="superscript"/>
        </w:rPr>
        <w:t>(1)</w:t>
      </w:r>
      <w:r>
        <w:rPr>
          <w:rFonts w:ascii="Arial" w:cs="Arial" w:eastAsia="Arial" w:hAnsi="Arial"/>
          <w:sz w:val="18"/>
          <w:szCs w:val="18"/>
          <w:color w:val="auto"/>
        </w:rPr>
        <w:t xml:space="preserve"> increased 34.7% to $60.6 million compared to $45.0 million in the second quarter of fiscal 2019.</w:t>
      </w:r>
    </w:p>
    <w:p>
      <w:pPr>
        <w:spacing w:after="0" w:line="19" w:lineRule="exact"/>
        <w:rPr>
          <w:rFonts w:ascii="Arial" w:cs="Arial" w:eastAsia="Arial" w:hAnsi="Arial"/>
          <w:sz w:val="18"/>
          <w:szCs w:val="18"/>
          <w:color w:val="auto"/>
        </w:rPr>
      </w:pPr>
    </w:p>
    <w:p>
      <w:pPr>
        <w:ind w:left="820" w:hanging="326"/>
        <w:spacing w:after="0" w:line="204"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Non-GAAP adjusted net income</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increased 189.2% to $41.8 million, or $0.42 per non-GAAP diluted share, compared to $14.5 million, or</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$0.20 per non-GAAP diluted share, in the second quarter of fiscal 2019.</w:t>
      </w:r>
    </w:p>
    <w:p>
      <w:pPr>
        <w:spacing w:after="0" w:line="7" w:lineRule="exact"/>
        <w:rPr>
          <w:sz w:val="20"/>
          <w:szCs w:val="20"/>
          <w:color w:val="auto"/>
        </w:rPr>
      </w:pPr>
    </w:p>
    <w:p>
      <w:pPr>
        <w:ind w:left="820"/>
        <w:spacing w:after="0"/>
        <w:rPr>
          <w:sz w:val="20"/>
          <w:szCs w:val="20"/>
          <w:color w:val="auto"/>
        </w:rPr>
      </w:pPr>
      <w:r>
        <w:rPr>
          <w:rFonts w:ascii="Arial" w:cs="Arial" w:eastAsia="Arial" w:hAnsi="Arial"/>
          <w:sz w:val="7"/>
          <w:szCs w:val="7"/>
          <w:b w:val="1"/>
          <w:bCs w:val="1"/>
          <w:color w:val="auto"/>
        </w:rPr>
        <w:t>______________________________________</w:t>
      </w:r>
    </w:p>
    <w:p>
      <w:pPr>
        <w:spacing w:after="0" w:line="99" w:lineRule="exact"/>
        <w:rPr>
          <w:sz w:val="20"/>
          <w:szCs w:val="20"/>
          <w:color w:val="auto"/>
        </w:rPr>
      </w:pPr>
    </w:p>
    <w:p>
      <w:pPr>
        <w:jc w:val="both"/>
        <w:ind w:left="660" w:hanging="328"/>
        <w:spacing w:after="0" w:line="26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EBITDA, non-GAAP adjusted net income and non-GAAP adjusted diluted earnings per share are non-GAAP financial measures and should be considered as a supplement to, and not as a substitute for, or superior to, financial measures calculated in accordance with GAAP. See GAAP to non-GAAP reconciliations in the “Operating Metrics and Non-GAAP Financial Measures” section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recognize revenues from the sale of products at the point of sale, net of any taxes or deposits collected and remitted to governmental authorities. Discounts provided to customers by us are recognized at the time of sale as a reduction in sales as the products are sold. Discounts that are funded solely by IOs are not recognized as a reduction in sales as the IO bears the incidental costs arising from the discount. We do not accept manufacturer coupons. Sales consist of sales from comparable stores and non-comparable stores, described below under “Comparable Store Sales.” Growth of our sales is generally driven by expansion of our store base in existing and new markets as well as comparable store sales growth. Sales are impacted by the spending habits of our customers, product mix and availability, as well as promotional and competitive activities. Our ever-changing selection of offerings across diverse product categories supports growth in sales by attracting new customers and encouraging repeat visits from our existing customers. The spending habits of our customers are subject to changes in macroeconomic conditions, such as those experienced beginning in March 2020 due to the COVID-19 pandemic, and changes in discretionary income. Our customers’ discretionary income is primarily impacted by wages, fuel and other cost-of-living increases including food-at-home inflation, as well as consumer trends and preferences, which fluctuate depending on the environment. Because we offer a broad selection of merchandise at extreme values, historically we have benefited from periods of economic uncertainty.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Gross Profit and Gross Margin</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Cost of sales includes, among other things, merchandise costs, inventory markdowns, inventory losses and transportation, distribution and warehousing costs, including depreciation. Gross profit is equal to our sales less our cost of sales. Gross margin is gross profit as a percentage of our sales. Gross margin is a measure used by management to indicate whether we are selling merchandise at an appropriate gross profit. Gross margin is impacted by product mix and availability, as some products generally provide higher gross margins, and by our merchandise costs, which can vary. Gross margin is also impacted by the costs of distributing and transporting product to our stores, which can vary. Our gross profit is variable in nature and generally follows changes in sales. While our disciplined buying approach has produced consistent gross margins throughout economic cycles which we believe has helped to mitigate adverse impacts on gross profit and results of operations, rapid changes in consumer demand like we experienced at the beginning of the COVID-19 pandemic could result in unexpected changes to our gross margins. The components of our cost of sales may not be comparable to the components of cost of sales or similar measures of our competitors and other retailers. As a result, our gross profit and gross margin may not be comparable to similar data made available by our competitors and other retailers.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SG&amp;A expenses are comprised of both store-related expenses and corporate expenses. Store-related expenses include commissions paid to IOs, occupancy and shared maintenance costs, Company-operated store expenses, including payroll, benefits, supplies and utilities and the cost of opening new IO stores. Corporate expenses include payroll and benefits for corporate and field support, marketing and advertising, insurance and professional services and recruiting and training costs associated with our Aspiring Operators in Training program. SG&amp;A generally increases as we grow our store base and invest in our corporate infrastructure. SG&amp;A expenses related to commissions paid to IOs are variable in nature and generally increase as gross profits rise and decrease as gross profits decline. The remainder of our expenses are primarily fixed in nature. We continue to closely manage our expenses and monitor SG&amp;A as a percentage of sales. The components of our SG&amp;A may not be comparable to the components of similar measures of other retailers. We expect that our SG&amp;A will continue to increase in future periods as we continue to grow our sales revenue.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Operating income is gross profit less SG&amp;A, depreciation and amortization and share-based compensation. Operating income excludes interest expense, net, debt extinguishment and modification costs and income tax expense. We use operating income as an indicator of the productivity of our business and our ability to manage expenses.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following tables summarize key components of our results of operations both in dollars and as a percentage of sales (amounts in thousands, except for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672"/>
              <w:spacing w:after="0"/>
              <w:rPr>
                <w:sz w:val="20"/>
                <w:szCs w:val="20"/>
                <w:color w:val="auto"/>
              </w:rPr>
            </w:pPr>
            <w:r>
              <w:rPr>
                <w:rFonts w:ascii="Arial" w:cs="Arial" w:eastAsia="Arial" w:hAnsi="Arial"/>
                <w:sz w:val="14"/>
                <w:szCs w:val="14"/>
                <w:b w:val="1"/>
                <w:bCs w:val="1"/>
                <w:color w:val="auto"/>
              </w:rPr>
              <w:t>13 Weeks Ended</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26 Weeks Ended</w:t>
            </w: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53"/>
              <w:spacing w:after="0" w:line="153" w:lineRule="exact"/>
              <w:rPr>
                <w:sz w:val="20"/>
                <w:szCs w:val="20"/>
                <w:color w:val="auto"/>
              </w:rPr>
            </w:pPr>
            <w:r>
              <w:rPr>
                <w:rFonts w:ascii="Arial" w:cs="Arial" w:eastAsia="Arial" w:hAnsi="Arial"/>
                <w:sz w:val="14"/>
                <w:szCs w:val="14"/>
                <w:b w:val="1"/>
                <w:bCs w:val="1"/>
                <w:color w:val="auto"/>
              </w:rPr>
              <w:t>June 27,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rPr>
              <w:t>June 29,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153"/>
              <w:spacing w:after="0" w:line="153" w:lineRule="exact"/>
              <w:rPr>
                <w:sz w:val="20"/>
                <w:szCs w:val="20"/>
                <w:color w:val="auto"/>
              </w:rPr>
            </w:pPr>
            <w:r>
              <w:rPr>
                <w:rFonts w:ascii="Arial" w:cs="Arial" w:eastAsia="Arial" w:hAnsi="Arial"/>
                <w:sz w:val="14"/>
                <w:szCs w:val="14"/>
                <w:b w:val="1"/>
                <w:bCs w:val="1"/>
                <w:color w:val="auto"/>
              </w:rPr>
              <w:t>June 27,</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jc w:val="center"/>
              <w:ind w:right="172"/>
              <w:spacing w:after="0" w:line="153" w:lineRule="exact"/>
              <w:rPr>
                <w:sz w:val="20"/>
                <w:szCs w:val="20"/>
                <w:color w:val="auto"/>
              </w:rPr>
            </w:pPr>
            <w:r>
              <w:rPr>
                <w:rFonts w:ascii="Arial" w:cs="Arial" w:eastAsia="Arial" w:hAnsi="Arial"/>
                <w:sz w:val="14"/>
                <w:szCs w:val="14"/>
                <w:b w:val="1"/>
                <w:bCs w:val="1"/>
                <w:color w:val="auto"/>
                <w:w w:val="92"/>
              </w:rPr>
              <w:t>June 29,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8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803,429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645,289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1,563,737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1,251,560</w:t>
            </w:r>
          </w:p>
        </w:tc>
        <w:tc>
          <w:tcPr>
            <w:tcW w:w="0" w:type="dxa"/>
            <w:vAlign w:val="bottom"/>
          </w:tcPr>
          <w:p>
            <w:pPr>
              <w:spacing w:after="0"/>
              <w:rPr>
                <w:sz w:val="1"/>
                <w:szCs w:val="1"/>
                <w:color w:val="auto"/>
              </w:rPr>
            </w:pPr>
          </w:p>
        </w:tc>
      </w:tr>
      <w:tr>
        <w:trPr>
          <w:trHeight w:val="243"/>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549,678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446,569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1,072,960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865,823</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253,751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198,720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490,777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385,737</w:t>
            </w:r>
          </w:p>
        </w:tc>
        <w:tc>
          <w:tcPr>
            <w:tcW w:w="0" w:type="dxa"/>
            <w:vAlign w:val="bottom"/>
          </w:tcPr>
          <w:p>
            <w:pPr>
              <w:spacing w:after="0"/>
              <w:rPr>
                <w:sz w:val="1"/>
                <w:szCs w:val="1"/>
                <w:color w:val="auto"/>
              </w:rPr>
            </w:pPr>
          </w:p>
        </w:tc>
      </w:tr>
      <w:tr>
        <w:trPr>
          <w:trHeight w:val="243"/>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198,002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157,641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384,933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310,495</w:t>
            </w:r>
          </w:p>
        </w:tc>
        <w:tc>
          <w:tcPr>
            <w:tcW w:w="0" w:type="dxa"/>
            <w:vAlign w:val="bottom"/>
          </w:tcPr>
          <w:p>
            <w:pPr>
              <w:spacing w:after="0"/>
              <w:rPr>
                <w:sz w:val="1"/>
                <w:szCs w:val="1"/>
                <w:color w:val="auto"/>
              </w:rPr>
            </w:pPr>
          </w:p>
        </w:tc>
      </w:tr>
      <w:tr>
        <w:trPr>
          <w:trHeight w:val="243"/>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13,215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12,594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26,160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24,890</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10,175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22,750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30,452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22,961</w:t>
            </w:r>
          </w:p>
        </w:tc>
        <w:tc>
          <w:tcPr>
            <w:tcW w:w="0" w:type="dxa"/>
            <w:vAlign w:val="bottom"/>
          </w:tcPr>
          <w:p>
            <w:pPr>
              <w:spacing w:after="0"/>
              <w:rPr>
                <w:sz w:val="1"/>
                <w:szCs w:val="1"/>
                <w:color w:val="auto"/>
              </w:rPr>
            </w:pPr>
          </w:p>
        </w:tc>
      </w:tr>
      <w:tr>
        <w:trPr>
          <w:trHeight w:val="237"/>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221,392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192,985</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441,545</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358,346</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32,359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49,232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27,391</w:t>
            </w:r>
          </w:p>
        </w:tc>
        <w:tc>
          <w:tcPr>
            <w:tcW w:w="0" w:type="dxa"/>
            <w:vAlign w:val="bottom"/>
          </w:tcPr>
          <w:p>
            <w:pPr>
              <w:spacing w:after="0"/>
              <w:rPr>
                <w:sz w:val="1"/>
                <w:szCs w:val="1"/>
                <w:color w:val="auto"/>
              </w:rPr>
            </w:pPr>
          </w:p>
        </w:tc>
      </w:tr>
      <w:tr>
        <w:trPr>
          <w:trHeight w:val="223"/>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Other expenses:</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15,452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11,104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31,890</w:t>
            </w:r>
          </w:p>
        </w:tc>
        <w:tc>
          <w:tcPr>
            <w:tcW w:w="0" w:type="dxa"/>
            <w:vAlign w:val="bottom"/>
          </w:tcPr>
          <w:p>
            <w:pPr>
              <w:spacing w:after="0"/>
              <w:rPr>
                <w:sz w:val="1"/>
                <w:szCs w:val="1"/>
                <w:color w:val="auto"/>
              </w:rPr>
            </w:pPr>
          </w:p>
        </w:tc>
      </w:tr>
      <w:tr>
        <w:trPr>
          <w:trHeight w:val="243"/>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5,162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198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expenses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20,614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11,302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37,052</w:t>
            </w:r>
          </w:p>
        </w:tc>
        <w:tc>
          <w:tcPr>
            <w:tcW w:w="0" w:type="dxa"/>
            <w:vAlign w:val="bottom"/>
          </w:tcPr>
          <w:p>
            <w:pPr>
              <w:spacing w:after="0"/>
              <w:rPr>
                <w:sz w:val="1"/>
                <w:szCs w:val="1"/>
                <w:color w:val="auto"/>
              </w:rPr>
            </w:pPr>
          </w:p>
        </w:tc>
      </w:tr>
      <w:tr>
        <w:trPr>
          <w:trHeight w:val="237"/>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27,089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(14,879)</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37,930</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(9,661)</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37"/>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Net income (loss) and comprehensive income (loss)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29,333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(10,632)</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41,975</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6"/>
        </w:trPr>
        <w:tc>
          <w:tcPr>
            <w:tcW w:w="4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13 Weeks Ended</w:t>
            </w: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26 Weeks Ended</w:t>
            </w: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June 27,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w w:val="92"/>
              </w:rPr>
              <w:t>June 29,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rPr>
              <w:t>June 27,</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jc w:val="center"/>
              <w:ind w:right="212"/>
              <w:spacing w:after="0" w:line="153" w:lineRule="exact"/>
              <w:rPr>
                <w:sz w:val="20"/>
                <w:szCs w:val="20"/>
                <w:color w:val="auto"/>
              </w:rPr>
            </w:pPr>
            <w:r>
              <w:rPr>
                <w:rFonts w:ascii="Arial" w:cs="Arial" w:eastAsia="Arial" w:hAnsi="Arial"/>
                <w:sz w:val="14"/>
                <w:szCs w:val="14"/>
                <w:b w:val="1"/>
                <w:bCs w:val="1"/>
                <w:color w:val="auto"/>
                <w:w w:val="92"/>
              </w:rPr>
              <w:t>June 29,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8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Percentage of Sales </w:t>
            </w:r>
            <w:r>
              <w:rPr>
                <w:rFonts w:ascii="Arial" w:cs="Arial" w:eastAsia="Arial" w:hAnsi="Arial"/>
                <w:sz w:val="24"/>
                <w:szCs w:val="24"/>
                <w:b w:val="1"/>
                <w:bCs w:val="1"/>
                <w:color w:val="auto"/>
                <w:vertAlign w:val="superscript"/>
              </w:rPr>
              <w:t>(1)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8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8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840" w:type="dxa"/>
            <w:vAlign w:val="bottom"/>
          </w:tcPr>
          <w:p>
            <w:pPr>
              <w:ind w:left="20"/>
              <w:spacing w:after="0"/>
              <w:rPr>
                <w:sz w:val="20"/>
                <w:szCs w:val="20"/>
                <w:color w:val="auto"/>
              </w:rPr>
            </w:pPr>
            <w:r>
              <w:rPr>
                <w:rFonts w:ascii="Arial" w:cs="Arial" w:eastAsia="Arial" w:hAnsi="Arial"/>
                <w:sz w:val="18"/>
                <w:szCs w:val="18"/>
                <w:color w:val="auto"/>
              </w:rPr>
              <w:t>Total other expenses</w:t>
            </w: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and comprehensive income (loss)</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8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Components may not sum to totals due to rounding.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 and Non-GAAP Financial Measures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New Stores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number of new stores reflects the number of stores opened during a particular reporting period. New stores require an initial capital investment in the store build-outs, fixtures and equipment which we amortize over time as well as cash required for inventory and pre-opening expenses.</w:t>
      </w:r>
    </w:p>
    <w:p>
      <w:pPr>
        <w:spacing w:after="0" w:line="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expect new store growth to be the primary driver of our sales growth over the long term. We lease substantially all of our store locations. Our initial lease terms on stores are typically ten years with options to renew for two or three successive five-year periods.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use comparable store sales as an operating metric to measure performance of a store during the current reporting period against the performance of the same store in the corresponding period of the previous year. Comparable store sales are impacted by the same factors that impact sales.</w:t>
      </w:r>
    </w:p>
    <w:p>
      <w:pPr>
        <w:spacing w:after="0" w:line="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Comparable store sales consists of sales from our stores beginning on the first day of the fourteenth full fiscal month following the store’s opening, which is when we believe comparability is achieved. Included in our comparable store definition are those stores that have been remodeled, expanded, or relocated in their existing location or respective trade areas. Excluded from our comparable store definition are those stores that have been closed for an extended period as well as any planned store closures or dispositions. When applicable, as it will be in fiscal 2020, we exclude the sales in the non-comparable week of a 53-week year from the same store sales calculation.</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Opening new stores is a primary component of our growth strategy and, as we continue to execute on our growth strategy, we expect a significant portion of our sales growth will be attributable to non-comparable store sales. Accordingly, comparable store sales is only one measure we use to assess the success of our growth strategy.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Adjusted EBITDA and Non-GAAP Adjusted Net Income</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EBITDA, adjusted EBITDA and non-GAAP adjusted net income are key metrics used by management and our board of directors to assess our financial performance. EBITDA, adjusted EBITDA and non-GAAP adjusted net income are also frequently used by analysts, investors and other interested parties to evaluate companies in our industry. We use EBITDA, adjusted EBITDA and non-GAAP adjusted net income to supplement GAAP measures of performance to evaluate the effectiveness of our business strategies, to make budgeting decisions and to compare our performance against that of other peer companies using similar measures. In addition, we use EBITDA to supplement GAAP measures of performance to evaluate our performance in connection with compensation decisions. Management believes it is useful to investors and analysts to evaluate these non-GAAP measures on the same basis as management uses to evaluate our operating results. We believe that excluding items from operating income, net income and net income per diluted share that may not be indicative of, or are unrelated to, our core operating results, and that may vary in frequency or magnitude, enhances the comparability of our results and provides a better baseline for analyzing trends in our business.</w:t>
      </w:r>
    </w:p>
    <w:p>
      <w:pPr>
        <w:spacing w:after="0" w:line="73"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define EBITDA as net income before net interest expense, income taxes and depreciation and amortization expenses. Adjusted EBITDA represents EBITDA adjusted to exclude share-based compensation expense, purchase accounting inventory adjustments, debt extinguishment and modification costs, non-cash rent, asset impairment and gain or loss on disposition, new store pre-opening expenses, dead rent for acquired leases, provision for accounts receivable reserves and certain other expenses. Non-GAAP adjusted net income represents net income adjusted for the previously mentioned EBITDA adjustments, further adjusted for costs related to amortization of purchase accounting assets and deferred financing costs and tax effect of total adjustments. EBITDA, adjusted EBITDA and non-GAAP adjusted net income are non-GAAP measures and may not be comparable to similar measures reported by other companies. EBITDA, adjusted EBITDA and non-GAAP adjusted net income have limitations as analytical tools, and you should not consider them in isolation or as a substitute for analysis of our results as reported under GAAP. We address the limitations of the non-GAAP measures through the use of various GAAP measures. In the future we may incur expenses or charges such as those added back to calculate adjusted EBITDA or non-GAAP adjusted net income. Our presentation of adjusted EBITDA and non-GAAP adjusted net income should not be construed as an inference that our future results will be unaffected by the adjustments we have used to derive our non-GAAP measures.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summarizes key operating metrics and non-GAAP components of our results of operations (amounts in thousands, except for percentages and store counts):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13 Weeks Ended</w:t>
            </w: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26 Weeks Ended</w:t>
            </w: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52"/>
        </w:trPr>
        <w:tc>
          <w:tcPr>
            <w:tcW w:w="4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June 27,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w w:val="92"/>
              </w:rPr>
              <w:t>June 29,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June 27,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w w:val="92"/>
              </w:rPr>
              <w:t>June 29,</w:t>
            </w:r>
          </w:p>
        </w:tc>
        <w:tc>
          <w:tcPr>
            <w:tcW w:w="200" w:type="dxa"/>
            <w:vAlign w:val="bottom"/>
          </w:tcPr>
          <w:p>
            <w:pPr>
              <w:spacing w:after="0"/>
              <w:rPr>
                <w:sz w:val="13"/>
                <w:szCs w:val="13"/>
                <w:color w:val="auto"/>
              </w:rPr>
            </w:pPr>
          </w:p>
        </w:tc>
      </w:tr>
      <w:tr>
        <w:trPr>
          <w:trHeight w:val="192"/>
        </w:trPr>
        <w:tc>
          <w:tcPr>
            <w:tcW w:w="47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Financial and Operations Data</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Number of new stores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stores open at end of period</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47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Comparable store sales growth </w:t>
            </w:r>
            <w:r>
              <w:rPr>
                <w:rFonts w:ascii="Arial" w:cs="Arial" w:eastAsia="Arial" w:hAnsi="Arial"/>
                <w:sz w:val="28"/>
                <w:szCs w:val="28"/>
                <w:color w:val="auto"/>
                <w:vertAlign w:val="superscript"/>
              </w:rPr>
              <w:t>(1)</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4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8"/>
                <w:szCs w:val="28"/>
                <w:color w:val="auto"/>
                <w:vertAlign w:val="superscript"/>
              </w:rPr>
              <w:t>(2)</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46,246</w:t>
            </w: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13,729</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76,491</w:t>
            </w: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48,234</w:t>
            </w:r>
          </w:p>
        </w:tc>
        <w:tc>
          <w:tcPr>
            <w:tcW w:w="200" w:type="dxa"/>
            <w:vAlign w:val="bottom"/>
            <w:shd w:val="clear" w:color="auto" w:fill="CCEEFF"/>
          </w:tcPr>
          <w:p>
            <w:pPr>
              <w:spacing w:after="0"/>
              <w:rPr>
                <w:sz w:val="23"/>
                <w:szCs w:val="23"/>
                <w:color w:val="auto"/>
              </w:rPr>
            </w:pPr>
          </w:p>
        </w:tc>
      </w:tr>
      <w:tr>
        <w:trPr>
          <w:trHeight w:val="270"/>
        </w:trPr>
        <w:tc>
          <w:tcPr>
            <w:tcW w:w="47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8"/>
                <w:szCs w:val="28"/>
                <w:color w:val="auto"/>
                <w:vertAlign w:val="superscript"/>
              </w:rPr>
              <w:t>(2)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60,644</w:t>
            </w:r>
          </w:p>
        </w:tc>
        <w:tc>
          <w:tcPr>
            <w:tcW w:w="7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45,007</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117,671</w:t>
            </w:r>
          </w:p>
        </w:tc>
        <w:tc>
          <w:tcPr>
            <w:tcW w:w="7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84,130</w:t>
            </w:r>
          </w:p>
        </w:tc>
        <w:tc>
          <w:tcPr>
            <w:tcW w:w="200" w:type="dxa"/>
            <w:vAlign w:val="bottom"/>
          </w:tcPr>
          <w:p>
            <w:pPr>
              <w:spacing w:after="0"/>
              <w:rPr>
                <w:sz w:val="23"/>
                <w:szCs w:val="23"/>
                <w:color w:val="auto"/>
              </w:rPr>
            </w:pPr>
          </w:p>
        </w:tc>
      </w:tr>
      <w:tr>
        <w:trPr>
          <w:trHeight w:val="270"/>
        </w:trPr>
        <w:tc>
          <w:tcPr>
            <w:tcW w:w="4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Non-GAAP adjusted net income </w:t>
            </w:r>
            <w:r>
              <w:rPr>
                <w:rFonts w:ascii="Arial" w:cs="Arial" w:eastAsia="Arial" w:hAnsi="Arial"/>
                <w:sz w:val="28"/>
                <w:szCs w:val="28"/>
                <w:color w:val="auto"/>
                <w:vertAlign w:val="superscript"/>
              </w:rPr>
              <w:t>(2)</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41,819</w:t>
            </w: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14,460</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75,858</w:t>
            </w: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24,407</w:t>
            </w:r>
          </w:p>
        </w:tc>
        <w:tc>
          <w:tcPr>
            <w:tcW w:w="200" w:type="dxa"/>
            <w:vAlign w:val="bottom"/>
            <w:shd w:val="clear" w:color="auto" w:fill="CCEEFF"/>
          </w:tcPr>
          <w:p>
            <w:pPr>
              <w:spacing w:after="0"/>
              <w:rPr>
                <w:sz w:val="23"/>
                <w:szCs w:val="23"/>
                <w:color w:val="auto"/>
              </w:rPr>
            </w:pPr>
          </w:p>
        </w:tc>
      </w:tr>
      <w:tr>
        <w:trPr>
          <w:trHeight w:val="140"/>
        </w:trPr>
        <w:tc>
          <w:tcPr>
            <w:tcW w:w="4780" w:type="dxa"/>
            <w:vAlign w:val="bottom"/>
          </w:tcPr>
          <w:p>
            <w:pPr>
              <w:spacing w:after="0"/>
              <w:rPr>
                <w:sz w:val="20"/>
                <w:szCs w:val="20"/>
                <w:color w:val="auto"/>
              </w:rPr>
            </w:pPr>
            <w:r>
              <w:rPr>
                <w:rFonts w:ascii="Arial" w:cs="Arial" w:eastAsia="Arial" w:hAnsi="Arial"/>
                <w:sz w:val="11"/>
                <w:szCs w:val="11"/>
                <w:color w:val="auto"/>
              </w:rPr>
              <w:t>_______________________</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r>
    </w:tbl>
    <w:p>
      <w:pPr>
        <w:spacing w:after="0" w:line="39" w:lineRule="exact"/>
        <w:rPr>
          <w:sz w:val="20"/>
          <w:szCs w:val="20"/>
          <w:color w:val="auto"/>
        </w:rPr>
      </w:pPr>
    </w:p>
    <w:p>
      <w:pPr>
        <w:ind w:left="500" w:hanging="492"/>
        <w:spacing w:after="0" w:line="275"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Comparable store sales consist of sales from our stores beginning on the first day of the fourteenth full fiscal month following the store’s opening, which is when we believe comparability is achieved.</w:t>
      </w:r>
    </w:p>
    <w:p>
      <w:pPr>
        <w:spacing w:after="0" w:line="10" w:lineRule="exact"/>
        <w:rPr>
          <w:rFonts w:ascii="Arial" w:cs="Arial" w:eastAsia="Arial" w:hAnsi="Arial"/>
          <w:sz w:val="16"/>
          <w:szCs w:val="16"/>
          <w:color w:val="auto"/>
        </w:rPr>
      </w:pPr>
    </w:p>
    <w:p>
      <w:pPr>
        <w:ind w:left="500" w:right="240" w:hanging="492"/>
        <w:spacing w:after="0" w:line="275"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 “GAAP to Non-GAAP Reconciliations” section below for a reconciliation from our net income to EBITDA and adjusted EBITDA, net income to non-GAAP adjusted net income, and GAAP to non-GAAP earnings per share for the periods presented.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GAAP to Non-GAAP Reconciliations</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tables provide a reconciliation from our GAAP net income to EBITDA and adjusted EBITDA, GAAP net income to non-GAAP adjusted net income, and our GAAP to non-GAAP earnings per share: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1020" w:type="dxa"/>
            <w:vAlign w:val="bottom"/>
            <w:tcBorders>
              <w:bottom w:val="single" w:sz="8" w:color="auto"/>
            </w:tcBorders>
          </w:tcPr>
          <w:p>
            <w:pPr>
              <w:spacing w:after="0"/>
              <w:rPr>
                <w:sz w:val="16"/>
                <w:szCs w:val="16"/>
                <w:color w:val="auto"/>
              </w:rPr>
            </w:pPr>
          </w:p>
        </w:tc>
      </w:tr>
      <w:tr>
        <w:trPr>
          <w:trHeight w:val="152"/>
        </w:trPr>
        <w:tc>
          <w:tcPr>
            <w:tcW w:w="4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48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460" w:type="dxa"/>
            <w:vAlign w:val="bottom"/>
          </w:tcPr>
          <w:p>
            <w:pPr>
              <w:spacing w:after="0"/>
              <w:rPr>
                <w:sz w:val="13"/>
                <w:szCs w:val="13"/>
                <w:color w:val="auto"/>
              </w:rPr>
            </w:pPr>
          </w:p>
        </w:tc>
        <w:tc>
          <w:tcPr>
            <w:tcW w:w="1020" w:type="dxa"/>
            <w:vAlign w:val="bottom"/>
          </w:tcPr>
          <w:p>
            <w:pPr>
              <w:jc w:val="right"/>
              <w:ind w:right="392"/>
              <w:spacing w:after="0" w:line="153" w:lineRule="exact"/>
              <w:rPr>
                <w:sz w:val="20"/>
                <w:szCs w:val="20"/>
                <w:color w:val="auto"/>
              </w:rPr>
            </w:pPr>
            <w:r>
              <w:rPr>
                <w:rFonts w:ascii="Arial" w:cs="Arial" w:eastAsia="Arial" w:hAnsi="Arial"/>
                <w:sz w:val="14"/>
                <w:szCs w:val="14"/>
                <w:b w:val="1"/>
                <w:bCs w:val="1"/>
                <w:color w:val="auto"/>
                <w:w w:val="92"/>
              </w:rPr>
              <w:t>June 29,</w:t>
            </w:r>
          </w:p>
        </w:tc>
      </w:tr>
      <w:tr>
        <w:trPr>
          <w:trHeight w:val="192"/>
        </w:trPr>
        <w:tc>
          <w:tcPr>
            <w:tcW w:w="4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24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29,333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41,975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(6,858)</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5,270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15,452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11,104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31,890</w:t>
            </w: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(2,803)</w:t>
            </w:r>
          </w:p>
        </w:tc>
      </w:tr>
      <w:tr>
        <w:trPr>
          <w:trHeight w:val="270"/>
        </w:trPr>
        <w:tc>
          <w:tcPr>
            <w:tcW w:w="49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Depreciation and amortization expenses </w:t>
            </w:r>
            <w:r>
              <w:rPr>
                <w:rFonts w:ascii="Arial" w:cs="Arial" w:eastAsia="Arial" w:hAnsi="Arial"/>
                <w:sz w:val="28"/>
                <w:szCs w:val="28"/>
                <w:color w:val="auto"/>
                <w:vertAlign w:val="superscript"/>
              </w:rPr>
              <w:t>(a)</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13,887</w:t>
            </w:r>
          </w:p>
        </w:tc>
        <w:tc>
          <w:tcPr>
            <w:tcW w:w="1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13,156</w:t>
            </w: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27,457</w:t>
            </w:r>
          </w:p>
        </w:tc>
        <w:tc>
          <w:tcPr>
            <w:tcW w:w="1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26,005</w:t>
            </w:r>
          </w:p>
        </w:tc>
      </w:tr>
      <w:tr>
        <w:trPr>
          <w:trHeight w:val="244"/>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46,246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13,729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76,491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48,234</w:t>
            </w:r>
          </w:p>
        </w:tc>
      </w:tr>
      <w:tr>
        <w:trPr>
          <w:trHeight w:val="270"/>
        </w:trPr>
        <w:tc>
          <w:tcPr>
            <w:tcW w:w="49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Share-based compensation expenses </w:t>
            </w:r>
            <w:r>
              <w:rPr>
                <w:rFonts w:ascii="Arial" w:cs="Arial" w:eastAsia="Arial" w:hAnsi="Arial"/>
                <w:sz w:val="28"/>
                <w:szCs w:val="28"/>
                <w:color w:val="auto"/>
                <w:vertAlign w:val="superscript"/>
              </w:rPr>
              <w:t>(b)</w:t>
            </w:r>
          </w:p>
        </w:tc>
        <w:tc>
          <w:tcPr>
            <w:tcW w:w="300" w:type="dxa"/>
            <w:vAlign w:val="bottom"/>
          </w:tcPr>
          <w:p>
            <w:pPr>
              <w:spacing w:after="0"/>
              <w:rPr>
                <w:sz w:val="23"/>
                <w:szCs w:val="23"/>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10,175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22,750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30,452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22,961</w:t>
            </w:r>
          </w:p>
        </w:tc>
      </w:tr>
      <w:tr>
        <w:trPr>
          <w:trHeight w:val="270"/>
        </w:trPr>
        <w:tc>
          <w:tcPr>
            <w:tcW w:w="49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Debt extinguishment and modification costs </w:t>
            </w:r>
            <w:r>
              <w:rPr>
                <w:rFonts w:ascii="Arial" w:cs="Arial" w:eastAsia="Arial" w:hAnsi="Arial"/>
                <w:sz w:val="28"/>
                <w:szCs w:val="28"/>
                <w:color w:val="auto"/>
                <w:vertAlign w:val="superscript"/>
              </w:rPr>
              <w:t>(c)</w:t>
            </w: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5,162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5,162</w:t>
            </w:r>
          </w:p>
        </w:tc>
      </w:tr>
      <w:tr>
        <w:trPr>
          <w:trHeight w:val="270"/>
        </w:trPr>
        <w:tc>
          <w:tcPr>
            <w:tcW w:w="49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8"/>
                <w:szCs w:val="28"/>
                <w:color w:val="auto"/>
                <w:vertAlign w:val="superscript"/>
              </w:rPr>
              <w:t>(d)</w:t>
            </w:r>
          </w:p>
        </w:tc>
        <w:tc>
          <w:tcPr>
            <w:tcW w:w="300" w:type="dxa"/>
            <w:vAlign w:val="bottom"/>
          </w:tcPr>
          <w:p>
            <w:pPr>
              <w:spacing w:after="0"/>
              <w:rPr>
                <w:sz w:val="23"/>
                <w:szCs w:val="23"/>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4,973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3,678</w:t>
            </w:r>
          </w:p>
        </w:tc>
      </w:tr>
      <w:tr>
        <w:trPr>
          <w:trHeight w:val="270"/>
        </w:trPr>
        <w:tc>
          <w:tcPr>
            <w:tcW w:w="49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Asset impairment and gain or loss on disposition </w:t>
            </w:r>
            <w:r>
              <w:rPr>
                <w:rFonts w:ascii="Arial" w:cs="Arial" w:eastAsia="Arial" w:hAnsi="Arial"/>
                <w:sz w:val="28"/>
                <w:szCs w:val="28"/>
                <w:color w:val="auto"/>
                <w:vertAlign w:val="superscript"/>
              </w:rPr>
              <w:t>(e)</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415</w:t>
            </w:r>
          </w:p>
        </w:tc>
      </w:tr>
      <w:tr>
        <w:trPr>
          <w:trHeight w:val="270"/>
        </w:trPr>
        <w:tc>
          <w:tcPr>
            <w:tcW w:w="49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8"/>
                <w:szCs w:val="28"/>
                <w:color w:val="auto"/>
                <w:vertAlign w:val="superscript"/>
              </w:rPr>
              <w:t>(f)</w:t>
            </w:r>
          </w:p>
        </w:tc>
        <w:tc>
          <w:tcPr>
            <w:tcW w:w="300" w:type="dxa"/>
            <w:vAlign w:val="bottom"/>
          </w:tcPr>
          <w:p>
            <w:pPr>
              <w:spacing w:after="0"/>
              <w:rPr>
                <w:sz w:val="23"/>
                <w:szCs w:val="23"/>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742</w:t>
            </w:r>
          </w:p>
        </w:tc>
      </w:tr>
      <w:tr>
        <w:trPr>
          <w:trHeight w:val="270"/>
        </w:trPr>
        <w:tc>
          <w:tcPr>
            <w:tcW w:w="49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Provision for accounts receivable reserves </w:t>
            </w:r>
            <w:r>
              <w:rPr>
                <w:rFonts w:ascii="Arial" w:cs="Arial" w:eastAsia="Arial" w:hAnsi="Arial"/>
                <w:sz w:val="28"/>
                <w:szCs w:val="28"/>
                <w:color w:val="auto"/>
                <w:vertAlign w:val="superscript"/>
              </w:rPr>
              <w:t>(g)</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2,064</w:t>
            </w:r>
          </w:p>
        </w:tc>
      </w:tr>
      <w:tr>
        <w:trPr>
          <w:trHeight w:val="270"/>
        </w:trPr>
        <w:tc>
          <w:tcPr>
            <w:tcW w:w="49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8"/>
                <w:szCs w:val="28"/>
                <w:color w:val="auto"/>
                <w:vertAlign w:val="superscript"/>
              </w:rPr>
              <w:t>(h)</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3,912</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874</w:t>
            </w:r>
          </w:p>
        </w:tc>
      </w:tr>
      <w:tr>
        <w:trPr>
          <w:trHeight w:val="289"/>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60,644</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45,007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117,671</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84,130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4980" w:type="dxa"/>
        <w:tblCellMar>
          <w:top w:w="0" w:type="dxa"/>
          <w:left w:w="0" w:type="dxa"/>
          <w:bottom w:w="0" w:type="dxa"/>
          <w:right w:w="0" w:type="dxa"/>
        </w:tblCellMar>
      </w:tblPr>
      <w:tr>
        <w:trPr>
          <w:trHeight w:val="192"/>
        </w:trPr>
        <w:tc>
          <w:tcPr>
            <w:tcW w:w="206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w w:val="92"/>
              </w:rPr>
              <w:t>13 Weeks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26 Weeks Ended</w:t>
            </w:r>
          </w:p>
        </w:tc>
      </w:tr>
      <w:tr>
        <w:trPr>
          <w:trHeight w:val="152"/>
        </w:trPr>
        <w:tc>
          <w:tcPr>
            <w:tcW w:w="2060" w:type="dxa"/>
            <w:vAlign w:val="bottom"/>
          </w:tcPr>
          <w:p>
            <w:pPr>
              <w:jc w:val="center"/>
              <w:ind w:right="508"/>
              <w:spacing w:after="0" w:line="153" w:lineRule="exact"/>
              <w:rPr>
                <w:sz w:val="20"/>
                <w:szCs w:val="20"/>
                <w:color w:val="auto"/>
              </w:rPr>
            </w:pPr>
            <w:r>
              <w:rPr>
                <w:rFonts w:ascii="Arial" w:cs="Arial" w:eastAsia="Arial" w:hAnsi="Arial"/>
                <w:sz w:val="14"/>
                <w:szCs w:val="14"/>
                <w:b w:val="1"/>
                <w:bCs w:val="1"/>
                <w:color w:val="auto"/>
                <w:w w:val="92"/>
              </w:rPr>
              <w:t>June 27,</w:t>
            </w:r>
          </w:p>
        </w:tc>
        <w:tc>
          <w:tcPr>
            <w:tcW w:w="112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w w:val="89"/>
              </w:rPr>
              <w:t>June 29,</w:t>
            </w:r>
          </w:p>
        </w:tc>
        <w:tc>
          <w:tcPr>
            <w:tcW w:w="1020" w:type="dxa"/>
            <w:vAlign w:val="bottom"/>
          </w:tcPr>
          <w:p>
            <w:pPr>
              <w:jc w:val="center"/>
              <w:ind w:left="388"/>
              <w:spacing w:after="0" w:line="153" w:lineRule="exact"/>
              <w:rPr>
                <w:sz w:val="20"/>
                <w:szCs w:val="20"/>
                <w:color w:val="auto"/>
              </w:rPr>
            </w:pPr>
            <w:r>
              <w:rPr>
                <w:rFonts w:ascii="Arial" w:cs="Arial" w:eastAsia="Arial" w:hAnsi="Arial"/>
                <w:sz w:val="14"/>
                <w:szCs w:val="14"/>
                <w:b w:val="1"/>
                <w:bCs w:val="1"/>
                <w:color w:val="auto"/>
                <w:w w:val="92"/>
              </w:rPr>
              <w:t>June 27,</w:t>
            </w:r>
          </w:p>
        </w:tc>
        <w:tc>
          <w:tcPr>
            <w:tcW w:w="2060" w:type="dxa"/>
            <w:vAlign w:val="bottom"/>
          </w:tcPr>
          <w:p>
            <w:pPr>
              <w:jc w:val="center"/>
              <w:ind w:left="508"/>
              <w:spacing w:after="0" w:line="153" w:lineRule="exact"/>
              <w:rPr>
                <w:sz w:val="20"/>
                <w:szCs w:val="20"/>
                <w:color w:val="auto"/>
              </w:rPr>
            </w:pPr>
            <w:r>
              <w:rPr>
                <w:rFonts w:ascii="Arial" w:cs="Arial" w:eastAsia="Arial" w:hAnsi="Arial"/>
                <w:sz w:val="14"/>
                <w:szCs w:val="14"/>
                <w:b w:val="1"/>
                <w:bCs w:val="1"/>
                <w:color w:val="auto"/>
                <w:w w:val="92"/>
              </w:rPr>
              <w:t>June 29,</w:t>
            </w:r>
          </w:p>
        </w:tc>
      </w:tr>
      <w:tr>
        <w:trPr>
          <w:trHeight w:val="186"/>
        </w:trPr>
        <w:tc>
          <w:tcPr>
            <w:tcW w:w="2060" w:type="dxa"/>
            <w:vAlign w:val="bottom"/>
          </w:tcPr>
          <w:p>
            <w:pPr>
              <w:jc w:val="right"/>
              <w:ind w:right="1108"/>
              <w:spacing w:after="0"/>
              <w:rPr>
                <w:sz w:val="20"/>
                <w:szCs w:val="20"/>
                <w:color w:val="auto"/>
              </w:rPr>
            </w:pPr>
            <w:r>
              <w:rPr>
                <w:rFonts w:ascii="Arial" w:cs="Arial" w:eastAsia="Arial" w:hAnsi="Arial"/>
                <w:sz w:val="14"/>
                <w:szCs w:val="14"/>
                <w:b w:val="1"/>
                <w:bCs w:val="1"/>
                <w:color w:val="auto"/>
              </w:rPr>
              <w:t>2020</w:t>
            </w:r>
          </w:p>
        </w:tc>
        <w:tc>
          <w:tcPr>
            <w:tcW w:w="1020" w:type="dxa"/>
            <w:vAlign w:val="bottom"/>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2060" w:type="dxa"/>
            <w:vAlign w:val="bottom"/>
          </w:tcPr>
          <w:p>
            <w:pPr>
              <w:jc w:val="right"/>
              <w:ind w:right="528"/>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5"/>
        </w:trPr>
        <w:tc>
          <w:tcPr>
            <w:tcW w:w="4920" w:type="dxa"/>
            <w:vAlign w:val="bottom"/>
          </w:tcPr>
          <w:p>
            <w:pPr>
              <w:ind w:left="20"/>
              <w:spacing w:after="0"/>
              <w:rPr>
                <w:sz w:val="20"/>
                <w:szCs w:val="20"/>
                <w:color w:val="auto"/>
              </w:rPr>
            </w:pPr>
            <w:r>
              <w:rPr>
                <w:rFonts w:ascii="Arial" w:cs="Arial" w:eastAsia="Arial" w:hAnsi="Arial"/>
                <w:sz w:val="18"/>
                <w:szCs w:val="18"/>
                <w:color w:val="auto"/>
              </w:rPr>
              <w:t xml:space="preserve">Share-based compensation expenses </w:t>
            </w:r>
            <w:r>
              <w:rPr>
                <w:rFonts w:ascii="Arial" w:cs="Arial" w:eastAsia="Arial" w:hAnsi="Arial"/>
                <w:sz w:val="28"/>
                <w:szCs w:val="28"/>
                <w:color w:val="auto"/>
                <w:vertAlign w:val="superscript"/>
              </w:rPr>
              <w:t>(b)</w:t>
            </w:r>
          </w:p>
        </w:tc>
        <w:tc>
          <w:tcPr>
            <w:tcW w:w="160" w:type="dxa"/>
            <w:vAlign w:val="bottom"/>
          </w:tcPr>
          <w:p>
            <w:pPr>
              <w:spacing w:after="0"/>
              <w:rPr>
                <w:sz w:val="24"/>
                <w:szCs w:val="24"/>
                <w:color w:val="auto"/>
              </w:rPr>
            </w:pPr>
          </w:p>
        </w:tc>
      </w:tr>
      <w:tr>
        <w:trPr>
          <w:trHeight w:val="270"/>
        </w:trPr>
        <w:tc>
          <w:tcPr>
            <w:tcW w:w="4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Debt extinguishment and modification costs </w:t>
            </w:r>
            <w:r>
              <w:rPr>
                <w:rFonts w:ascii="Arial" w:cs="Arial" w:eastAsia="Arial" w:hAnsi="Arial"/>
                <w:sz w:val="28"/>
                <w:szCs w:val="28"/>
                <w:color w:val="auto"/>
                <w:vertAlign w:val="superscript"/>
              </w:rPr>
              <w:t>(c)</w:t>
            </w:r>
          </w:p>
        </w:tc>
        <w:tc>
          <w:tcPr>
            <w:tcW w:w="160" w:type="dxa"/>
            <w:vAlign w:val="bottom"/>
          </w:tcPr>
          <w:p>
            <w:pPr>
              <w:spacing w:after="0"/>
              <w:rPr>
                <w:sz w:val="23"/>
                <w:szCs w:val="23"/>
                <w:color w:val="auto"/>
              </w:rPr>
            </w:pPr>
          </w:p>
        </w:tc>
      </w:tr>
      <w:tr>
        <w:trPr>
          <w:trHeight w:val="270"/>
        </w:trPr>
        <w:tc>
          <w:tcPr>
            <w:tcW w:w="4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8"/>
                <w:szCs w:val="28"/>
                <w:color w:val="auto"/>
                <w:vertAlign w:val="superscript"/>
              </w:rPr>
              <w:t>(d)</w:t>
            </w:r>
          </w:p>
        </w:tc>
        <w:tc>
          <w:tcPr>
            <w:tcW w:w="160" w:type="dxa"/>
            <w:vAlign w:val="bottom"/>
          </w:tcPr>
          <w:p>
            <w:pPr>
              <w:spacing w:after="0"/>
              <w:rPr>
                <w:sz w:val="23"/>
                <w:szCs w:val="23"/>
                <w:color w:val="auto"/>
              </w:rPr>
            </w:pPr>
          </w:p>
        </w:tc>
      </w:tr>
      <w:tr>
        <w:trPr>
          <w:trHeight w:val="270"/>
        </w:trPr>
        <w:tc>
          <w:tcPr>
            <w:tcW w:w="4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Asset impairment and gain or loss on disposition </w:t>
            </w:r>
            <w:r>
              <w:rPr>
                <w:rFonts w:ascii="Arial" w:cs="Arial" w:eastAsia="Arial" w:hAnsi="Arial"/>
                <w:sz w:val="28"/>
                <w:szCs w:val="28"/>
                <w:color w:val="auto"/>
                <w:vertAlign w:val="superscript"/>
              </w:rPr>
              <w:t>(e)</w:t>
            </w:r>
          </w:p>
        </w:tc>
        <w:tc>
          <w:tcPr>
            <w:tcW w:w="160" w:type="dxa"/>
            <w:vAlign w:val="bottom"/>
          </w:tcPr>
          <w:p>
            <w:pPr>
              <w:spacing w:after="0"/>
              <w:rPr>
                <w:sz w:val="23"/>
                <w:szCs w:val="23"/>
                <w:color w:val="auto"/>
              </w:rPr>
            </w:pPr>
          </w:p>
        </w:tc>
      </w:tr>
      <w:tr>
        <w:trPr>
          <w:trHeight w:val="270"/>
        </w:trPr>
        <w:tc>
          <w:tcPr>
            <w:tcW w:w="4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8"/>
                <w:szCs w:val="28"/>
                <w:color w:val="auto"/>
                <w:vertAlign w:val="superscript"/>
              </w:rPr>
              <w:t>(f)</w:t>
            </w:r>
          </w:p>
        </w:tc>
        <w:tc>
          <w:tcPr>
            <w:tcW w:w="160" w:type="dxa"/>
            <w:vAlign w:val="bottom"/>
          </w:tcPr>
          <w:p>
            <w:pPr>
              <w:spacing w:after="0"/>
              <w:rPr>
                <w:sz w:val="23"/>
                <w:szCs w:val="23"/>
                <w:color w:val="auto"/>
              </w:rPr>
            </w:pPr>
          </w:p>
        </w:tc>
      </w:tr>
      <w:tr>
        <w:trPr>
          <w:trHeight w:val="270"/>
        </w:trPr>
        <w:tc>
          <w:tcPr>
            <w:tcW w:w="4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Provision for accounts receivable reserves </w:t>
            </w:r>
            <w:r>
              <w:rPr>
                <w:rFonts w:ascii="Arial" w:cs="Arial" w:eastAsia="Arial" w:hAnsi="Arial"/>
                <w:sz w:val="28"/>
                <w:szCs w:val="28"/>
                <w:color w:val="auto"/>
                <w:vertAlign w:val="superscript"/>
              </w:rPr>
              <w:t>(g)</w:t>
            </w:r>
          </w:p>
        </w:tc>
        <w:tc>
          <w:tcPr>
            <w:tcW w:w="160" w:type="dxa"/>
            <w:vAlign w:val="bottom"/>
          </w:tcPr>
          <w:p>
            <w:pPr>
              <w:spacing w:after="0"/>
              <w:rPr>
                <w:sz w:val="23"/>
                <w:szCs w:val="23"/>
                <w:color w:val="auto"/>
              </w:rPr>
            </w:pPr>
          </w:p>
        </w:tc>
      </w:tr>
      <w:tr>
        <w:trPr>
          <w:trHeight w:val="231"/>
        </w:trPr>
        <w:tc>
          <w:tcPr>
            <w:tcW w:w="4920" w:type="dxa"/>
            <w:vAlign w:val="bottom"/>
          </w:tcPr>
          <w:p>
            <w:pPr>
              <w:ind w:left="20"/>
              <w:spacing w:after="0" w:line="231"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6"/>
                <w:szCs w:val="26"/>
                <w:color w:val="auto"/>
                <w:vertAlign w:val="superscript"/>
              </w:rPr>
              <w:t>(h)</w:t>
            </w:r>
          </w:p>
        </w:tc>
        <w:tc>
          <w:tcPr>
            <w:tcW w:w="160" w:type="dxa"/>
            <w:vAlign w:val="bottom"/>
          </w:tcPr>
          <w:p>
            <w:pPr>
              <w:spacing w:after="0"/>
              <w:rPr>
                <w:sz w:val="20"/>
                <w:szCs w:val="20"/>
                <w:color w:val="auto"/>
              </w:rPr>
            </w:pPr>
          </w:p>
        </w:tc>
      </w:tr>
      <w:tr>
        <w:trPr>
          <w:trHeight w:val="176"/>
        </w:trPr>
        <w:tc>
          <w:tcPr>
            <w:tcW w:w="4920" w:type="dxa"/>
            <w:vAlign w:val="bottom"/>
          </w:tcPr>
          <w:p>
            <w:pPr>
              <w:ind w:left="20"/>
              <w:spacing w:after="0" w:line="176" w:lineRule="exact"/>
              <w:rPr>
                <w:sz w:val="20"/>
                <w:szCs w:val="20"/>
                <w:color w:val="auto"/>
              </w:rPr>
            </w:pPr>
            <w:r>
              <w:rPr>
                <w:rFonts w:ascii="Arial" w:cs="Arial" w:eastAsia="Arial" w:hAnsi="Arial"/>
                <w:sz w:val="18"/>
                <w:szCs w:val="18"/>
                <w:color w:val="auto"/>
                <w:w w:val="91"/>
              </w:rPr>
              <w:t>Amortization of purchase accounting assets and deferred financing</w:t>
            </w:r>
          </w:p>
        </w:tc>
        <w:tc>
          <w:tcPr>
            <w:tcW w:w="160" w:type="dxa"/>
            <w:vAlign w:val="bottom"/>
          </w:tcPr>
          <w:p>
            <w:pPr>
              <w:spacing w:after="0"/>
              <w:rPr>
                <w:sz w:val="15"/>
                <w:szCs w:val="15"/>
                <w:color w:val="auto"/>
              </w:rPr>
            </w:pPr>
          </w:p>
        </w:tc>
      </w:tr>
      <w:tr>
        <w:trPr>
          <w:trHeight w:val="268"/>
        </w:trPr>
        <w:tc>
          <w:tcPr>
            <w:tcW w:w="4920" w:type="dxa"/>
            <w:vAlign w:val="bottom"/>
          </w:tcPr>
          <w:p>
            <w:pPr>
              <w:ind w:left="20"/>
              <w:spacing w:after="0" w:line="267" w:lineRule="exact"/>
              <w:rPr>
                <w:sz w:val="20"/>
                <w:szCs w:val="20"/>
                <w:color w:val="auto"/>
              </w:rPr>
            </w:pPr>
            <w:r>
              <w:rPr>
                <w:rFonts w:ascii="Arial" w:cs="Arial" w:eastAsia="Arial" w:hAnsi="Arial"/>
                <w:sz w:val="18"/>
                <w:szCs w:val="18"/>
                <w:color w:val="auto"/>
              </w:rPr>
              <w:t xml:space="preserve">costs </w:t>
            </w:r>
            <w:r>
              <w:rPr>
                <w:rFonts w:ascii="Arial" w:cs="Arial" w:eastAsia="Arial" w:hAnsi="Arial"/>
                <w:sz w:val="28"/>
                <w:szCs w:val="28"/>
                <w:color w:val="auto"/>
                <w:vertAlign w:val="superscript"/>
              </w:rPr>
              <w:t>(i)</w:t>
            </w:r>
          </w:p>
        </w:tc>
        <w:tc>
          <w:tcPr>
            <w:tcW w:w="160" w:type="dxa"/>
            <w:vAlign w:val="bottom"/>
          </w:tcPr>
          <w:p>
            <w:pPr>
              <w:spacing w:after="0"/>
              <w:rPr>
                <w:sz w:val="23"/>
                <w:szCs w:val="23"/>
                <w:color w:val="auto"/>
              </w:rPr>
            </w:pPr>
          </w:p>
        </w:tc>
      </w:tr>
      <w:tr>
        <w:trPr>
          <w:trHeight w:val="258"/>
        </w:trPr>
        <w:tc>
          <w:tcPr>
            <w:tcW w:w="4920" w:type="dxa"/>
            <w:vAlign w:val="bottom"/>
          </w:tcPr>
          <w:p>
            <w:pPr>
              <w:ind w:left="20"/>
              <w:spacing w:after="0" w:line="258"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8"/>
                <w:szCs w:val="28"/>
                <w:color w:val="auto"/>
                <w:vertAlign w:val="superscript"/>
              </w:rPr>
              <w:t>(j)</w:t>
            </w:r>
          </w:p>
        </w:tc>
        <w:tc>
          <w:tcPr>
            <w:tcW w:w="160" w:type="dxa"/>
            <w:vAlign w:val="bottom"/>
          </w:tcPr>
          <w:p>
            <w:pPr>
              <w:spacing w:after="0"/>
              <w:rPr>
                <w:sz w:val="22"/>
                <w:szCs w:val="22"/>
                <w:color w:val="auto"/>
              </w:rPr>
            </w:pPr>
          </w:p>
        </w:tc>
      </w:tr>
      <w:tr>
        <w:trPr>
          <w:trHeight w:val="257"/>
        </w:trPr>
        <w:tc>
          <w:tcPr>
            <w:tcW w:w="4920" w:type="dxa"/>
            <w:vAlign w:val="bottom"/>
          </w:tcPr>
          <w:p>
            <w:pPr>
              <w:ind w:left="220"/>
              <w:spacing w:after="0"/>
              <w:rPr>
                <w:sz w:val="20"/>
                <w:szCs w:val="20"/>
                <w:color w:val="auto"/>
              </w:rPr>
            </w:pPr>
            <w:r>
              <w:rPr>
                <w:rFonts w:ascii="Arial" w:cs="Arial" w:eastAsia="Arial" w:hAnsi="Arial"/>
                <w:sz w:val="18"/>
                <w:szCs w:val="18"/>
                <w:color w:val="auto"/>
              </w:rPr>
              <w:t>Non-GAAP adjusted net income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tcPr>
          <w:p>
            <w:pPr>
              <w:ind w:left="20"/>
              <w:spacing w:after="0"/>
              <w:rPr>
                <w:sz w:val="20"/>
                <w:szCs w:val="20"/>
                <w:color w:val="auto"/>
              </w:rPr>
            </w:pPr>
            <w:r>
              <w:rPr>
                <w:rFonts w:ascii="Arial" w:cs="Arial" w:eastAsia="Arial" w:hAnsi="Arial"/>
                <w:sz w:val="18"/>
                <w:szCs w:val="18"/>
                <w:color w:val="auto"/>
              </w:rPr>
              <w:t>GAAP earnings per share</w:t>
            </w:r>
          </w:p>
        </w:tc>
        <w:tc>
          <w:tcPr>
            <w:tcW w:w="160" w:type="dxa"/>
            <w:vAlign w:val="bottom"/>
          </w:tcPr>
          <w:p>
            <w:pPr>
              <w:spacing w:after="0"/>
              <w:rPr>
                <w:sz w:val="23"/>
                <w:szCs w:val="23"/>
                <w:color w:val="auto"/>
              </w:rPr>
            </w:pPr>
          </w:p>
        </w:tc>
      </w:tr>
      <w:tr>
        <w:trPr>
          <w:trHeight w:val="270"/>
        </w:trPr>
        <w:tc>
          <w:tcPr>
            <w:tcW w:w="4920" w:type="dxa"/>
            <w:vAlign w:val="bottom"/>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tcPr>
          <w:p>
            <w:pPr>
              <w:ind w:left="20"/>
              <w:spacing w:after="0"/>
              <w:rPr>
                <w:sz w:val="20"/>
                <w:szCs w:val="20"/>
                <w:color w:val="auto"/>
              </w:rPr>
            </w:pPr>
            <w:r>
              <w:rPr>
                <w:rFonts w:ascii="Arial" w:cs="Arial" w:eastAsia="Arial" w:hAnsi="Arial"/>
                <w:sz w:val="18"/>
                <w:szCs w:val="18"/>
                <w:color w:val="auto"/>
              </w:rPr>
              <w:t>Non-GAAP adjusted earnings per share</w:t>
            </w:r>
          </w:p>
        </w:tc>
        <w:tc>
          <w:tcPr>
            <w:tcW w:w="160" w:type="dxa"/>
            <w:vAlign w:val="bottom"/>
          </w:tcPr>
          <w:p>
            <w:pPr>
              <w:spacing w:after="0"/>
              <w:rPr>
                <w:sz w:val="23"/>
                <w:szCs w:val="23"/>
                <w:color w:val="auto"/>
              </w:rPr>
            </w:pPr>
          </w:p>
        </w:tc>
      </w:tr>
      <w:tr>
        <w:trPr>
          <w:trHeight w:val="270"/>
        </w:trPr>
        <w:tc>
          <w:tcPr>
            <w:tcW w:w="4920" w:type="dxa"/>
            <w:vAlign w:val="bottom"/>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tcPr>
          <w:p>
            <w:pPr>
              <w:ind w:left="20"/>
              <w:spacing w:after="0"/>
              <w:rPr>
                <w:sz w:val="20"/>
                <w:szCs w:val="20"/>
                <w:color w:val="auto"/>
              </w:rPr>
            </w:pPr>
            <w:r>
              <w:rPr>
                <w:rFonts w:ascii="Arial" w:cs="Arial" w:eastAsia="Arial" w:hAnsi="Arial"/>
                <w:sz w:val="18"/>
                <w:szCs w:val="18"/>
                <w:color w:val="auto"/>
              </w:rPr>
              <w:t>GAAP weighted average shares outstanding</w:t>
            </w:r>
          </w:p>
        </w:tc>
        <w:tc>
          <w:tcPr>
            <w:tcW w:w="160" w:type="dxa"/>
            <w:vAlign w:val="bottom"/>
          </w:tcPr>
          <w:p>
            <w:pPr>
              <w:spacing w:after="0"/>
              <w:rPr>
                <w:sz w:val="23"/>
                <w:szCs w:val="23"/>
                <w:color w:val="auto"/>
              </w:rPr>
            </w:pPr>
          </w:p>
        </w:tc>
      </w:tr>
      <w:tr>
        <w:trPr>
          <w:trHeight w:val="270"/>
        </w:trPr>
        <w:tc>
          <w:tcPr>
            <w:tcW w:w="4920" w:type="dxa"/>
            <w:vAlign w:val="bottom"/>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3"/>
                <w:szCs w:val="23"/>
                <w:color w:val="auto"/>
              </w:rPr>
            </w:pPr>
          </w:p>
        </w:tc>
      </w:tr>
      <w:tr>
        <w:trPr>
          <w:trHeight w:val="270"/>
        </w:trPr>
        <w:tc>
          <w:tcPr>
            <w:tcW w:w="492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3"/>
                <w:szCs w:val="23"/>
                <w:color w:val="auto"/>
              </w:rPr>
            </w:pPr>
          </w:p>
        </w:tc>
      </w:tr>
      <w:tr>
        <w:trPr>
          <w:trHeight w:val="270"/>
        </w:trPr>
        <w:tc>
          <w:tcPr>
            <w:tcW w:w="4920" w:type="dxa"/>
            <w:vAlign w:val="bottom"/>
          </w:tcPr>
          <w:p>
            <w:pPr>
              <w:ind w:left="20"/>
              <w:spacing w:after="0"/>
              <w:rPr>
                <w:sz w:val="20"/>
                <w:szCs w:val="20"/>
                <w:color w:val="auto"/>
              </w:rPr>
            </w:pPr>
            <w:r>
              <w:rPr>
                <w:rFonts w:ascii="Arial" w:cs="Arial" w:eastAsia="Arial" w:hAnsi="Arial"/>
                <w:sz w:val="18"/>
                <w:szCs w:val="18"/>
                <w:color w:val="auto"/>
              </w:rPr>
              <w:t>Non-GAAP weighted average shares outstanding</w:t>
            </w:r>
          </w:p>
        </w:tc>
        <w:tc>
          <w:tcPr>
            <w:tcW w:w="160" w:type="dxa"/>
            <w:vAlign w:val="bottom"/>
          </w:tcPr>
          <w:p>
            <w:pPr>
              <w:spacing w:after="0"/>
              <w:rPr>
                <w:sz w:val="23"/>
                <w:szCs w:val="23"/>
                <w:color w:val="auto"/>
              </w:rPr>
            </w:pPr>
          </w:p>
        </w:tc>
      </w:tr>
      <w:tr>
        <w:trPr>
          <w:trHeight w:val="270"/>
        </w:trPr>
        <w:tc>
          <w:tcPr>
            <w:tcW w:w="4920" w:type="dxa"/>
            <w:vAlign w:val="bottom"/>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3"/>
                <w:szCs w:val="23"/>
                <w:color w:val="auto"/>
              </w:rPr>
            </w:pPr>
          </w:p>
        </w:tc>
      </w:tr>
      <w:tr>
        <w:trPr>
          <w:trHeight w:val="270"/>
        </w:trPr>
        <w:tc>
          <w:tcPr>
            <w:tcW w:w="492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3"/>
                <w:szCs w:val="23"/>
                <w:color w:val="auto"/>
              </w:rPr>
            </w:pPr>
          </w:p>
        </w:tc>
      </w:tr>
      <w:tr>
        <w:trPr>
          <w:trHeight w:val="167"/>
        </w:trPr>
        <w:tc>
          <w:tcPr>
            <w:tcW w:w="4920" w:type="dxa"/>
            <w:vAlign w:val="bottom"/>
          </w:tcPr>
          <w:p>
            <w:pPr>
              <w:spacing w:after="0"/>
              <w:rPr>
                <w:sz w:val="20"/>
                <w:szCs w:val="20"/>
                <w:color w:val="auto"/>
              </w:rPr>
            </w:pPr>
            <w:r>
              <w:rPr>
                <w:rFonts w:ascii="Arial" w:cs="Arial" w:eastAsia="Arial" w:hAnsi="Arial"/>
                <w:sz w:val="11"/>
                <w:szCs w:val="11"/>
                <w:color w:val="auto"/>
              </w:rPr>
              <w:t>___________________________</w:t>
            </w:r>
          </w:p>
        </w:tc>
        <w:tc>
          <w:tcPr>
            <w:tcW w:w="1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right"/>
              <w:ind w:right="170"/>
              <w:spacing w:after="0"/>
              <w:rPr>
                <w:sz w:val="20"/>
                <w:szCs w:val="20"/>
                <w:color w:val="auto"/>
              </w:rPr>
            </w:pPr>
            <w:r>
              <w:rPr>
                <w:rFonts w:ascii="Arial" w:cs="Arial" w:eastAsia="Arial" w:hAnsi="Arial"/>
                <w:sz w:val="18"/>
                <w:szCs w:val="18"/>
                <w:color w:val="auto"/>
                <w:w w:val="83"/>
              </w:rPr>
              <w:t>29,333</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(10,632)</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41,975</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(6,858)</w:t>
            </w:r>
          </w:p>
        </w:tc>
      </w:tr>
      <w:tr>
        <w:trPr>
          <w:trHeight w:val="270"/>
        </w:trPr>
        <w:tc>
          <w:tcPr>
            <w:tcW w:w="740" w:type="dxa"/>
            <w:vAlign w:val="bottom"/>
          </w:tcPr>
          <w:p>
            <w:pPr>
              <w:jc w:val="right"/>
              <w:ind w:right="170"/>
              <w:spacing w:after="0"/>
              <w:rPr>
                <w:sz w:val="20"/>
                <w:szCs w:val="20"/>
                <w:color w:val="auto"/>
              </w:rPr>
            </w:pPr>
            <w:r>
              <w:rPr>
                <w:rFonts w:ascii="Arial" w:cs="Arial" w:eastAsia="Arial" w:hAnsi="Arial"/>
                <w:sz w:val="18"/>
                <w:szCs w:val="18"/>
                <w:color w:val="auto"/>
                <w:w w:val="83"/>
              </w:rPr>
              <w:t>10,175</w:t>
            </w:r>
          </w:p>
        </w:tc>
        <w:tc>
          <w:tcPr>
            <w:tcW w:w="44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22,750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30,452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22,961</w:t>
            </w:r>
          </w:p>
        </w:tc>
      </w:tr>
      <w:tr>
        <w:trPr>
          <w:trHeight w:val="270"/>
        </w:trPr>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5,162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5,162</w:t>
            </w:r>
          </w:p>
        </w:tc>
      </w:tr>
      <w:tr>
        <w:trPr>
          <w:trHeight w:val="270"/>
        </w:trPr>
        <w:tc>
          <w:tcPr>
            <w:tcW w:w="740" w:type="dxa"/>
            <w:vAlign w:val="bottom"/>
          </w:tcPr>
          <w:p>
            <w:pPr>
              <w:jc w:val="right"/>
              <w:ind w:right="170"/>
              <w:spacing w:after="0"/>
              <w:rPr>
                <w:sz w:val="20"/>
                <w:szCs w:val="20"/>
                <w:color w:val="auto"/>
              </w:rPr>
            </w:pPr>
            <w:r>
              <w:rPr>
                <w:rFonts w:ascii="Arial" w:cs="Arial" w:eastAsia="Arial" w:hAnsi="Arial"/>
                <w:sz w:val="18"/>
                <w:szCs w:val="18"/>
                <w:color w:val="auto"/>
              </w:rPr>
              <w:t>2,759</w:t>
            </w:r>
          </w:p>
        </w:tc>
        <w:tc>
          <w:tcPr>
            <w:tcW w:w="44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4,973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3,678</w:t>
            </w:r>
          </w:p>
        </w:tc>
      </w:tr>
      <w:tr>
        <w:trPr>
          <w:trHeight w:val="270"/>
        </w:trPr>
        <w:tc>
          <w:tcPr>
            <w:tcW w:w="74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415</w:t>
            </w:r>
          </w:p>
        </w:tc>
      </w:tr>
      <w:tr>
        <w:trPr>
          <w:trHeight w:val="270"/>
        </w:trPr>
        <w:tc>
          <w:tcPr>
            <w:tcW w:w="740" w:type="dxa"/>
            <w:vAlign w:val="bottom"/>
          </w:tcPr>
          <w:p>
            <w:pPr>
              <w:jc w:val="right"/>
              <w:ind w:right="170"/>
              <w:spacing w:after="0"/>
              <w:rPr>
                <w:sz w:val="20"/>
                <w:szCs w:val="20"/>
                <w:color w:val="auto"/>
              </w:rPr>
            </w:pPr>
            <w:r>
              <w:rPr>
                <w:rFonts w:ascii="Arial" w:cs="Arial" w:eastAsia="Arial" w:hAnsi="Arial"/>
                <w:sz w:val="18"/>
                <w:szCs w:val="18"/>
                <w:color w:val="auto"/>
              </w:rPr>
              <w:t>337</w:t>
            </w:r>
          </w:p>
        </w:tc>
        <w:tc>
          <w:tcPr>
            <w:tcW w:w="44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742</w:t>
            </w:r>
          </w:p>
        </w:tc>
      </w:tr>
      <w:tr>
        <w:trPr>
          <w:trHeight w:val="270"/>
        </w:trPr>
        <w:tc>
          <w:tcPr>
            <w:tcW w:w="740" w:type="dxa"/>
            <w:vAlign w:val="bottom"/>
          </w:tcPr>
          <w:p>
            <w:pPr>
              <w:jc w:val="right"/>
              <w:ind w:right="110"/>
              <w:spacing w:after="0"/>
              <w:rPr>
                <w:sz w:val="20"/>
                <w:szCs w:val="20"/>
                <w:color w:val="auto"/>
              </w:rPr>
            </w:pPr>
            <w:r>
              <w:rPr>
                <w:rFonts w:ascii="Arial" w:cs="Arial" w:eastAsia="Arial" w:hAnsi="Arial"/>
                <w:sz w:val="18"/>
                <w:szCs w:val="18"/>
                <w:color w:val="auto"/>
              </w:rPr>
              <w:t>(899)</w:t>
            </w:r>
          </w:p>
        </w:tc>
        <w:tc>
          <w:tcPr>
            <w:tcW w:w="44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2,064</w:t>
            </w:r>
          </w:p>
        </w:tc>
      </w:tr>
      <w:tr>
        <w:trPr>
          <w:trHeight w:val="270"/>
        </w:trPr>
        <w:tc>
          <w:tcPr>
            <w:tcW w:w="740" w:type="dxa"/>
            <w:vAlign w:val="bottom"/>
          </w:tcPr>
          <w:p>
            <w:pPr>
              <w:jc w:val="right"/>
              <w:ind w:right="170"/>
              <w:spacing w:after="0"/>
              <w:rPr>
                <w:sz w:val="20"/>
                <w:szCs w:val="20"/>
                <w:color w:val="auto"/>
              </w:rPr>
            </w:pPr>
            <w:r>
              <w:rPr>
                <w:rFonts w:ascii="Arial" w:cs="Arial" w:eastAsia="Arial" w:hAnsi="Arial"/>
                <w:sz w:val="18"/>
                <w:szCs w:val="18"/>
                <w:color w:val="auto"/>
              </w:rPr>
              <w:t>2,048</w:t>
            </w:r>
          </w:p>
        </w:tc>
        <w:tc>
          <w:tcPr>
            <w:tcW w:w="44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3,912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874</w:t>
            </w:r>
          </w:p>
        </w:tc>
      </w:tr>
      <w:tr>
        <w:trPr>
          <w:trHeight w:val="405"/>
        </w:trPr>
        <w:tc>
          <w:tcPr>
            <w:tcW w:w="740" w:type="dxa"/>
            <w:vAlign w:val="bottom"/>
          </w:tcPr>
          <w:p>
            <w:pPr>
              <w:jc w:val="right"/>
              <w:ind w:right="170"/>
              <w:spacing w:after="0"/>
              <w:rPr>
                <w:sz w:val="20"/>
                <w:szCs w:val="20"/>
                <w:color w:val="auto"/>
              </w:rPr>
            </w:pPr>
            <w:r>
              <w:rPr>
                <w:rFonts w:ascii="Arial" w:cs="Arial" w:eastAsia="Arial" w:hAnsi="Arial"/>
                <w:sz w:val="18"/>
                <w:szCs w:val="18"/>
                <w:color w:val="auto"/>
              </w:rPr>
              <w:t>2,944</w:t>
            </w:r>
          </w:p>
        </w:tc>
        <w:tc>
          <w:tcPr>
            <w:tcW w:w="440" w:type="dxa"/>
            <w:vAlign w:val="bottom"/>
          </w:tcPr>
          <w:p>
            <w:pPr>
              <w:spacing w:after="0"/>
              <w:rPr>
                <w:sz w:val="24"/>
                <w:szCs w:val="24"/>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3,835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5,880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7,751</w:t>
            </w:r>
          </w:p>
        </w:tc>
      </w:tr>
      <w:tr>
        <w:trPr>
          <w:trHeight w:val="270"/>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1"/>
              </w:rPr>
              <w:t>(4,856)</w:t>
            </w:r>
          </w:p>
        </w:tc>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(10,021)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(13,177)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(12,382)</w:t>
            </w:r>
          </w:p>
        </w:tc>
      </w:tr>
      <w:tr>
        <w:trPr>
          <w:trHeight w:val="27"/>
        </w:trPr>
        <w:tc>
          <w:tcPr>
            <w:tcW w:w="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jc w:val="right"/>
              <w:ind w:right="170"/>
              <w:spacing w:after="0"/>
              <w:rPr>
                <w:sz w:val="20"/>
                <w:szCs w:val="20"/>
                <w:color w:val="auto"/>
              </w:rPr>
            </w:pPr>
            <w:r>
              <w:rPr>
                <w:rFonts w:ascii="Arial" w:cs="Arial" w:eastAsia="Arial" w:hAnsi="Arial"/>
                <w:sz w:val="18"/>
                <w:szCs w:val="18"/>
                <w:color w:val="auto"/>
                <w:w w:val="83"/>
              </w:rPr>
              <w:t>41,819</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14,460</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75,858</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24,407</w:t>
            </w:r>
          </w:p>
        </w:tc>
      </w:tr>
      <w:tr>
        <w:trPr>
          <w:trHeight w:val="27"/>
        </w:trPr>
        <w:tc>
          <w:tcPr>
            <w:tcW w:w="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79"/>
        </w:trPr>
        <w:tc>
          <w:tcPr>
            <w:tcW w:w="740" w:type="dxa"/>
            <w:vAlign w:val="bottom"/>
          </w:tcPr>
          <w:p>
            <w:pPr>
              <w:jc w:val="right"/>
              <w:ind w:right="170"/>
              <w:spacing w:after="0"/>
              <w:rPr>
                <w:sz w:val="20"/>
                <w:szCs w:val="20"/>
                <w:color w:val="auto"/>
              </w:rPr>
            </w:pPr>
            <w:r>
              <w:rPr>
                <w:rFonts w:ascii="Arial" w:cs="Arial" w:eastAsia="Arial" w:hAnsi="Arial"/>
                <w:sz w:val="18"/>
                <w:szCs w:val="18"/>
                <w:color w:val="auto"/>
              </w:rPr>
              <w:t>0.32</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(0.10)</w:t>
            </w:r>
          </w:p>
        </w:tc>
      </w:tr>
      <w:tr>
        <w:trPr>
          <w:trHeight w:val="270"/>
        </w:trPr>
        <w:tc>
          <w:tcPr>
            <w:tcW w:w="740" w:type="dxa"/>
            <w:vAlign w:val="bottom"/>
          </w:tcPr>
          <w:p>
            <w:pPr>
              <w:jc w:val="right"/>
              <w:ind w:right="170"/>
              <w:spacing w:after="0"/>
              <w:rPr>
                <w:sz w:val="20"/>
                <w:szCs w:val="20"/>
                <w:color w:val="auto"/>
              </w:rPr>
            </w:pPr>
            <w:r>
              <w:rPr>
                <w:rFonts w:ascii="Arial" w:cs="Arial" w:eastAsia="Arial" w:hAnsi="Arial"/>
                <w:sz w:val="18"/>
                <w:szCs w:val="18"/>
                <w:color w:val="auto"/>
              </w:rPr>
              <w:t>0.30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(0.10)</w:t>
            </w:r>
          </w:p>
        </w:tc>
      </w:tr>
      <w:tr>
        <w:trPr>
          <w:trHeight w:val="540"/>
        </w:trPr>
        <w:tc>
          <w:tcPr>
            <w:tcW w:w="740" w:type="dxa"/>
            <w:vAlign w:val="bottom"/>
          </w:tcPr>
          <w:p>
            <w:pPr>
              <w:jc w:val="right"/>
              <w:ind w:right="170"/>
              <w:spacing w:after="0"/>
              <w:rPr>
                <w:sz w:val="20"/>
                <w:szCs w:val="20"/>
                <w:color w:val="auto"/>
              </w:rPr>
            </w:pPr>
            <w:r>
              <w:rPr>
                <w:rFonts w:ascii="Arial" w:cs="Arial" w:eastAsia="Arial" w:hAnsi="Arial"/>
                <w:sz w:val="18"/>
                <w:szCs w:val="18"/>
                <w:color w:val="auto"/>
              </w:rPr>
              <w:t>0.46</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0.35</w:t>
            </w:r>
          </w:p>
        </w:tc>
      </w:tr>
      <w:tr>
        <w:trPr>
          <w:trHeight w:val="270"/>
        </w:trPr>
        <w:tc>
          <w:tcPr>
            <w:tcW w:w="740" w:type="dxa"/>
            <w:vAlign w:val="bottom"/>
          </w:tcPr>
          <w:p>
            <w:pPr>
              <w:jc w:val="right"/>
              <w:ind w:right="170"/>
              <w:spacing w:after="0"/>
              <w:rPr>
                <w:sz w:val="20"/>
                <w:szCs w:val="20"/>
                <w:color w:val="auto"/>
              </w:rPr>
            </w:pPr>
            <w:r>
              <w:rPr>
                <w:rFonts w:ascii="Arial" w:cs="Arial" w:eastAsia="Arial" w:hAnsi="Arial"/>
                <w:sz w:val="18"/>
                <w:szCs w:val="18"/>
                <w:color w:val="auto"/>
              </w:rPr>
              <w:t>0.42</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0.35</w:t>
            </w:r>
          </w:p>
        </w:tc>
      </w:tr>
      <w:tr>
        <w:trPr>
          <w:trHeight w:val="540"/>
        </w:trPr>
        <w:tc>
          <w:tcPr>
            <w:tcW w:w="740" w:type="dxa"/>
            <w:vAlign w:val="bottom"/>
          </w:tcPr>
          <w:p>
            <w:pPr>
              <w:jc w:val="right"/>
              <w:ind w:right="170"/>
              <w:spacing w:after="0"/>
              <w:rPr>
                <w:sz w:val="20"/>
                <w:szCs w:val="20"/>
                <w:color w:val="auto"/>
              </w:rPr>
            </w:pPr>
            <w:r>
              <w:rPr>
                <w:rFonts w:ascii="Arial" w:cs="Arial" w:eastAsia="Arial" w:hAnsi="Arial"/>
                <w:sz w:val="18"/>
                <w:szCs w:val="18"/>
                <w:color w:val="auto"/>
                <w:w w:val="83"/>
              </w:rPr>
              <w:t>90,800</w:t>
            </w:r>
          </w:p>
        </w:tc>
        <w:tc>
          <w:tcPr>
            <w:tcW w:w="440" w:type="dxa"/>
            <w:vAlign w:val="bottom"/>
          </w:tcPr>
          <w:p>
            <w:pPr>
              <w:spacing w:after="0"/>
              <w:rPr>
                <w:sz w:val="24"/>
                <w:szCs w:val="24"/>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70,475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90,152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69,494</w:t>
            </w:r>
          </w:p>
        </w:tc>
      </w:tr>
      <w:tr>
        <w:trPr>
          <w:trHeight w:val="270"/>
        </w:trPr>
        <w:tc>
          <w:tcPr>
            <w:tcW w:w="740" w:type="dxa"/>
            <w:vAlign w:val="bottom"/>
          </w:tcPr>
          <w:p>
            <w:pPr>
              <w:jc w:val="right"/>
              <w:ind w:right="170"/>
              <w:spacing w:after="0"/>
              <w:rPr>
                <w:sz w:val="20"/>
                <w:szCs w:val="20"/>
                <w:color w:val="auto"/>
              </w:rPr>
            </w:pPr>
            <w:r>
              <w:rPr>
                <w:rFonts w:ascii="Arial" w:cs="Arial" w:eastAsia="Arial" w:hAnsi="Arial"/>
                <w:sz w:val="18"/>
                <w:szCs w:val="18"/>
                <w:color w:val="auto"/>
                <w:w w:val="83"/>
              </w:rPr>
              <w:t>98,618</w:t>
            </w:r>
          </w:p>
        </w:tc>
        <w:tc>
          <w:tcPr>
            <w:tcW w:w="44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70,475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97,333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69,494</w:t>
            </w:r>
          </w:p>
        </w:tc>
      </w:tr>
      <w:tr>
        <w:trPr>
          <w:trHeight w:val="540"/>
        </w:trPr>
        <w:tc>
          <w:tcPr>
            <w:tcW w:w="740" w:type="dxa"/>
            <w:vAlign w:val="bottom"/>
          </w:tcPr>
          <w:p>
            <w:pPr>
              <w:jc w:val="right"/>
              <w:ind w:right="170"/>
              <w:spacing w:after="0"/>
              <w:rPr>
                <w:sz w:val="20"/>
                <w:szCs w:val="20"/>
                <w:color w:val="auto"/>
              </w:rPr>
            </w:pPr>
            <w:r>
              <w:rPr>
                <w:rFonts w:ascii="Arial" w:cs="Arial" w:eastAsia="Arial" w:hAnsi="Arial"/>
                <w:sz w:val="18"/>
                <w:szCs w:val="18"/>
                <w:color w:val="auto"/>
                <w:w w:val="83"/>
              </w:rPr>
              <w:t>90,800</w:t>
            </w:r>
          </w:p>
        </w:tc>
        <w:tc>
          <w:tcPr>
            <w:tcW w:w="440" w:type="dxa"/>
            <w:vAlign w:val="bottom"/>
          </w:tcPr>
          <w:p>
            <w:pPr>
              <w:spacing w:after="0"/>
              <w:rPr>
                <w:sz w:val="24"/>
                <w:szCs w:val="24"/>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70,475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90,152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69,494</w:t>
            </w:r>
          </w:p>
        </w:tc>
      </w:tr>
      <w:tr>
        <w:trPr>
          <w:trHeight w:val="270"/>
        </w:trPr>
        <w:tc>
          <w:tcPr>
            <w:tcW w:w="740" w:type="dxa"/>
            <w:vAlign w:val="bottom"/>
          </w:tcPr>
          <w:p>
            <w:pPr>
              <w:jc w:val="right"/>
              <w:ind w:right="170"/>
              <w:spacing w:after="0"/>
              <w:rPr>
                <w:sz w:val="20"/>
                <w:szCs w:val="20"/>
                <w:color w:val="auto"/>
              </w:rPr>
            </w:pPr>
            <w:r>
              <w:rPr>
                <w:rFonts w:ascii="Arial" w:cs="Arial" w:eastAsia="Arial" w:hAnsi="Arial"/>
                <w:sz w:val="18"/>
                <w:szCs w:val="18"/>
                <w:color w:val="auto"/>
                <w:w w:val="83"/>
              </w:rPr>
              <w:t>98,618</w:t>
            </w:r>
          </w:p>
        </w:tc>
        <w:tc>
          <w:tcPr>
            <w:tcW w:w="44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71,315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97,333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69,641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-3693795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-3350895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-3007995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-2665095</wp:posOffset>
            </wp:positionV>
            <wp:extent cx="7132320" cy="257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-1868170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-1525270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-1182370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-839470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-496570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-153670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-2236470</wp:posOffset>
            </wp:positionV>
            <wp:extent cx="7132320" cy="2146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5100" w:space="720"/>
            <w:col w:w="5420"/>
          </w:cols>
          <w:pgMar w:left="320" w:top="125" w:right="339" w:bottom="1440" w:gutter="0" w:footer="0" w:header="0"/>
          <w:type w:val="continuous"/>
        </w:sectPr>
      </w:pPr>
    </w:p>
    <w:p>
      <w:pPr>
        <w:ind w:left="500" w:hanging="492"/>
        <w:spacing w:after="0" w:line="301" w:lineRule="auto"/>
        <w:tabs>
          <w:tab w:leader="none" w:pos="491"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depreciation related to our distribution centers which is included within the cost of sales line item in our condensed consolidated statements of operations and comprehensive income (loss). See Note 1 to the condensed consolidated financial statements for additional information about the components of cost of sales.</w:t>
      </w:r>
    </w:p>
    <w:p>
      <w:pPr>
        <w:spacing w:after="0" w:line="1" w:lineRule="exact"/>
        <w:rPr>
          <w:rFonts w:ascii="Arial" w:cs="Arial" w:eastAsia="Arial" w:hAnsi="Arial"/>
          <w:sz w:val="14"/>
          <w:szCs w:val="14"/>
          <w:color w:val="auto"/>
        </w:rPr>
      </w:pPr>
    </w:p>
    <w:p>
      <w:pPr>
        <w:jc w:val="both"/>
        <w:ind w:left="500" w:hanging="492"/>
        <w:spacing w:after="0" w:line="261"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non-cash share-based compensation expense and immaterial cash dividends paid on vested share-based awards for cash dividends declared in connection with our recapitalizations in fiscal 2018 and 2016. See “Share-based Compensation Expense” in the “Comparison of the 13 and 26 weeks ended June 27, 2020 and June 20, 2019” section below for additional information.</w:t>
      </w:r>
    </w:p>
    <w:p>
      <w:pPr>
        <w:spacing w:after="0" w:line="7" w:lineRule="exact"/>
        <w:rPr>
          <w:rFonts w:ascii="Arial" w:cs="Arial" w:eastAsia="Arial" w:hAnsi="Arial"/>
          <w:sz w:val="16"/>
          <w:szCs w:val="16"/>
          <w:color w:val="auto"/>
        </w:rPr>
      </w:pPr>
    </w:p>
    <w:p>
      <w:pPr>
        <w:ind w:left="500" w:hanging="492"/>
        <w:spacing w:after="0" w:line="272" w:lineRule="auto"/>
        <w:tabs>
          <w:tab w:leader="none" w:pos="491"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the write-off of debt issuance costs and debt discounts related to the repricing and/or repayment of our credit facilities. See Note 4 to the condensed consolidated financial statements for additional information.</w:t>
      </w:r>
    </w:p>
    <w:p>
      <w:pPr>
        <w:spacing w:after="0" w:line="1" w:lineRule="exact"/>
        <w:rPr>
          <w:rFonts w:ascii="Arial" w:cs="Arial" w:eastAsia="Arial" w:hAnsi="Arial"/>
          <w:sz w:val="16"/>
          <w:szCs w:val="16"/>
          <w:color w:val="auto"/>
        </w:rPr>
      </w:pPr>
    </w:p>
    <w:p>
      <w:pPr>
        <w:ind w:left="500" w:hanging="492"/>
        <w:spacing w:after="0" w:line="281" w:lineRule="auto"/>
        <w:tabs>
          <w:tab w:leader="none" w:pos="5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Consists of the non-cash portion of rent expense, which represents the difference between our straight-line rent expense recognized under GAAP and cash rent payments. The adjustment can vary depending on the average age of our lease portfolio, which has been impacted by our significant growth in recent years.</w:t>
      </w:r>
    </w:p>
    <w:p>
      <w:pPr>
        <w:spacing w:after="0" w:line="1" w:lineRule="exact"/>
        <w:rPr>
          <w:rFonts w:ascii="Arial" w:cs="Arial" w:eastAsia="Arial" w:hAnsi="Arial"/>
          <w:sz w:val="15"/>
          <w:szCs w:val="15"/>
          <w:color w:val="auto"/>
        </w:rPr>
      </w:pPr>
    </w:p>
    <w:p>
      <w:pPr>
        <w:ind w:left="480" w:hanging="472"/>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impairment charges with respect to planned store closures and gains or losses on dispositions of assets in connection with store transitions to new IOs.</w:t>
      </w:r>
    </w:p>
    <w:p>
      <w:pPr>
        <w:spacing w:after="0" w:line="68" w:lineRule="exact"/>
        <w:rPr>
          <w:rFonts w:ascii="Arial" w:cs="Arial" w:eastAsia="Arial" w:hAnsi="Arial"/>
          <w:sz w:val="14"/>
          <w:szCs w:val="14"/>
          <w:color w:val="auto"/>
        </w:rPr>
      </w:pPr>
    </w:p>
    <w:p>
      <w:pPr>
        <w:ind w:left="500" w:hanging="492"/>
        <w:spacing w:after="0" w:line="272"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marketing, occupancy and other expenses incurred in connection with store grand openings, including costs that will be the IO’s responsibility after store opening.</w:t>
      </w:r>
    </w:p>
    <w:p>
      <w:pPr>
        <w:spacing w:after="0" w:line="1" w:lineRule="exact"/>
        <w:rPr>
          <w:rFonts w:ascii="Arial" w:cs="Arial" w:eastAsia="Arial" w:hAnsi="Arial"/>
          <w:sz w:val="16"/>
          <w:szCs w:val="16"/>
          <w:color w:val="auto"/>
        </w:rPr>
      </w:pPr>
    </w:p>
    <w:p>
      <w:pPr>
        <w:ind w:left="500" w:right="20" w:hanging="492"/>
        <w:spacing w:after="0" w:line="264"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non-cash changes in reserves related to our IO notes and accounts receivable. The 26 weeks ended June 27, 2020 reflects the adoption of ASU 2016-13. See Note 2 to the condensed consolidated financial statements for additional information.</w:t>
      </w:r>
    </w:p>
    <w:p>
      <w:pPr>
        <w:ind w:left="500" w:hanging="492"/>
        <w:spacing w:after="0" w:line="272"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non-recurring, non-cash or discrete items as determined by management, such as transaction related costs including costs related to secondary offerings, personnel-related costs, store closing costs, legal expenses, strategic project costs, and miscellaneous costs.</w:t>
      </w:r>
    </w:p>
    <w:p>
      <w:pPr>
        <w:spacing w:after="0" w:line="1" w:lineRule="exact"/>
        <w:rPr>
          <w:rFonts w:ascii="Arial" w:cs="Arial" w:eastAsia="Arial" w:hAnsi="Arial"/>
          <w:sz w:val="16"/>
          <w:szCs w:val="16"/>
          <w:color w:val="auto"/>
        </w:rPr>
      </w:pPr>
    </w:p>
    <w:p>
      <w:pPr>
        <w:ind w:left="500" w:hanging="492"/>
        <w:spacing w:after="0" w:line="291" w:lineRule="auto"/>
        <w:tabs>
          <w:tab w:leader="none" w:pos="491"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Represents the amortization of debt issuance costs and incremental amortization of an asset step-up resulting from purchase price accounting related to our acquisition in 2014 by an investment fund affiliated with Hellman &amp; Friedman LLC, which included trademarks, customer lists, and below-market leases.</w:t>
      </w:r>
    </w:p>
    <w:p>
      <w:pPr>
        <w:jc w:val="both"/>
        <w:ind w:left="500" w:hanging="492"/>
        <w:spacing w:after="0" w:line="256" w:lineRule="auto"/>
        <w:tabs>
          <w:tab w:leader="none" w:pos="491"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the tax effect of the total adjustments. Because of the increased impact of discrete items on our effective tax rate including the excess tax benefits from the exercise of stock options and vesting of RSU share-based awards, beginning in the fourth quarter of fiscal 2019, we changed our methodology to calculate the tax effect of the total adjustments on a discrete basis excluding any non-recurring and unusual tax items. Prior to the fourth quarter of fiscal 2019, the methodology we used was to calculate the tax effect of the total adjustments using our quarterly effective tax rate.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13 and 26 weeks ended June 27, 2020 and June 29, 2019 (dollars in thousands)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13 Weeks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26 Weeks Ended</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29,</w:t>
            </w:r>
          </w:p>
        </w:tc>
        <w:tc>
          <w:tcPr>
            <w:tcW w:w="102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9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10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122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89"/>
              </w:rPr>
              <w:t>June 29,</w:t>
            </w:r>
          </w:p>
        </w:tc>
        <w:tc>
          <w:tcPr>
            <w:tcW w:w="102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9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803,429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645,289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w w:val="98"/>
              </w:rPr>
              <w:t>$   158,140</w:t>
            </w:r>
          </w:p>
        </w:tc>
        <w:tc>
          <w:tcPr>
            <w:tcW w:w="1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24.5 %  $</w:t>
            </w:r>
          </w:p>
        </w:tc>
        <w:tc>
          <w:tcPr>
            <w:tcW w:w="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1,563,737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5"/>
              <w:spacing w:after="0"/>
              <w:rPr>
                <w:sz w:val="20"/>
                <w:szCs w:val="20"/>
                <w:color w:val="auto"/>
              </w:rPr>
            </w:pPr>
            <w:r>
              <w:rPr>
                <w:rFonts w:ascii="Arial" w:cs="Arial" w:eastAsia="Arial" w:hAnsi="Arial"/>
                <w:sz w:val="17"/>
                <w:szCs w:val="17"/>
                <w:color w:val="auto"/>
              </w:rPr>
              <w:t>$  1,251,560</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w w:val="98"/>
              </w:rPr>
              <w:t>$   312,177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24.9 %</w:t>
            </w:r>
          </w:p>
        </w:tc>
        <w:tc>
          <w:tcPr>
            <w:tcW w:w="0" w:type="dxa"/>
            <w:vAlign w:val="bottom"/>
          </w:tcPr>
          <w:p>
            <w:pPr>
              <w:spacing w:after="0"/>
              <w:rPr>
                <w:sz w:val="1"/>
                <w:szCs w:val="1"/>
                <w:color w:val="auto"/>
              </w:rPr>
            </w:pPr>
          </w:p>
        </w:tc>
      </w:tr>
      <w:tr>
        <w:trPr>
          <w:trHeight w:val="31"/>
        </w:trPr>
        <w:tc>
          <w:tcPr>
            <w:tcW w:w="2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The increase in net sales for the 13 and 26 weeks ended June 27, 2020 compared to the same periods in fiscal 2019 was primarily attributable to an increase in comparable store sales, as well as non-comparable store sales growth attributable to the net 32 new stores opened over the last 12 months.</w:t>
      </w:r>
    </w:p>
    <w:p>
      <w:pPr>
        <w:spacing w:after="0" w:line="1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Comparable store sales increased 16.7% for the 13 weeks ended June 27, 2020 and 17.0% for the 26 weeks ended June 27, 2020 compared to the same periods in fiscal 2019. Comparable store sales growth was driven by increases in average transaction size partially offset by traffic declines, as customer shopping behaviors changed in response to COVID-19.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13 Weeks Ended</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26 Weeks Ended</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29,</w:t>
            </w:r>
          </w:p>
        </w:tc>
        <w:tc>
          <w:tcPr>
            <w:tcW w:w="10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9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10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29,</w:t>
            </w:r>
          </w:p>
        </w:tc>
        <w:tc>
          <w:tcPr>
            <w:tcW w:w="10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9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7"/>
                <w:szCs w:val="17"/>
                <w:color w:val="auto"/>
              </w:rPr>
              <w:t>549,678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7"/>
                <w:szCs w:val="17"/>
                <w:color w:val="auto"/>
              </w:rPr>
              <w:t>446,569</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  103,109</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23.1 %  $</w:t>
            </w:r>
          </w:p>
        </w:tc>
        <w:tc>
          <w:tcPr>
            <w:tcW w:w="9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7"/>
                <w:szCs w:val="17"/>
                <w:color w:val="auto"/>
                <w:w w:val="97"/>
              </w:rPr>
              <w:t>1,072,960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7"/>
                <w:szCs w:val="17"/>
                <w:color w:val="auto"/>
              </w:rPr>
              <w:t>865,823</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  207,137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23.9 %</w:t>
            </w:r>
          </w:p>
        </w:tc>
        <w:tc>
          <w:tcPr>
            <w:tcW w:w="0" w:type="dxa"/>
            <w:vAlign w:val="bottom"/>
          </w:tcPr>
          <w:p>
            <w:pPr>
              <w:spacing w:after="0"/>
              <w:rPr>
                <w:sz w:val="1"/>
                <w:szCs w:val="1"/>
                <w:color w:val="auto"/>
              </w:rPr>
            </w:pPr>
          </w:p>
        </w:tc>
      </w:tr>
      <w:tr>
        <w:trPr>
          <w:trHeight w:val="225"/>
        </w:trPr>
        <w:tc>
          <w:tcPr>
            <w:tcW w:w="196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68.4 %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69.2 %</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68.6 %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69.2 %</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increase in cost of sales for the 13 and 26 weeks ended June 27, 2020 compared to the same periods in fiscal 2019 was primarily the result of new store growth and an increase in comparable store sales.</w:t>
      </w:r>
    </w:p>
    <w:p>
      <w:pPr>
        <w:spacing w:after="0" w:line="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Costs as a percentage of sales decreased as reduced product markdowns and throwaways resulting from faster inventory turnover were partially offset by higher distribution costs largely attributable to increased operating costs related to COVID-19. We expect that cost of sales will increase in the second half of the year as a result of commodity cost increases, moderating inventory turnover and seasonal product mix impacts.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13 Weeks Ended</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26 Weeks Ended</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29,</w:t>
            </w:r>
          </w:p>
        </w:tc>
        <w:tc>
          <w:tcPr>
            <w:tcW w:w="160" w:type="dxa"/>
            <w:vAlign w:val="bottom"/>
          </w:tcPr>
          <w:p>
            <w:pPr>
              <w:spacing w:after="0"/>
              <w:rPr>
                <w:sz w:val="13"/>
                <w:szCs w:val="13"/>
                <w:color w:val="auto"/>
              </w:rPr>
            </w:pPr>
          </w:p>
        </w:tc>
        <w:tc>
          <w:tcPr>
            <w:tcW w:w="8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vMerge w:val="restart"/>
          </w:tcPr>
          <w:p>
            <w:pPr>
              <w:spacing w:after="0"/>
              <w:rPr>
                <w:sz w:val="13"/>
                <w:szCs w:val="13"/>
                <w:color w:val="auto"/>
              </w:rPr>
            </w:pPr>
          </w:p>
        </w:tc>
        <w:tc>
          <w:tcPr>
            <w:tcW w:w="9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8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10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29,</w:t>
            </w:r>
          </w:p>
        </w:tc>
        <w:tc>
          <w:tcPr>
            <w:tcW w:w="10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9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7"/>
                <w:szCs w:val="17"/>
                <w:color w:val="auto"/>
              </w:rPr>
              <w:t>253,751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7"/>
                <w:szCs w:val="17"/>
                <w:color w:val="auto"/>
              </w:rPr>
              <w:t>198,720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55,031</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27.7 %  $</w:t>
            </w:r>
          </w:p>
        </w:tc>
        <w:tc>
          <w:tcPr>
            <w:tcW w:w="9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7"/>
                <w:szCs w:val="17"/>
                <w:color w:val="auto"/>
              </w:rPr>
              <w:t>490,777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7"/>
                <w:szCs w:val="17"/>
                <w:color w:val="auto"/>
              </w:rPr>
              <w:t>385,737</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  105,040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27.2 %</w:t>
            </w:r>
          </w:p>
        </w:tc>
        <w:tc>
          <w:tcPr>
            <w:tcW w:w="0" w:type="dxa"/>
            <w:vAlign w:val="bottom"/>
          </w:tcPr>
          <w:p>
            <w:pPr>
              <w:spacing w:after="0"/>
              <w:rPr>
                <w:sz w:val="1"/>
                <w:szCs w:val="1"/>
                <w:color w:val="auto"/>
              </w:rPr>
            </w:pPr>
          </w:p>
        </w:tc>
      </w:tr>
      <w:tr>
        <w:trPr>
          <w:trHeight w:val="225"/>
        </w:trPr>
        <w:tc>
          <w:tcPr>
            <w:tcW w:w="200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31.6 %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30.8 %</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The increase in gross profit for the 13 and 26 weeks ended June 27, 2020 compared to the same periods in fiscal 2019 was primarily the result of new store growth and an increase in comparable store sales. Our gross margin increased modestly for the 13 and 26 weeks ended June 27, 2020 compared to the same period in fiscal 2019 primarily due to lower cost of sales as a percentage of sales as discussed previously.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13 Weeks Ended</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26 Weeks Ended</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29,</w:t>
            </w:r>
          </w:p>
        </w:tc>
        <w:tc>
          <w:tcPr>
            <w:tcW w:w="140" w:type="dxa"/>
            <w:vAlign w:val="bottom"/>
          </w:tcPr>
          <w:p>
            <w:pPr>
              <w:spacing w:after="0"/>
              <w:rPr>
                <w:sz w:val="13"/>
                <w:szCs w:val="13"/>
                <w:color w:val="auto"/>
              </w:rPr>
            </w:pPr>
          </w:p>
        </w:tc>
        <w:tc>
          <w:tcPr>
            <w:tcW w:w="84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vMerge w:val="restart"/>
          </w:tcPr>
          <w:p>
            <w:pPr>
              <w:spacing w:after="0"/>
              <w:rPr>
                <w:sz w:val="13"/>
                <w:szCs w:val="13"/>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10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00" w:type="dxa"/>
            <w:vAlign w:val="bottom"/>
          </w:tcPr>
          <w:p>
            <w:pPr>
              <w:spacing w:after="0"/>
              <w:rPr>
                <w:sz w:val="13"/>
                <w:szCs w:val="13"/>
                <w:color w:val="auto"/>
              </w:rPr>
            </w:pPr>
          </w:p>
        </w:tc>
        <w:tc>
          <w:tcPr>
            <w:tcW w:w="10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29,</w:t>
            </w:r>
          </w:p>
        </w:tc>
        <w:tc>
          <w:tcPr>
            <w:tcW w:w="160" w:type="dxa"/>
            <w:vAlign w:val="bottom"/>
          </w:tcPr>
          <w:p>
            <w:pPr>
              <w:spacing w:after="0"/>
              <w:rPr>
                <w:sz w:val="13"/>
                <w:szCs w:val="13"/>
                <w:color w:val="auto"/>
              </w:rPr>
            </w:pPr>
          </w:p>
        </w:tc>
        <w:tc>
          <w:tcPr>
            <w:tcW w:w="8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vMerge w:val="restart"/>
          </w:tcPr>
          <w:p>
            <w:pPr>
              <w:spacing w:after="0"/>
              <w:rPr>
                <w:sz w:val="13"/>
                <w:szCs w:val="13"/>
                <w:color w:val="auto"/>
              </w:rPr>
            </w:pPr>
          </w:p>
        </w:tc>
        <w:tc>
          <w:tcPr>
            <w:tcW w:w="9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SG&amp;A</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7"/>
                <w:szCs w:val="17"/>
                <w:color w:val="auto"/>
              </w:rPr>
              <w:t>198,002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7"/>
                <w:szCs w:val="17"/>
                <w:color w:val="auto"/>
              </w:rPr>
              <w:t>157,641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7"/>
                <w:szCs w:val="17"/>
                <w:color w:val="auto"/>
              </w:rPr>
              <w:t>40,361</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25.6 %  $</w:t>
            </w:r>
          </w:p>
        </w:tc>
        <w:tc>
          <w:tcPr>
            <w:tcW w:w="9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7"/>
                <w:szCs w:val="17"/>
                <w:color w:val="auto"/>
              </w:rPr>
              <w:t>384,933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7"/>
                <w:szCs w:val="17"/>
                <w:color w:val="auto"/>
              </w:rPr>
              <w:t>310,495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74,438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24.0 %</w:t>
            </w:r>
          </w:p>
        </w:tc>
        <w:tc>
          <w:tcPr>
            <w:tcW w:w="0" w:type="dxa"/>
            <w:vAlign w:val="bottom"/>
          </w:tcPr>
          <w:p>
            <w:pPr>
              <w:spacing w:after="0"/>
              <w:rPr>
                <w:sz w:val="1"/>
                <w:szCs w:val="1"/>
                <w:color w:val="auto"/>
              </w:rPr>
            </w:pPr>
          </w:p>
        </w:tc>
      </w:tr>
      <w:tr>
        <w:trPr>
          <w:trHeight w:val="225"/>
        </w:trPr>
        <w:tc>
          <w:tcPr>
            <w:tcW w:w="200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increase in SG&amp;A for the 13 and 26 weeks ended June 27, 2020 compared to the same periods in fiscal 2019 was primarily driven by increased selling expenses related to higher sales volume. These increased expenses consisted primarily of variable commission payments to IOs, store occupancy and maintenance costs, as well as investments in general and administrative infrastructure to support the growth of our business. SG&amp;A has also increased as a result of incremental costs associated with COVID-19 such as cleaning and safety costs, costs for protective equipment and supplies, and higher personnel expense in addition to costs to comply with public company requirements and expenses associated with our secondary offerings.</w:t>
      </w:r>
    </w:p>
    <w:p>
      <w:pPr>
        <w:spacing w:after="0" w:line="5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a percentage of sales, SG&amp;A increased slightly for the 13 weeks ended June 27, 2020 and decreased slightly for the 26 weeks ended June 27, 2020 compared to the same periods in fiscal 2019 due to the factors noted above.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13 Weeks Ended</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26 Weeks Ended</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29,</w:t>
            </w:r>
          </w:p>
        </w:tc>
        <w:tc>
          <w:tcPr>
            <w:tcW w:w="14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200" w:type="dxa"/>
            <w:vAlign w:val="bottom"/>
          </w:tcPr>
          <w:p>
            <w:pPr>
              <w:spacing w:after="0"/>
              <w:rPr>
                <w:sz w:val="13"/>
                <w:szCs w:val="13"/>
                <w:color w:val="auto"/>
              </w:rPr>
            </w:pPr>
          </w:p>
        </w:tc>
        <w:tc>
          <w:tcPr>
            <w:tcW w:w="10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29,</w:t>
            </w:r>
          </w:p>
        </w:tc>
        <w:tc>
          <w:tcPr>
            <w:tcW w:w="16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9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940" w:type="dxa"/>
            <w:vAlign w:val="bottom"/>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w:t>
            </w: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7"/>
                <w:szCs w:val="17"/>
                <w:color w:val="auto"/>
              </w:rPr>
              <w:t>13,215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7"/>
                <w:szCs w:val="17"/>
                <w:color w:val="auto"/>
              </w:rPr>
              <w:t>12,594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7"/>
                <w:szCs w:val="17"/>
                <w:color w:val="auto"/>
              </w:rPr>
              <w:t>621</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4.9% $</w:t>
            </w:r>
          </w:p>
        </w:tc>
        <w:tc>
          <w:tcPr>
            <w:tcW w:w="9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7"/>
                <w:szCs w:val="17"/>
                <w:color w:val="auto"/>
              </w:rPr>
              <w:t>26,160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7"/>
                <w:szCs w:val="17"/>
                <w:color w:val="auto"/>
              </w:rPr>
              <w:t>24,890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7"/>
                <w:szCs w:val="17"/>
                <w:color w:val="auto"/>
              </w:rPr>
              <w:t>1,270</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5.1 %</w:t>
            </w:r>
          </w:p>
        </w:tc>
        <w:tc>
          <w:tcPr>
            <w:tcW w:w="0" w:type="dxa"/>
            <w:vAlign w:val="bottom"/>
          </w:tcPr>
          <w:p>
            <w:pPr>
              <w:spacing w:after="0"/>
              <w:rPr>
                <w:sz w:val="1"/>
                <w:szCs w:val="1"/>
                <w:color w:val="auto"/>
              </w:rPr>
            </w:pPr>
          </w:p>
        </w:tc>
      </w:tr>
      <w:tr>
        <w:trPr>
          <w:trHeight w:val="226"/>
        </w:trPr>
        <w:tc>
          <w:tcPr>
            <w:tcW w:w="204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increase in depreciation and amortization expenses for the 13 and 26 weeks ended June 27, 2020 compared to the same periods in fiscal 2019 is primarily driven by new store growth and other capital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13 Weeks Ended</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26 Weeks Ended</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29,</w:t>
            </w:r>
          </w:p>
        </w:tc>
        <w:tc>
          <w:tcPr>
            <w:tcW w:w="10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9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10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29,</w:t>
            </w:r>
          </w:p>
        </w:tc>
        <w:tc>
          <w:tcPr>
            <w:tcW w:w="160" w:type="dxa"/>
            <w:vAlign w:val="bottom"/>
          </w:tcPr>
          <w:p>
            <w:pPr>
              <w:spacing w:after="0"/>
              <w:rPr>
                <w:sz w:val="13"/>
                <w:szCs w:val="13"/>
                <w:color w:val="auto"/>
              </w:rPr>
            </w:pPr>
          </w:p>
        </w:tc>
        <w:tc>
          <w:tcPr>
            <w:tcW w:w="8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vMerge w:val="restart"/>
          </w:tcPr>
          <w:p>
            <w:pPr>
              <w:spacing w:after="0"/>
              <w:rPr>
                <w:sz w:val="13"/>
                <w:szCs w:val="13"/>
                <w:color w:val="auto"/>
              </w:rPr>
            </w:pPr>
          </w:p>
        </w:tc>
        <w:tc>
          <w:tcPr>
            <w:tcW w:w="9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5"/>
              </w:rPr>
              <w:t>Share-based compensation   $</w:t>
            </w:r>
          </w:p>
        </w:tc>
        <w:tc>
          <w:tcPr>
            <w:tcW w:w="9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7"/>
                <w:szCs w:val="17"/>
                <w:color w:val="auto"/>
              </w:rPr>
              <w:t>10,175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7"/>
                <w:szCs w:val="17"/>
                <w:color w:val="auto"/>
              </w:rPr>
              <w:t>22,750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   (12,575)</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(55.3)%  $</w:t>
            </w:r>
          </w:p>
        </w:tc>
        <w:tc>
          <w:tcPr>
            <w:tcW w:w="9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7"/>
                <w:szCs w:val="17"/>
                <w:color w:val="auto"/>
              </w:rPr>
              <w:t>30,452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7"/>
                <w:szCs w:val="17"/>
                <w:color w:val="auto"/>
              </w:rPr>
              <w:t>22,961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7,491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32.6 %</w:t>
            </w:r>
          </w:p>
        </w:tc>
        <w:tc>
          <w:tcPr>
            <w:tcW w:w="0" w:type="dxa"/>
            <w:vAlign w:val="bottom"/>
          </w:tcPr>
          <w:p>
            <w:pPr>
              <w:spacing w:after="0"/>
              <w:rPr>
                <w:sz w:val="1"/>
                <w:szCs w:val="1"/>
                <w:color w:val="auto"/>
              </w:rPr>
            </w:pPr>
          </w:p>
        </w:tc>
      </w:tr>
      <w:tr>
        <w:trPr>
          <w:trHeight w:val="226"/>
        </w:trPr>
        <w:tc>
          <w:tcPr>
            <w:tcW w:w="2260" w:type="dxa"/>
            <w:vAlign w:val="bottom"/>
            <w:gridSpan w:val="2"/>
          </w:tcPr>
          <w:p>
            <w:pPr>
              <w:ind w:left="20"/>
              <w:spacing w:after="0"/>
              <w:rPr>
                <w:sz w:val="20"/>
                <w:szCs w:val="20"/>
                <w:color w:val="auto"/>
              </w:rPr>
            </w:pPr>
            <w:r>
              <w:rPr>
                <w:rFonts w:ascii="Arial" w:cs="Arial" w:eastAsia="Arial" w:hAnsi="Arial"/>
                <w:sz w:val="17"/>
                <w:szCs w:val="17"/>
                <w:color w:val="auto"/>
              </w:rPr>
              <w:t>% of net sales</w:t>
            </w:r>
          </w:p>
        </w:tc>
        <w:tc>
          <w:tcPr>
            <w:tcW w:w="940" w:type="dxa"/>
            <w:vAlign w:val="bottom"/>
          </w:tcPr>
          <w:p>
            <w:pPr>
              <w:jc w:val="right"/>
              <w:spacing w:after="0"/>
              <w:rPr>
                <w:sz w:val="20"/>
                <w:szCs w:val="20"/>
                <w:color w:val="auto"/>
              </w:rPr>
            </w:pPr>
            <w:r>
              <w:rPr>
                <w:rFonts w:ascii="Arial" w:cs="Arial" w:eastAsia="Arial" w:hAnsi="Arial"/>
                <w:sz w:val="17"/>
                <w:szCs w:val="17"/>
                <w:color w:val="auto"/>
              </w:rPr>
              <w:t>1.3 %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3.5 %</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decrease in share-based compensation expenses for the 13 weeks ended June 27, 2020 compared to the same period in fiscal 2019 was primarily driven by share-based compensation expense for time-based stock options granted prior to our IPO on June 24, 2019 being recognized upon the closing of our IPO, partially offset by the below noted share-based compensation expense for performance-based stock options recognized in the second quarter of fiscal 2020. The increase in share-based compensation expense for the 26 weeks ended June 27, 2020 compared to the same period in fiscal 2019 was primarily driven by the below noted $26.1 million of share-based compensation expense recognized in fiscal 2020 related to the vesting of performance-based stock options. During the first quarter of fiscal 2020, we incurred $18.5 million in share-based compensation expense related to 4.1 million performance-based stock options that vested in conjunction with the closing of the February 3, 2020 secondary offering, and during the second quarter of fiscal 2020 we incurred $7.6 million in share-based compensation expense related to 1.7 million performance-based stock options that vested in conjunction with the closing of the April 27, 2020 secondary offering. Prior to the closing of our IPO on June 24, 2019, share-based compensation expense was primarily related to share-based awards granted to our board of directors and dividends paid in relation thereto. See Note 5 to the condensed consolidated financial statements for additional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13 Weeks Ended</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26 Weeks Ended</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29,</w:t>
            </w:r>
          </w:p>
        </w:tc>
        <w:tc>
          <w:tcPr>
            <w:tcW w:w="10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29,</w:t>
            </w:r>
          </w:p>
        </w:tc>
        <w:tc>
          <w:tcPr>
            <w:tcW w:w="10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 Change</w:t>
            </w:r>
          </w:p>
        </w:tc>
        <w:tc>
          <w:tcPr>
            <w:tcW w:w="80" w:type="dxa"/>
            <w:vAlign w:val="bottom"/>
            <w:vMerge w:val="restart"/>
          </w:tcPr>
          <w:p>
            <w:pPr>
              <w:spacing w:after="0"/>
              <w:rPr>
                <w:sz w:val="13"/>
                <w:szCs w:val="13"/>
                <w:color w:val="auto"/>
              </w:rPr>
            </w:pPr>
          </w:p>
        </w:tc>
        <w:tc>
          <w:tcPr>
            <w:tcW w:w="9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7"/>
                <w:szCs w:val="17"/>
                <w:color w:val="auto"/>
              </w:rPr>
              <w:t>5,270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7"/>
                <w:szCs w:val="17"/>
                <w:color w:val="auto"/>
              </w:rPr>
              <w:t>15,452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w w:val="98"/>
              </w:rPr>
              <w:t>$   (10,182)</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(65.9)%  $</w:t>
            </w:r>
          </w:p>
        </w:tc>
        <w:tc>
          <w:tcPr>
            <w:tcW w:w="9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7"/>
                <w:szCs w:val="17"/>
                <w:color w:val="auto"/>
              </w:rPr>
              <w:t>11,104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7"/>
                <w:szCs w:val="17"/>
                <w:color w:val="auto"/>
              </w:rPr>
              <w:t>31,890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w w:val="98"/>
              </w:rPr>
              <w:t>$   (20,786)</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0" w:type="dxa"/>
            <w:vAlign w:val="bottom"/>
          </w:tcPr>
          <w:p>
            <w:pPr>
              <w:spacing w:after="0"/>
              <w:rPr>
                <w:sz w:val="1"/>
                <w:szCs w:val="1"/>
                <w:color w:val="auto"/>
              </w:rPr>
            </w:pPr>
          </w:p>
        </w:tc>
      </w:tr>
      <w:tr>
        <w:trPr>
          <w:trHeight w:val="226"/>
        </w:trPr>
        <w:tc>
          <w:tcPr>
            <w:tcW w:w="202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2.4 %</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2.5 %</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decrease in net interest expense for the 13 and 26 weeks ended June 27, 2020 compared to the same periods in fiscal 2019 was primarily driven by lower total borrowings under our First Lien Credit Agreement and the repayment in full of our Second Lien Credit Agreement in June 2019. See Note 4 to the condensed consolidated financial statements for additional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 and Modification Costs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13 Weeks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4"/>
                <w:szCs w:val="14"/>
                <w:b w:val="1"/>
                <w:bCs w:val="1"/>
                <w:color w:val="auto"/>
              </w:rPr>
              <w:t>26 Weeks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122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June 29,</w:t>
            </w:r>
          </w:p>
        </w:tc>
        <w:tc>
          <w:tcPr>
            <w:tcW w:w="16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124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June 29,</w:t>
            </w:r>
          </w:p>
        </w:tc>
        <w:tc>
          <w:tcPr>
            <w:tcW w:w="160" w:type="dxa"/>
            <w:vAlign w:val="bottom"/>
          </w:tcPr>
          <w:p>
            <w:pPr>
              <w:spacing w:after="0"/>
              <w:rPr>
                <w:sz w:val="13"/>
                <w:szCs w:val="13"/>
                <w:color w:val="auto"/>
              </w:rPr>
            </w:pPr>
          </w:p>
        </w:tc>
        <w:tc>
          <w:tcPr>
            <w:tcW w:w="84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5"/>
              </w:rPr>
              <w:t>$ Change</w:t>
            </w:r>
          </w:p>
        </w:tc>
        <w:tc>
          <w:tcPr>
            <w:tcW w:w="10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120" w:type="dxa"/>
            <w:vAlign w:val="bottom"/>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940" w:type="dxa"/>
            <w:vAlign w:val="bottom"/>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140" w:type="dxa"/>
            <w:vAlign w:val="bottom"/>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Debt extinguishment and</w:t>
            </w: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modification costs</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7"/>
                <w:szCs w:val="17"/>
                <w:color w:val="auto"/>
              </w:rPr>
              <w:t>5,162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(5,162)</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(100.0)%  $</w:t>
            </w:r>
          </w:p>
        </w:tc>
        <w:tc>
          <w:tcPr>
            <w:tcW w:w="9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7"/>
                <w:szCs w:val="17"/>
                <w:color w:val="auto"/>
              </w:rPr>
              <w:t>198</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7"/>
                <w:szCs w:val="17"/>
                <w:color w:val="auto"/>
              </w:rPr>
              <w:t>5,162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(4,964)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(96.2)%</w:t>
            </w:r>
          </w:p>
        </w:tc>
        <w:tc>
          <w:tcPr>
            <w:tcW w:w="0" w:type="dxa"/>
            <w:vAlign w:val="bottom"/>
          </w:tcPr>
          <w:p>
            <w:pPr>
              <w:spacing w:after="0"/>
              <w:rPr>
                <w:sz w:val="1"/>
                <w:szCs w:val="1"/>
                <w:color w:val="auto"/>
              </w:rPr>
            </w:pPr>
          </w:p>
        </w:tc>
      </w:tr>
      <w:tr>
        <w:trPr>
          <w:trHeight w:val="226"/>
        </w:trPr>
        <w:tc>
          <w:tcPr>
            <w:tcW w:w="208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During the 26 weeks ended June 27, 2020, we wrote off approximately $0.1 million of debt issuance costs and incurred approximately $0.1 million of debt modification costs related to the repricing and amendment of our First Lien Credit Agreement. During the 13 and 26 weeks ended June 29, 2019, we wrote off $3.8 million of debt issuance costs and $1.4 million of unamortized loan discounts related to the repayment in full of our Second Lien Term Loan and termination of the related loan agreement. See Note 4 to the condensed consolidated financial statements for additional information.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13 Weeks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26 Weeks Ended</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29,</w:t>
            </w:r>
          </w:p>
        </w:tc>
        <w:tc>
          <w:tcPr>
            <w:tcW w:w="160" w:type="dxa"/>
            <w:vAlign w:val="bottom"/>
          </w:tcPr>
          <w:p>
            <w:pPr>
              <w:spacing w:after="0"/>
              <w:rPr>
                <w:sz w:val="13"/>
                <w:szCs w:val="13"/>
                <w:color w:val="auto"/>
              </w:rPr>
            </w:pPr>
          </w:p>
        </w:tc>
        <w:tc>
          <w:tcPr>
            <w:tcW w:w="8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vMerge w:val="restart"/>
          </w:tcPr>
          <w:p>
            <w:pPr>
              <w:spacing w:after="0"/>
              <w:rPr>
                <w:sz w:val="13"/>
                <w:szCs w:val="13"/>
                <w:color w:val="auto"/>
              </w:rPr>
            </w:pPr>
          </w:p>
        </w:tc>
        <w:tc>
          <w:tcPr>
            <w:tcW w:w="9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10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29,</w:t>
            </w:r>
          </w:p>
        </w:tc>
        <w:tc>
          <w:tcPr>
            <w:tcW w:w="9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9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(2,244)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7"/>
                <w:szCs w:val="17"/>
                <w:color w:val="auto"/>
              </w:rPr>
              <w:t>(4,247)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2,003</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(47.2)%  $</w:t>
            </w:r>
          </w:p>
        </w:tc>
        <w:tc>
          <w:tcPr>
            <w:tcW w:w="9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(4,045)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7"/>
                <w:szCs w:val="17"/>
                <w:color w:val="auto"/>
              </w:rPr>
              <w:t>(2,803)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   (1,242)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44.3 %</w:t>
            </w:r>
          </w:p>
        </w:tc>
        <w:tc>
          <w:tcPr>
            <w:tcW w:w="0" w:type="dxa"/>
            <w:vAlign w:val="bottom"/>
          </w:tcPr>
          <w:p>
            <w:pPr>
              <w:spacing w:after="0"/>
              <w:rPr>
                <w:sz w:val="1"/>
                <w:szCs w:val="1"/>
                <w:color w:val="auto"/>
              </w:rPr>
            </w:pPr>
          </w:p>
        </w:tc>
      </w:tr>
      <w:tr>
        <w:trPr>
          <w:trHeight w:val="225"/>
        </w:trPr>
        <w:tc>
          <w:tcPr>
            <w:tcW w:w="204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Effective tax rate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decrease in net income tax benefit for 13 weeks ended June 27, 2020 compared to the same period in fiscal 2019 was primarily the result of the net loss before taxes for the 13 weeks ended June 29, 2019, which was mainly due to the share-based compensation expense recognized during June 2019 in connection with our IPO. This decrease was partially offset by $9.6 million of excess tax benefits related to the exercise of stock options and vesting of employee restricted stock units during the 13 weeks ended June 27, 2020. The increase in net income tax benefit for the 26 weeks ended June 27, 2020 compared to the same period in fiscal 2019 was primarily due to $14.6 million of excess tax benefits in the current year related to the exercise of stock options and vesting of employee restricted stock units.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14"/>
                <w:szCs w:val="14"/>
                <w:b w:val="1"/>
                <w:bCs w:val="1"/>
                <w:color w:val="auto"/>
              </w:rPr>
              <w:t>13 Weeks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14"/>
                <w:szCs w:val="14"/>
                <w:b w:val="1"/>
                <w:bCs w:val="1"/>
                <w:color w:val="auto"/>
              </w:rPr>
              <w:t>26 Weeks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301"/>
              <w:spacing w:after="0" w:line="153" w:lineRule="exact"/>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3"/>
                <w:szCs w:val="13"/>
                <w:color w:val="auto"/>
              </w:rPr>
            </w:pPr>
          </w:p>
        </w:tc>
        <w:tc>
          <w:tcPr>
            <w:tcW w:w="1000" w:type="dxa"/>
            <w:vAlign w:val="bottom"/>
          </w:tcPr>
          <w:p>
            <w:pPr>
              <w:jc w:val="right"/>
              <w:ind w:right="303"/>
              <w:spacing w:after="0" w:line="153" w:lineRule="exact"/>
              <w:rPr>
                <w:sz w:val="20"/>
                <w:szCs w:val="20"/>
                <w:color w:val="auto"/>
              </w:rPr>
            </w:pPr>
            <w:r>
              <w:rPr>
                <w:rFonts w:ascii="Arial" w:cs="Arial" w:eastAsia="Arial" w:hAnsi="Arial"/>
                <w:sz w:val="14"/>
                <w:szCs w:val="14"/>
                <w:b w:val="1"/>
                <w:bCs w:val="1"/>
                <w:color w:val="auto"/>
              </w:rPr>
              <w:t>June 29,</w:t>
            </w:r>
          </w:p>
        </w:tc>
        <w:tc>
          <w:tcPr>
            <w:tcW w:w="200" w:type="dxa"/>
            <w:vAlign w:val="bottom"/>
          </w:tcPr>
          <w:p>
            <w:pPr>
              <w:spacing w:after="0"/>
              <w:rPr>
                <w:sz w:val="13"/>
                <w:szCs w:val="13"/>
                <w:color w:val="auto"/>
              </w:rPr>
            </w:pPr>
          </w:p>
        </w:tc>
        <w:tc>
          <w:tcPr>
            <w:tcW w:w="88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8"/>
              </w:rPr>
              <w:t>$ Change</w:t>
            </w:r>
          </w:p>
        </w:tc>
        <w:tc>
          <w:tcPr>
            <w:tcW w:w="134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980" w:type="dxa"/>
            <w:vAlign w:val="bottom"/>
          </w:tcPr>
          <w:p>
            <w:pPr>
              <w:jc w:val="right"/>
              <w:ind w:right="281"/>
              <w:spacing w:after="0" w:line="153" w:lineRule="exact"/>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3"/>
                <w:szCs w:val="13"/>
                <w:color w:val="auto"/>
              </w:rPr>
            </w:pPr>
          </w:p>
        </w:tc>
        <w:tc>
          <w:tcPr>
            <w:tcW w:w="1000" w:type="dxa"/>
            <w:vAlign w:val="bottom"/>
          </w:tcPr>
          <w:p>
            <w:pPr>
              <w:jc w:val="right"/>
              <w:ind w:right="303"/>
              <w:spacing w:after="0" w:line="153" w:lineRule="exact"/>
              <w:rPr>
                <w:sz w:val="20"/>
                <w:szCs w:val="20"/>
                <w:color w:val="auto"/>
              </w:rPr>
            </w:pPr>
            <w:r>
              <w:rPr>
                <w:rFonts w:ascii="Arial" w:cs="Arial" w:eastAsia="Arial" w:hAnsi="Arial"/>
                <w:sz w:val="14"/>
                <w:szCs w:val="14"/>
                <w:b w:val="1"/>
                <w:bCs w:val="1"/>
                <w:color w:val="auto"/>
              </w:rPr>
              <w:t>June 29,</w:t>
            </w:r>
          </w:p>
        </w:tc>
        <w:tc>
          <w:tcPr>
            <w:tcW w:w="200" w:type="dxa"/>
            <w:vAlign w:val="bottom"/>
          </w:tcPr>
          <w:p>
            <w:pPr>
              <w:spacing w:after="0"/>
              <w:rPr>
                <w:sz w:val="13"/>
                <w:szCs w:val="13"/>
                <w:color w:val="auto"/>
              </w:rPr>
            </w:pPr>
          </w:p>
        </w:tc>
        <w:tc>
          <w:tcPr>
            <w:tcW w:w="88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8"/>
              </w:rPr>
              <w:t>$ Change</w:t>
            </w:r>
          </w:p>
        </w:tc>
        <w:tc>
          <w:tcPr>
            <w:tcW w:w="102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1000" w:type="dxa"/>
            <w:vAlign w:val="bottom"/>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980" w:type="dxa"/>
            <w:vAlign w:val="bottom"/>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1000" w:type="dxa"/>
            <w:vAlign w:val="bottom"/>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7"/>
                <w:szCs w:val="17"/>
                <w:color w:val="auto"/>
              </w:rPr>
              <w:t>29,333</w:t>
            </w:r>
          </w:p>
        </w:tc>
        <w:tc>
          <w:tcPr>
            <w:tcW w:w="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7"/>
                <w:szCs w:val="17"/>
                <w:color w:val="auto"/>
              </w:rPr>
              <w:t>(10,632)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7"/>
                <w:szCs w:val="17"/>
                <w:color w:val="auto"/>
              </w:rPr>
              <w:t>39,965</w:t>
            </w:r>
          </w:p>
        </w:tc>
        <w:tc>
          <w:tcPr>
            <w:tcW w:w="1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375.9 %  $</w:t>
            </w:r>
          </w:p>
        </w:tc>
        <w:tc>
          <w:tcPr>
            <w:tcW w:w="9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7"/>
                <w:szCs w:val="17"/>
                <w:color w:val="auto"/>
              </w:rPr>
              <w:t>41,975</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7"/>
                <w:szCs w:val="17"/>
                <w:color w:val="auto"/>
              </w:rPr>
              <w:t>(6,858)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7"/>
                <w:szCs w:val="17"/>
                <w:color w:val="auto"/>
              </w:rPr>
              <w:t>48,833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712.1 %</w:t>
            </w:r>
          </w:p>
        </w:tc>
        <w:tc>
          <w:tcPr>
            <w:tcW w:w="0" w:type="dxa"/>
            <w:vAlign w:val="bottom"/>
          </w:tcPr>
          <w:p>
            <w:pPr>
              <w:spacing w:after="0"/>
              <w:rPr>
                <w:sz w:val="1"/>
                <w:szCs w:val="1"/>
                <w:color w:val="auto"/>
              </w:rPr>
            </w:pPr>
          </w:p>
        </w:tc>
      </w:tr>
      <w:tr>
        <w:trPr>
          <w:trHeight w:val="226"/>
        </w:trPr>
        <w:tc>
          <w:tcPr>
            <w:tcW w:w="200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2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17"/>
                <w:szCs w:val="17"/>
                <w:color w:val="auto"/>
              </w:rPr>
              <w:t>3.7 %</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2.7 %</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(0.5)%</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a result of the foregoing factors, including the excess tax benefits described above, net income increased substantially for the 13 and 26 weeks ended June 27, 2020 compared to the net loss for same period in fiscal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13 Weeks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26 Weeks Ended</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June 27,</w:t>
            </w:r>
          </w:p>
        </w:tc>
        <w:tc>
          <w:tcPr>
            <w:tcW w:w="220" w:type="dxa"/>
            <w:vAlign w:val="bottom"/>
          </w:tcPr>
          <w:p>
            <w:pPr>
              <w:spacing w:after="0"/>
              <w:rPr>
                <w:sz w:val="13"/>
                <w:szCs w:val="13"/>
                <w:color w:val="auto"/>
              </w:rPr>
            </w:pPr>
          </w:p>
        </w:tc>
        <w:tc>
          <w:tcPr>
            <w:tcW w:w="10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June 29,</w:t>
            </w:r>
          </w:p>
        </w:tc>
        <w:tc>
          <w:tcPr>
            <w:tcW w:w="160" w:type="dxa"/>
            <w:vAlign w:val="bottom"/>
          </w:tcPr>
          <w:p>
            <w:pPr>
              <w:spacing w:after="0"/>
              <w:rPr>
                <w:sz w:val="13"/>
                <w:szCs w:val="13"/>
                <w:color w:val="auto"/>
              </w:rPr>
            </w:pPr>
          </w:p>
        </w:tc>
        <w:tc>
          <w:tcPr>
            <w:tcW w:w="84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vMerge w:val="restart"/>
          </w:tcPr>
          <w:p>
            <w:pPr>
              <w:spacing w:after="0"/>
              <w:rPr>
                <w:sz w:val="13"/>
                <w:szCs w:val="13"/>
                <w:color w:val="auto"/>
              </w:rPr>
            </w:pPr>
          </w:p>
        </w:tc>
        <w:tc>
          <w:tcPr>
            <w:tcW w:w="9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10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200" w:type="dxa"/>
            <w:vAlign w:val="bottom"/>
          </w:tcPr>
          <w:p>
            <w:pPr>
              <w:spacing w:after="0"/>
              <w:rPr>
                <w:sz w:val="13"/>
                <w:szCs w:val="13"/>
                <w:color w:val="auto"/>
              </w:rPr>
            </w:pPr>
          </w:p>
        </w:tc>
        <w:tc>
          <w:tcPr>
            <w:tcW w:w="10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June 29,</w:t>
            </w:r>
          </w:p>
        </w:tc>
        <w:tc>
          <w:tcPr>
            <w:tcW w:w="160" w:type="dxa"/>
            <w:vAlign w:val="bottom"/>
          </w:tcPr>
          <w:p>
            <w:pPr>
              <w:spacing w:after="0"/>
              <w:rPr>
                <w:sz w:val="13"/>
                <w:szCs w:val="13"/>
                <w:color w:val="auto"/>
              </w:rPr>
            </w:pPr>
          </w:p>
        </w:tc>
        <w:tc>
          <w:tcPr>
            <w:tcW w:w="86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vMerge w:val="restart"/>
          </w:tcPr>
          <w:p>
            <w:pPr>
              <w:spacing w:after="0"/>
              <w:rPr>
                <w:sz w:val="13"/>
                <w:szCs w:val="13"/>
                <w:color w:val="auto"/>
              </w:rPr>
            </w:pPr>
          </w:p>
        </w:tc>
        <w:tc>
          <w:tcPr>
            <w:tcW w:w="9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7"/>
                <w:szCs w:val="17"/>
                <w:color w:val="auto"/>
              </w:rPr>
              <w:t>60,644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65"/>
              <w:spacing w:after="0"/>
              <w:rPr>
                <w:sz w:val="20"/>
                <w:szCs w:val="20"/>
                <w:color w:val="auto"/>
              </w:rPr>
            </w:pPr>
            <w:r>
              <w:rPr>
                <w:rFonts w:ascii="Arial" w:cs="Arial" w:eastAsia="Arial" w:hAnsi="Arial"/>
                <w:sz w:val="17"/>
                <w:szCs w:val="17"/>
                <w:color w:val="auto"/>
              </w:rPr>
              <w:t>45,007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15,637</w:t>
            </w:r>
          </w:p>
        </w:tc>
        <w:tc>
          <w:tcPr>
            <w:tcW w:w="1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34.7 %  $</w:t>
            </w:r>
          </w:p>
        </w:tc>
        <w:tc>
          <w:tcPr>
            <w:tcW w:w="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117,671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85"/>
              <w:spacing w:after="0"/>
              <w:rPr>
                <w:sz w:val="20"/>
                <w:szCs w:val="20"/>
                <w:color w:val="auto"/>
              </w:rPr>
            </w:pPr>
            <w:r>
              <w:rPr>
                <w:rFonts w:ascii="Arial" w:cs="Arial" w:eastAsia="Arial" w:hAnsi="Arial"/>
                <w:sz w:val="17"/>
                <w:szCs w:val="17"/>
                <w:color w:val="auto"/>
              </w:rPr>
              <w:t>84,130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33,541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39.9 %</w:t>
            </w:r>
          </w:p>
        </w:tc>
        <w:tc>
          <w:tcPr>
            <w:tcW w:w="0" w:type="dxa"/>
            <w:vAlign w:val="bottom"/>
          </w:tcPr>
          <w:p>
            <w:pPr>
              <w:spacing w:after="0"/>
              <w:rPr>
                <w:sz w:val="1"/>
                <w:szCs w:val="1"/>
                <w:color w:val="auto"/>
              </w:rPr>
            </w:pPr>
          </w:p>
        </w:tc>
      </w:tr>
      <w:tr>
        <w:trPr>
          <w:trHeight w:val="31"/>
        </w:trPr>
        <w:tc>
          <w:tcPr>
            <w:tcW w:w="2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increase in adjusted EBITDA for the 13 and 26 weeks ended June 27, 2020 compared to the same periods in fiscal 2019 was primarily due to the increase in net sales, which was primarily driven by an increase in comparable store sales of 16.7% for the 13 weeks ended June 27, 2020 and 17.0% for the 26 weeks ended June 27, 2020 compared to the same periods in fiscal 2019, along with an increase in store count compared to the same periods in fiscal 2019. Additionally, gross margin rate increased modestly for the 13 and 26 weeks ended compared to the same period in fiscal 2019 as discussed above. We expect third quarter fiscal 2020 adjusted EBITDA to be impacted by additional costs as a result of the COVID-19 pandemic, such as incremental cleaning and safety costs, corporate and distribution center personnel expense, costs for protective equipment and supplies at our stores, and supply chain costs.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Adjusted Net Income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13 Weeks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26 Weeks Ended</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June 27,</w:t>
            </w:r>
          </w:p>
        </w:tc>
        <w:tc>
          <w:tcPr>
            <w:tcW w:w="220" w:type="dxa"/>
            <w:vAlign w:val="bottom"/>
          </w:tcPr>
          <w:p>
            <w:pPr>
              <w:spacing w:after="0"/>
              <w:rPr>
                <w:sz w:val="13"/>
                <w:szCs w:val="13"/>
                <w:color w:val="auto"/>
              </w:rPr>
            </w:pPr>
          </w:p>
        </w:tc>
        <w:tc>
          <w:tcPr>
            <w:tcW w:w="10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June 29,</w:t>
            </w:r>
          </w:p>
        </w:tc>
        <w:tc>
          <w:tcPr>
            <w:tcW w:w="160" w:type="dxa"/>
            <w:vAlign w:val="bottom"/>
          </w:tcPr>
          <w:p>
            <w:pPr>
              <w:spacing w:after="0"/>
              <w:rPr>
                <w:sz w:val="13"/>
                <w:szCs w:val="13"/>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10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June 27,</w:t>
            </w:r>
          </w:p>
        </w:tc>
        <w:tc>
          <w:tcPr>
            <w:tcW w:w="200" w:type="dxa"/>
            <w:vAlign w:val="bottom"/>
          </w:tcPr>
          <w:p>
            <w:pPr>
              <w:spacing w:after="0"/>
              <w:rPr>
                <w:sz w:val="13"/>
                <w:szCs w:val="13"/>
                <w:color w:val="auto"/>
              </w:rPr>
            </w:pPr>
          </w:p>
        </w:tc>
        <w:tc>
          <w:tcPr>
            <w:tcW w:w="10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June 29,</w:t>
            </w:r>
          </w:p>
        </w:tc>
        <w:tc>
          <w:tcPr>
            <w:tcW w:w="16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9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2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920" w:type="dxa"/>
            <w:vAlign w:val="bottom"/>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4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Non-GAAP adjusted net</w:t>
            </w: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7"/>
                <w:szCs w:val="17"/>
                <w:color w:val="auto"/>
              </w:rPr>
              <w:t>41,819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65"/>
              <w:spacing w:after="0"/>
              <w:rPr>
                <w:sz w:val="20"/>
                <w:szCs w:val="20"/>
                <w:color w:val="auto"/>
              </w:rPr>
            </w:pPr>
            <w:r>
              <w:rPr>
                <w:rFonts w:ascii="Arial" w:cs="Arial" w:eastAsia="Arial" w:hAnsi="Arial"/>
                <w:sz w:val="17"/>
                <w:szCs w:val="17"/>
                <w:color w:val="auto"/>
              </w:rPr>
              <w:t>14,460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27,359</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189.2 %  $</w:t>
            </w: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7"/>
                <w:szCs w:val="17"/>
                <w:color w:val="auto"/>
              </w:rPr>
              <w:t>75,858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85"/>
              <w:spacing w:after="0"/>
              <w:rPr>
                <w:sz w:val="20"/>
                <w:szCs w:val="20"/>
                <w:color w:val="auto"/>
              </w:rPr>
            </w:pPr>
            <w:r>
              <w:rPr>
                <w:rFonts w:ascii="Arial" w:cs="Arial" w:eastAsia="Arial" w:hAnsi="Arial"/>
                <w:sz w:val="17"/>
                <w:szCs w:val="17"/>
                <w:color w:val="auto"/>
              </w:rPr>
              <w:t>24,407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51,451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210.8 %</w:t>
            </w:r>
          </w:p>
        </w:tc>
        <w:tc>
          <w:tcPr>
            <w:tcW w:w="0" w:type="dxa"/>
            <w:vAlign w:val="bottom"/>
          </w:tcPr>
          <w:p>
            <w:pPr>
              <w:spacing w:after="0"/>
              <w:rPr>
                <w:sz w:val="1"/>
                <w:szCs w:val="1"/>
                <w:color w:val="auto"/>
              </w:rPr>
            </w:pPr>
          </w:p>
        </w:tc>
      </w:tr>
      <w:tr>
        <w:trPr>
          <w:trHeight w:val="31"/>
        </w:trPr>
        <w:tc>
          <w:tcPr>
            <w:tcW w:w="2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increase in non-GAAP adjusted net income for the 13 and 26 weeks ended June 27, 2020 compared to the same periods in fiscal 2019 was primarily due to an increase in net sales, which was primarily driven by an increase in comparable store sales of 16.7% for the 13 weeks ended June 27, 2020 and 17.0% for the 26 weeks ended June 27, 2020, along with an increase in store count compared to the same period in fiscal 2019. In addition, non-GAAP adjusted net income benefited from lower net interest expense for the 13 and 26 weeks ended compared to the same periods in fiscal 2019 as discussed above.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June 27, 2020, we had cash and cash equivalent of $79.8 million, which consisted principally of cash held in checking and money market accounts with financial institutions. Our liquidity requirements arise primarily from our working capital needs, capital expenditures and debt service requirements. We funded our liquidity requirements through cash generated from our operations, cash received from the initial public offering of our common stock and borrowings and availability under our First Lien Credit Agreement.</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June 24, 2019, we completed an initial public offering (“IPO”) of 19,765,625 shares of our common stock at a public offering price of $22.00 per share for net proceeds of $407.7 million, after deducting underwriting discounts and commissions of $27.1 million and offering costs of $7.2 million. The shares of common stock sold in the IPO and the net proceeds from the IPO included the full exercise of the underwriters’ option to purchase additional shares.</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October 8, 2019, certain of our selling stockholders completed a secondary public offering of shares of our common stock. We did not receive any of the proceeds from the sale of these shares by the selling stockholders. We incurred related offering costs of $1.1 million and received $3.2 million in cash (excluding withholding taxes) in connection with the exercise of 451,470 options by certain stockholders participating in this secondary public offering.</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February 3, 2020, certain of our selling stockholders completed an additional secondary public offering of shares of our common stock. We did not receive any of the proceeds from the sale of these shares by the selling stockholders. We incurred related offering costs of $1.1 million and received $1.4 million in cash (excluding withholding taxes) in connection with the exercise of 191,470 options by certain stockholders participating in this secondary public offering.</w:t>
      </w:r>
    </w:p>
    <w:p>
      <w:pPr>
        <w:spacing w:after="0" w:line="7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April 27, 2020, certain of our selling stockholders completed a third secondary public offering of shares of our common stock. We did not receive any of the proceeds from the sale of these shares by the selling stockholders. We incurred related offering costs of $1.0 million and received $1.6 million in cash (excluding withholding taxes) in connection with the exercise of 269,000 options by certain stockholders participating in this secondary public offering. See Note 10 to the condensed consolidated financial statements for additional information.</w:t>
      </w:r>
    </w:p>
    <w:p>
      <w:pPr>
        <w:spacing w:after="0" w:line="6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terms of our credit agreements permit voluntary prepayment without premium or penalty. In connection with the closing of our IPO, we used the net proceeds from the IPO to repay the outstanding $150.0 million in principal on the term loan under our second lien credit agreement, dated as of October 22, 2018 (as amended, the “Second Lien Credit Agreement”), as well as accrued and unpaid interest as of that date of $3.6 million, and terminated the Second Lien Credit Agreement. In addition, using the remainder of net proceeds, together with excess cash on hand, we prepaid a portion of our outstanding senior secured term loan under our First Lien Credit Agreement (as defined below) totaling $248.0 million plus accrued interest of $3.8 million.</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First Lien Credit Agreement</w:t>
      </w:r>
    </w:p>
    <w:p>
      <w:pPr>
        <w:spacing w:after="0" w:line="11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i w:val="1"/>
          <w:iCs w:val="1"/>
          <w:color w:val="auto"/>
        </w:rPr>
        <w:t xml:space="preserve">First Incremental Agreement </w:t>
      </w:r>
      <w:r>
        <w:rPr>
          <w:rFonts w:ascii="Arial" w:cs="Arial" w:eastAsia="Arial" w:hAnsi="Arial"/>
          <w:sz w:val="16"/>
          <w:szCs w:val="16"/>
          <w:color w:val="auto"/>
        </w:rPr>
        <w:t>— On July 23, 2019, we entered into an incremental agreement (the “First Incremental Agreement”) to amend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First Lien Credit Agreement. The First Incremental Agreement refinanced the term loan outstanding under the First Lien Credit Agreement with a replacement $475.2 million senior secured term loan (the “First Replacement Term Loan”) with an applicable margin of 3.50% or 3.25% for Eurodollar loans and 2.50% or 2.25% for base rate loans. The First Replacement Term Loan matured on October 22, 2025, which was the same maturity date as the prior term loan under the First Lien Credit Agreement. On October 23, 2019, we prepaid $15.0 million of principal on the First Replacement Term Loan.</w:t>
      </w:r>
    </w:p>
    <w:p>
      <w:pPr>
        <w:spacing w:after="0" w:line="5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b w:val="1"/>
          <w:bCs w:val="1"/>
          <w:i w:val="1"/>
          <w:iCs w:val="1"/>
          <w:color w:val="auto"/>
        </w:rPr>
        <w:t xml:space="preserve">Second Incremental Agreement </w:t>
      </w:r>
      <w:r>
        <w:rPr>
          <w:rFonts w:ascii="Arial" w:cs="Arial" w:eastAsia="Arial" w:hAnsi="Arial"/>
          <w:sz w:val="16"/>
          <w:szCs w:val="16"/>
          <w:color w:val="auto"/>
        </w:rPr>
        <w:t>— On January 24, 2020, we entered into a second incremental agreement (the “Second Incremental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amended the First Incremental Agreement. The Second Incremental Agreement refinanced the First Replacement Term loan under the First Incremental Agreement with a replacement $460.0 million senior secured term loan (the “Second Replacement Term Loan”) with an applicable margin of 2.75% for Eurodollar loans and 1.75% for base rate loans, and made certain other technical changes and updates to the First Incremental Agreement. The interest rate on the Second Replacement Term Loan was 3.74% as of June 27, 2020. The Second Replacement Term Loan matures on October 22, 2025, which is the same maturity date as prior term loans under the original First Lien Credit Agreement and First Incremental Agreement.</w:t>
      </w:r>
    </w:p>
    <w:p>
      <w:pPr>
        <w:spacing w:after="0" w:line="5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Other than as described above, the Second Replacement Term Loan has the same terms as provided under the original First Lien Credit Agreement and the First Incremental Agreement. Additionally, the parties to the Second Incremental Agreement continue to have the same obligations set forth in the original First Lien Credit Agreement and the First Incremental Agreement (collectively, the “First Lien Credit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 On March 19, 2020, we borrowed $90.0 million under the revolving credit facility of our First Lien Credit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“Revolving Credit Facility Loan”), the proceeds of which were to be used as reserve funding for working capital needs as a precautionary measure in light of the economic uncertainty surrounding the COVID-19 pandemic. On May 26, 2020, we repaid the Revolving Credit Facility Loan in full. As of June 27, 2020, we had $96.5 million of borrowing capacity available under the revolving credit facility.</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b w:val="1"/>
          <w:bCs w:val="1"/>
          <w:i w:val="1"/>
          <w:iCs w:val="1"/>
          <w:color w:val="auto"/>
        </w:rPr>
        <w:t xml:space="preserve">Debt Covenant Requirements </w:t>
      </w:r>
      <w:r>
        <w:rPr>
          <w:rFonts w:ascii="Arial" w:cs="Arial" w:eastAsia="Arial" w:hAnsi="Arial"/>
          <w:sz w:val="18"/>
          <w:szCs w:val="18"/>
          <w:color w:val="auto"/>
        </w:rPr>
        <w:t>— The First Lien Credit Agreement contains certain customary representations and warranties, subject to limitations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exceptions, and affirmative and customary covenants. The First Lien Credit Agreement has the ability to restrict us from entering into certain types of transactions and making certain types of payments including dividends and stock repurchase and other similar distributions, with certain exceptions. Additionally, the revolving credit facility under our First Lien Credit Agreement is subject to a first lien secured leverage ratio (as defined in the First Lien Credit Agreement) of 7:00 to 1:00.</w:t>
      </w:r>
    </w:p>
    <w:p>
      <w:pPr>
        <w:spacing w:after="0" w:line="80" w:lineRule="exact"/>
        <w:rPr>
          <w:sz w:val="20"/>
          <w:szCs w:val="20"/>
          <w:color w:val="auto"/>
        </w:rPr>
      </w:pPr>
    </w:p>
    <w:p>
      <w:pPr>
        <w:ind w:right="1140" w:firstLine="486"/>
        <w:spacing w:after="0" w:line="406" w:lineRule="auto"/>
        <w:rPr>
          <w:sz w:val="20"/>
          <w:szCs w:val="20"/>
          <w:color w:val="auto"/>
        </w:rPr>
      </w:pPr>
      <w:r>
        <w:rPr>
          <w:rFonts w:ascii="Arial" w:cs="Arial" w:eastAsia="Arial" w:hAnsi="Arial"/>
          <w:sz w:val="18"/>
          <w:szCs w:val="18"/>
          <w:color w:val="auto"/>
        </w:rPr>
        <w:t xml:space="preserve">As of June 27, 2020, we were in compliance with all applicable financial covenant requirements for our First Lien Credit Agreement. </w:t>
      </w:r>
      <w:r>
        <w:rPr>
          <w:rFonts w:ascii="Arial" w:cs="Arial" w:eastAsia="Arial" w:hAnsi="Arial"/>
          <w:sz w:val="18"/>
          <w:szCs w:val="18"/>
          <w:b w:val="1"/>
          <w:bCs w:val="1"/>
          <w:i w:val="1"/>
          <w:iCs w:val="1"/>
          <w:color w:val="auto"/>
        </w:rPr>
        <w:t>Liquidity Requirements</w:t>
      </w:r>
    </w:p>
    <w:p>
      <w:pPr>
        <w:spacing w:after="0" w:line="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primary working capital requirements are for the purchase of inventory, payroll, rent, issuance of IO notes, other store facilities costs, distribution costs and general and administrative costs. Our working capital requirements fluctuate during the year, driven primarily by the timing of inventory fluctuations, new store openings and capital spending.</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capital expenditures are primarily related to new store openings, ongoing store maintenance and improvements, expenditures related to our distribution centers and infrastructure-related investments, including investments related to upgrading and maintaining our information technology systems and corporate offices. We expect to fund capital expenditures through cash generated from our operations.</w:t>
      </w:r>
    </w:p>
    <w:p>
      <w:pPr>
        <w:spacing w:after="0" w:line="7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Based on our new store growth plans, we believe our existing cash and cash equivalents position, cash generated from our operations, and borrowings under our revolving credit facility will be adequate to finance our working capital requirements, planned capital expenditures and debt service over the next 12 months. If cash generated from our operations and borrowings under our revolving credit facility are not sufficient or available to meet our liquidity requirements, then we will be required to obtain additional equity or debt financing in the future. There can be no assurance equity or debt financing will be available to us when we need it or, if available, the terms will be satisfactory to us and not dilutive to our then-current stockholders. Additionally, we may seek to take advantage of market opportunities to refinance our existing debt instruments with new debt instruments at interest rates, maturities and terms we deem attractive. We may also, from time to time, in our sole discretion, purchase or retire all or a portion of our existing debt instruments through privately negotiated or open market transactions.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our cash flows for the periods presented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26 Weeks Ended</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49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June 27, 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June 29, 2019</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center"/>
              <w:ind w:left="374"/>
              <w:spacing w:after="0"/>
              <w:rPr>
                <w:sz w:val="20"/>
                <w:szCs w:val="20"/>
                <w:color w:val="auto"/>
              </w:rPr>
            </w:pPr>
            <w:r>
              <w:rPr>
                <w:rFonts w:ascii="Arial" w:cs="Arial" w:eastAsia="Arial" w:hAnsi="Arial"/>
                <w:sz w:val="18"/>
                <w:szCs w:val="18"/>
                <w:color w:val="auto"/>
                <w:w w:val="87"/>
              </w:rPr>
              <w:t>90,056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39,718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50,338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left="354"/>
              <w:spacing w:after="0"/>
              <w:rPr>
                <w:sz w:val="20"/>
                <w:szCs w:val="20"/>
                <w:color w:val="auto"/>
              </w:rPr>
            </w:pPr>
            <w:r>
              <w:rPr>
                <w:rFonts w:ascii="Arial" w:cs="Arial" w:eastAsia="Arial" w:hAnsi="Arial"/>
                <w:sz w:val="18"/>
                <w:szCs w:val="18"/>
                <w:color w:val="auto"/>
                <w:w w:val="92"/>
              </w:rPr>
              <w:t>(52,170)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(44,523)</w:t>
            </w:r>
          </w:p>
        </w:tc>
        <w:tc>
          <w:tcPr>
            <w:tcW w:w="100" w:type="dxa"/>
            <w:vAlign w:val="bottom"/>
          </w:tcPr>
          <w:p>
            <w:pPr>
              <w:spacing w:after="0"/>
              <w:rPr>
                <w:sz w:val="21"/>
                <w:szCs w:val="21"/>
                <w:color w:val="auto"/>
              </w:rPr>
            </w:pPr>
          </w:p>
        </w:tc>
        <w:tc>
          <w:tcPr>
            <w:tcW w:w="540" w:type="dxa"/>
            <w:vAlign w:val="bottom"/>
          </w:tcPr>
          <w:p>
            <w:pPr>
              <w:jc w:val="right"/>
              <w:ind w:right="354"/>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300"/>
              <w:spacing w:after="0"/>
              <w:rPr>
                <w:sz w:val="20"/>
                <w:szCs w:val="20"/>
                <w:color w:val="auto"/>
              </w:rPr>
            </w:pPr>
            <w:r>
              <w:rPr>
                <w:rFonts w:ascii="Arial" w:cs="Arial" w:eastAsia="Arial" w:hAnsi="Arial"/>
                <w:sz w:val="18"/>
                <w:szCs w:val="18"/>
                <w:color w:val="auto"/>
              </w:rPr>
              <w:t>(7,647)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center"/>
              <w:ind w:left="374"/>
              <w:spacing w:after="0"/>
              <w:rPr>
                <w:sz w:val="20"/>
                <w:szCs w:val="20"/>
                <w:color w:val="auto"/>
              </w:rPr>
            </w:pPr>
            <w:r>
              <w:rPr>
                <w:rFonts w:ascii="Arial" w:cs="Arial" w:eastAsia="Arial" w:hAnsi="Arial"/>
                <w:sz w:val="18"/>
                <w:szCs w:val="18"/>
                <w:color w:val="auto"/>
                <w:w w:val="87"/>
              </w:rPr>
              <w:t>13,816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11,397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494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center"/>
              <w:ind w:left="374"/>
              <w:spacing w:after="0"/>
              <w:rPr>
                <w:sz w:val="20"/>
                <w:szCs w:val="20"/>
                <w:color w:val="auto"/>
              </w:rPr>
            </w:pPr>
            <w:r>
              <w:rPr>
                <w:rFonts w:ascii="Arial" w:cs="Arial" w:eastAsia="Arial" w:hAnsi="Arial"/>
                <w:sz w:val="18"/>
                <w:szCs w:val="18"/>
                <w:color w:val="auto"/>
                <w:w w:val="87"/>
              </w:rPr>
              <w:t>51,702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54,088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2,267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Net cash provided by operating activities was $90.1 million for the 26 weeks ended June 27, 2020, compared to $39.7 million for the same period in fiscal 2019. The increase in net cash provided by operating activities for the 26 weeks ended June 27, 2020 compared to the same period in fiscal 2019 was primarily the result of increased net sales driven by comparable store sales and new store growth, partially offset by increased cost of sales and operating expenses, particularly IO commissions.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Net cash used in investing activities was $52.2 million for the 26 weeks ended June 27, 2020 compared to $44.5 million for the same period in fiscal 2019. The increase in net cash used in investing activities of $7.6 million for the 26 weeks ended June 27, 2020 compared to the same period in fiscal 2019 was primarily related to capital expenditures including the construction of newly opened stores and stores under development, partially offset by less cash advances to IOs. We had seven new store openings and one store relocation in the 26 weeks ended June 27, 2020 compared to eight new store openings in same period of fiscal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Net cash provided by financing activities was $13.8 million for the 26 weeks ended June 27, 2020 compared to $2.4 million for the same period in fiscal 2019. The increase in net cash provided by financing activities was primarily due to proceeds received from the exercise of share-based awards. This increase was partially offset by net proceeds from our IPO offset in part by the repayment of outstanding debt, both during the 26 weeks ended June 29, 2019.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27, 2020, we did not have any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There have been no material changes to our contractual obligations during the 26 weeks ended June 27, 2020 from those disclosed in our Annual Report on Form 10-K for the fiscal year ended December 28, 2019 filed with the </w:t>
      </w:r>
      <w:r>
        <w:rPr>
          <w:rFonts w:ascii="Arial" w:cs="Arial" w:eastAsia="Arial" w:hAnsi="Arial"/>
          <w:sz w:val="18"/>
          <w:szCs w:val="18"/>
          <w:color w:val="231F20"/>
        </w:rPr>
        <w:t>U.S. Securities and Exchange Commission (the “SEC”)</w:t>
      </w:r>
      <w:r>
        <w:rPr>
          <w:rFonts w:ascii="Arial" w:cs="Arial" w:eastAsia="Arial" w:hAnsi="Arial"/>
          <w:sz w:val="18"/>
          <w:szCs w:val="18"/>
          <w:color w:val="auto"/>
        </w:rPr>
        <w:t xml:space="preserve"> on March 25, 2020, except for the addition of operating lease right-of-use assets as discussed in Note 3 to the condensed consolidated financial statements included elsewhere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95"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(“GAAP”) and the applicable rules and regulations of the SEC for interim reporting.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There have been no material changes to our critical accounting policies and estimates during the 26 weeks ended June 27, 2020 from those disclosed in our Annual Report on Form 10-K for the fiscal year ended December 28, 2019 filed with the SEC on March 25, 2020, except for the adoption of ASU 2016-13 as discussed in Note 1 to the condensed consolidated financial statements included elsewhere in this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1 to the condensed consolidated financial statements included elsewhere in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operating results are subject to market risk from interest rate fluctuations on our credit facilities, which bear variable interest rates. As of June 27, 2020, our outstanding credit facilities included a $460.0 million term loan (the “Second Replacement Term Loan”). As of June 27, 2020, the interest rate on the Second Replacement Term Loan was 3.74% (See Note 4 to the condensed consolidated financial statements for additional information). Based on the outstanding balance and interest rate of our Second Replacement Term Loan as of June 27, 2020, a hypothetical 10% relative increase or decrease in the effective interest rate would cause an increase or decrease in interest expense of approximately $1.7 million over the next 12 months.</w:t>
      </w:r>
    </w:p>
    <w:p>
      <w:pPr>
        <w:spacing w:after="0" w:line="5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do not use derivative financial instruments for speculative or trading purposes, but this does not preclude our adoption of specific hedging strategies in the future.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evaluated the effectiveness of the design and operation of our disclosure controls and procedures pursuant to Rules 13a-15(e) and 15d-15(e) under the Exchange Act as of the end of the period covered by this report. Our disclosure controls are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disclosures.</w:t>
      </w:r>
    </w:p>
    <w:p>
      <w:pPr>
        <w:spacing w:after="0" w:line="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Based on that evaluation, our Chief Executive Officer and Chief Financial Officer have concluded that our disclosure controls and procedures were effective to accomplish their objectives at a reasonable assurance level as of June 27,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 xml:space="preserve">During the quarter ended June 27, 2020, there was no change in our internal control over financial reporting identified in connection with the evaluation required by Rules 13a-15(d) and 15d-15(d) of the Exchange Act that that has materially affected, or is reasonably likely to materially affect, our internal control over financial reporting. </w:t>
      </w:r>
      <w:r>
        <w:rPr>
          <w:rFonts w:ascii="Arial" w:cs="Arial" w:eastAsia="Arial" w:hAnsi="Arial"/>
          <w:sz w:val="17"/>
          <w:szCs w:val="17"/>
          <w:color w:val="212529"/>
        </w:rPr>
        <w:t>We have not experienced any material impact to our internal controls over financial reporting despite the fact that</w:t>
      </w:r>
      <w:r>
        <w:rPr>
          <w:rFonts w:ascii="Arial" w:cs="Arial" w:eastAsia="Arial" w:hAnsi="Arial"/>
          <w:sz w:val="17"/>
          <w:szCs w:val="17"/>
          <w:color w:val="auto"/>
        </w:rPr>
        <w:t xml:space="preserve"> </w:t>
      </w:r>
      <w:r>
        <w:rPr>
          <w:rFonts w:ascii="Arial" w:cs="Arial" w:eastAsia="Arial" w:hAnsi="Arial"/>
          <w:sz w:val="17"/>
          <w:szCs w:val="17"/>
          <w:color w:val="212529"/>
        </w:rPr>
        <w:t>most of our corporate employees are working remotely due to the COVID-19 pandemic. We are continually monitoring and assessing the impact of the COVID-19 situation on our internal controls in order to ensure their continued design and operating effectiveness.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From time to time, we may be party to litigation that arises in the ordinary course of our business. Management believes that we do not have any pending litigation that, separately or in the aggregate, would have a material adverse effect on our financial condition, results of operations or cash flows.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Except as described below, there have been no substantive changes or additions to the risk factors previously disclosed in our prospectus filed with the </w:t>
      </w:r>
      <w:r>
        <w:rPr>
          <w:rFonts w:ascii="Arial" w:cs="Arial" w:eastAsia="Arial" w:hAnsi="Arial"/>
          <w:sz w:val="18"/>
          <w:szCs w:val="18"/>
          <w:color w:val="231F20"/>
        </w:rPr>
        <w:t>U.S. Securities and Exchange Commission (the “SEC”)</w:t>
      </w:r>
      <w:r>
        <w:rPr>
          <w:rFonts w:ascii="Arial" w:cs="Arial" w:eastAsia="Arial" w:hAnsi="Arial"/>
          <w:sz w:val="18"/>
          <w:szCs w:val="18"/>
          <w:color w:val="auto"/>
        </w:rPr>
        <w:t xml:space="preserve"> on April 23, 2020, and any documents incorporated by reference therein, and our Quarterly Report on Form 10-Q filed with the SEC on May 12, 2020 that we believe are material to our business, financial condition, results of operations, cash flows or growth prospects.</w:t>
      </w:r>
    </w:p>
    <w:p>
      <w:pPr>
        <w:spacing w:after="0" w:line="75"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color w:val="auto"/>
        </w:rPr>
        <w:t>Major health epidemics, such as the outbreak caused by a coronavirus (COVID-19), and other outbreaks could disrupt and adversely affect our operations, financial condition and business.</w:t>
      </w:r>
    </w:p>
    <w:p>
      <w:pPr>
        <w:spacing w:after="0" w:line="5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United States and other countries have experienced, and may experience in the future, major health epidemics related to viruses or other pathogens. For example, the outbreak of COVID-19, a novel coronavirus, has been declared a global pandemic, and has continued to worsen in many parts of the United States. As a result, most states where we have a significant number of stores have declared a state of emergency, closed schools and non-essential businesses and enacted limitations on the number of people allowed to gather at one time in the same space. As COVID-19 has continued to spread and the situation has continued to evolve, there has been a surge of positive COVID-19 cases around the country during, and subsequent to, the second quarter of fiscal 2020 as shelter in place requirements have lapsed and other businesses have begun to reopen. We expect that our IOs may face staffing challenges so long as school and child care closures and COVID-19-related concerns exist.</w:t>
      </w:r>
    </w:p>
    <w:p>
      <w:pPr>
        <w:spacing w:after="0" w:line="69"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In addition, during the 26 weeks ended June 27, 2020, certain inventory items such as water, beans and bread as well as key cleaning supplies and protective equipment were, and may continue to be, in short supply. Supply for inventory, including opportunistic inventory, may be negatively impacted as overall demand for inventory has increased, which could negatively impact our margin. These factors could impact the ability of stores to operate normal hours of operation or have sufficient inventory at all times which may disrupt our business and negatively impact our financial results. Furthermore, we and our IOs have incurred, and will continue to incur, additional expenditures in connection with the spread of COVID-19 and legislation that has passed or may be passed in response to COVID-19, including but not limited to costs for supplies, additional employee benefits and/or premium pay, which may negatively affect our financial results. Further, for example, in the first quarter of fiscal 2020, California enacted by executive order changes to the state's worker compensation standards providing that employees who have to work outside of the home and who contract COVID-19 are presumed to have a workplace injury covered by the worker's compensation system. Our planned construction and opening of new stores may be negatively impacted due to state or county shelter in place requirements and the closure of government offices in certain areas which could negatively impact our financial results. A significant subset of our corporate employee population remains in a remote work environment in an effort to mitigate the spread of COVID-19, which may exacerbate certain risks to our business, including an increased risk of phishing and other cybersecurity attacks. In the event that an employee, IO, or IO employee tests positive for COVID-19, we have had to, and may in the future have to, temporarily close one or more stores, offices or distribution centers for cleaning and/or quarantine one or more employees, which could negatively impact our financial results. In the event that one or more of the employees of any of our suppliers, vendors, third party distributors or service providers tests positive for COVID-19, it may disrupt or limit product supply and vendor services which could have a negative impact on our financial results. In addition, if one of more of our employees, IOs, IOs’ employees or customers becomes ill from COVID-19 and attributes their exposure to such illness to us or one of our stores, we and/or our IOs could be subject to allegations of failure to adequately mitigate the risk of such exposure. Such allegations could harm our reputation and sales and expose us to the risks of litigation and liability. Many states are now increasing enforcement and COVID-19 compliance efforts through state OSHA or public health inspections. Such enforcement efforts could result in citations, additional requirements or temporary store closures which could negatively impact our financial results. The rapid development and fluidity of this situation precludes any prediction as to the ultimate adverse impact to us of COVID-19. We are continuing to monitor the spread of COVID-19 and related risks. The magnitude and duration of the pandemic and its impact on our business, results of operations, financial position, and cash flows are uncertain as this continues to evolve globally.</w:t>
      </w:r>
    </w:p>
    <w:p>
      <w:pPr>
        <w:spacing w:after="0" w:line="28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These epidemics, or the perception that such epidemics may occur, may cause people to avoid gathering in public places, which may adversely affect our customer traffic, our ability and that of our IOs to adequately staff our stores and operations, and our ability to transport product on a timely basis. Further, outbreaks of pathogens, such as COVID-19, may also impact our ability to access and ship product from impacted locations. To the extent that a pathogen is food-borne, or perceived to be food-borne, future outbreaks may adversely affect the price and availability of certain food products and cause our customers to eat less of such product.</w:t>
      </w:r>
    </w:p>
    <w:p>
      <w:pPr>
        <w:spacing w:after="0" w:line="8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Additionally, a prolonged widespread epidemic, or the perception that such an epidemic may occur, could adversely impact global economies and financial markets resulting in an economic downturn that may impact demand for our products. For example, during the COVID-19 pandemic, the United States has seen a significant increase in unemployment claims and other indications of a significant economic slowdown related to the COVID-19 pandemic. Such impacts could adversely affect our operations, profitability, cash flows and financial results. To the extent the COVID-19 pandemic adversely affects our business and financial results, it may also have the effect of heightening many of the other risks described in the Risk Factors section of our prospectus filed with the SEC on April 23, 2020, which are incorporated by reference herein, such as those relating to our substantial level of indebtedness, our need to generate sufficient cash flows to service our indebtedness and our ability to comply with the covenants contained in the agreements that govern our indebtedness.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table below sets forth information regarding our purchases of our common stock during the second fiscal quarter ended June 27, 2020:</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Approximate Dollar Value)</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0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8"/>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0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3"/>
              </w:rPr>
              <w:t>Shares Purchased</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1"/>
              </w:rPr>
              <w:t>Paid per Share</w:t>
            </w:r>
          </w:p>
        </w:tc>
        <w:tc>
          <w:tcPr>
            <w:tcW w:w="12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10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270"/>
        </w:trPr>
        <w:tc>
          <w:tcPr>
            <w:tcW w:w="4400" w:type="dxa"/>
            <w:vAlign w:val="bottom"/>
            <w:gridSpan w:val="2"/>
            <w:shd w:val="clear" w:color="auto" w:fill="CCEEFF"/>
          </w:tcPr>
          <w:p>
            <w:pPr>
              <w:ind w:left="20"/>
              <w:spacing w:after="0" w:line="269" w:lineRule="exact"/>
              <w:rPr>
                <w:sz w:val="20"/>
                <w:szCs w:val="20"/>
                <w:color w:val="auto"/>
              </w:rPr>
            </w:pPr>
            <w:r>
              <w:rPr>
                <w:rFonts w:ascii="Arial" w:cs="Arial" w:eastAsia="Arial" w:hAnsi="Arial"/>
                <w:sz w:val="18"/>
                <w:szCs w:val="18"/>
                <w:color w:val="auto"/>
              </w:rPr>
              <w:t xml:space="preserve">March 29, 2020—April 25, 2020 </w:t>
            </w:r>
            <w:r>
              <w:rPr>
                <w:rFonts w:ascii="Arial" w:cs="Arial" w:eastAsia="Arial" w:hAnsi="Arial"/>
                <w:sz w:val="28"/>
                <w:szCs w:val="28"/>
                <w:color w:val="auto"/>
                <w:vertAlign w:val="superscript"/>
              </w:rPr>
              <w:t>(1)</w:t>
            </w:r>
          </w:p>
        </w:tc>
        <w:tc>
          <w:tcPr>
            <w:tcW w:w="1220" w:type="dxa"/>
            <w:vAlign w:val="bottom"/>
            <w:shd w:val="clear" w:color="auto" w:fill="CCEEFF"/>
          </w:tcPr>
          <w:p>
            <w:pPr>
              <w:jc w:val="center"/>
              <w:ind w:left="676"/>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6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April 26, 2020—May 30, 2020 </w:t>
            </w:r>
            <w:r>
              <w:rPr>
                <w:rFonts w:ascii="Arial" w:cs="Arial" w:eastAsia="Arial" w:hAnsi="Arial"/>
                <w:sz w:val="28"/>
                <w:szCs w:val="28"/>
                <w:color w:val="auto"/>
                <w:vertAlign w:val="superscript"/>
              </w:rPr>
              <w:t>(1)</w:t>
            </w:r>
          </w:p>
        </w:tc>
        <w:tc>
          <w:tcPr>
            <w:tcW w:w="1220" w:type="dxa"/>
            <w:vAlign w:val="bottom"/>
          </w:tcPr>
          <w:p>
            <w:pPr>
              <w:jc w:val="center"/>
              <w:ind w:left="676"/>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00" w:type="dxa"/>
            <w:vAlign w:val="bottom"/>
          </w:tcPr>
          <w:p>
            <w:pPr>
              <w:ind w:left="1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260" w:type="dxa"/>
            <w:vAlign w:val="bottom"/>
          </w:tcPr>
          <w:p>
            <w:pPr>
              <w:ind w:left="1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May 31, 2020—June 27, 2020 </w:t>
            </w:r>
            <w:r>
              <w:rPr>
                <w:rFonts w:ascii="Arial" w:cs="Arial" w:eastAsia="Arial" w:hAnsi="Arial"/>
                <w:sz w:val="28"/>
                <w:szCs w:val="28"/>
                <w:color w:val="auto"/>
                <w:vertAlign w:val="superscript"/>
              </w:rPr>
              <w:t>(1)</w:t>
            </w:r>
          </w:p>
        </w:tc>
        <w:tc>
          <w:tcPr>
            <w:tcW w:w="1220" w:type="dxa"/>
            <w:vAlign w:val="bottom"/>
            <w:tcBorders>
              <w:bottom w:val="single" w:sz="8" w:color="auto"/>
            </w:tcBorders>
            <w:shd w:val="clear" w:color="auto" w:fill="CCEEFF"/>
          </w:tcPr>
          <w:p>
            <w:pPr>
              <w:jc w:val="center"/>
              <w:ind w:left="616"/>
              <w:spacing w:after="0"/>
              <w:rPr>
                <w:sz w:val="20"/>
                <w:szCs w:val="20"/>
                <w:color w:val="auto"/>
              </w:rPr>
            </w:pPr>
            <w:r>
              <w:rPr>
                <w:rFonts w:ascii="Arial" w:cs="Arial" w:eastAsia="Arial" w:hAnsi="Arial"/>
                <w:sz w:val="18"/>
                <w:szCs w:val="18"/>
                <w:color w:val="auto"/>
                <w:w w:val="87"/>
              </w:rPr>
              <w:t>13,897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34.81</w:t>
            </w:r>
          </w:p>
        </w:tc>
        <w:tc>
          <w:tcPr>
            <w:tcW w:w="120" w:type="dxa"/>
            <w:vAlign w:val="bottom"/>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6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4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center"/>
              <w:ind w:left="616"/>
              <w:spacing w:after="0"/>
              <w:rPr>
                <w:sz w:val="20"/>
                <w:szCs w:val="20"/>
                <w:color w:val="auto"/>
              </w:rPr>
            </w:pPr>
            <w:r>
              <w:rPr>
                <w:rFonts w:ascii="Arial" w:cs="Arial" w:eastAsia="Arial" w:hAnsi="Arial"/>
                <w:sz w:val="18"/>
                <w:szCs w:val="18"/>
                <w:color w:val="auto"/>
                <w:w w:val="87"/>
              </w:rPr>
              <w:t>13,897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both"/>
        <w:ind w:left="500" w:hanging="492"/>
        <w:spacing w:after="0" w:line="261"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second fiscal quarter ended June 27, 2020, we withheld 13,897 shares of our common stock (with a weighted average share price of $34.81) from employees to satisfy minimum tax withholding obligations relating to the vesting of restricted stock units. These shares were not acquired as part of a publicly announced share repurchase plan or program.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Exhibit No.</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20" w:type="dxa"/>
            <w:vAlign w:val="bottom"/>
            <w:gridSpan w:val="11"/>
          </w:tcPr>
          <w:p>
            <w:pPr>
              <w:ind w:left="580"/>
              <w:spacing w:after="0"/>
              <w:rPr>
                <w:sz w:val="20"/>
                <w:szCs w:val="20"/>
                <w:color w:val="auto"/>
              </w:rPr>
            </w:pPr>
            <w:r>
              <w:rPr>
                <w:rFonts w:ascii="Arial" w:cs="Arial" w:eastAsia="Arial" w:hAnsi="Arial"/>
                <w:sz w:val="16"/>
                <w:szCs w:val="16"/>
                <w:b w:val="1"/>
                <w:bCs w:val="1"/>
                <w:color w:val="auto"/>
              </w:rPr>
              <w:t>Exhibit</w:t>
            </w:r>
          </w:p>
        </w:tc>
      </w:tr>
      <w:tr>
        <w:trPr>
          <w:trHeight w:val="33"/>
        </w:trPr>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960" w:type="dxa"/>
            <w:vAlign w:val="bottom"/>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60" w:type="dxa"/>
            <w:vAlign w:val="bottom"/>
            <w:gridSpan w:val="15"/>
          </w:tcPr>
          <w:p>
            <w:pPr>
              <w:spacing w:after="0" w:line="169" w:lineRule="exact"/>
              <w:rPr>
                <w:rFonts w:ascii="Arial" w:cs="Arial" w:eastAsia="Arial" w:hAnsi="Arial"/>
                <w:sz w:val="18"/>
                <w:szCs w:val="18"/>
                <w:color w:val="0000FF"/>
                <w:w w:val="98"/>
              </w:rPr>
            </w:pPr>
            <w:hyperlink r:id="rId73">
              <w:r>
                <w:rPr>
                  <w:rFonts w:ascii="Arial" w:cs="Arial" w:eastAsia="Arial" w:hAnsi="Arial"/>
                  <w:sz w:val="18"/>
                  <w:szCs w:val="18"/>
                  <w:color w:val="0000FF"/>
                  <w:w w:val="98"/>
                </w:rPr>
                <w:t>Amended and Restated Certificate of Incorporation of Grocery Outlet Holding</w:t>
              </w:r>
            </w:hyperlink>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Corp.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60" w:type="dxa"/>
            <w:vAlign w:val="bottom"/>
            <w:gridSpan w:val="15"/>
          </w:tcPr>
          <w:p>
            <w:pPr>
              <w:spacing w:after="0"/>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Amended and Restated Bylaws of Grocery Outlet Holding Corp.</w:t>
              </w:r>
            </w:hyperlink>
          </w:p>
        </w:tc>
      </w:tr>
      <w:tr>
        <w:trPr>
          <w:trHeight w:val="216"/>
        </w:trPr>
        <w:tc>
          <w:tcPr>
            <w:tcW w:w="10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88"/>
              </w:rPr>
              <w:t>10.1†</w:t>
            </w:r>
          </w:p>
        </w:tc>
        <w:tc>
          <w:tcPr>
            <w:tcW w:w="20" w:type="dxa"/>
            <w:vAlign w:val="bottom"/>
          </w:tcPr>
          <w:p>
            <w:pPr>
              <w:spacing w:after="0"/>
              <w:rPr>
                <w:sz w:val="18"/>
                <w:szCs w:val="18"/>
                <w:color w:val="auto"/>
              </w:rPr>
            </w:pPr>
          </w:p>
        </w:tc>
        <w:tc>
          <w:tcPr>
            <w:tcW w:w="6060" w:type="dxa"/>
            <w:vAlign w:val="bottom"/>
            <w:gridSpan w:val="15"/>
          </w:tcPr>
          <w:p>
            <w:pPr>
              <w:spacing w:after="0" w:line="196" w:lineRule="exact"/>
              <w:rPr>
                <w:rFonts w:ascii="Arial" w:cs="Arial" w:eastAsia="Arial" w:hAnsi="Arial"/>
                <w:sz w:val="18"/>
                <w:szCs w:val="18"/>
                <w:color w:val="0000FF"/>
                <w:w w:val="95"/>
              </w:rPr>
            </w:pPr>
            <w:hyperlink r:id="rId75">
              <w:r>
                <w:rPr>
                  <w:rFonts w:ascii="Arial" w:cs="Arial" w:eastAsia="Arial" w:hAnsi="Arial"/>
                  <w:sz w:val="18"/>
                  <w:szCs w:val="18"/>
                  <w:color w:val="0000FF"/>
                  <w:w w:val="95"/>
                </w:rPr>
                <w:t>Form of Performance Stock Unit Grant and Agreement (Grocery Outlet Holding</w:t>
              </w:r>
            </w:hyperlink>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 xml:space="preserve">Corp. 2019 Incentive </w:t>
              </w:r>
              <w:r>
                <w:rPr>
                  <w:rFonts w:ascii="Arial" w:cs="Arial" w:eastAsia="Arial" w:hAnsi="Arial"/>
                  <w:sz w:val="18"/>
                  <w:szCs w:val="18"/>
                  <w:u w:val="single" w:color="auto"/>
                  <w:color w:val="0000FF"/>
                </w:rPr>
                <w:t>Plan)</w:t>
              </w:r>
            </w:hyperlink>
          </w:p>
        </w:tc>
        <w:tc>
          <w:tcPr>
            <w:tcW w:w="20" w:type="dxa"/>
            <w:vAlign w:val="bottom"/>
          </w:tcPr>
          <w:p>
            <w:pPr>
              <w:spacing w:after="0"/>
              <w:rPr>
                <w:sz w:val="13"/>
                <w:szCs w:val="13"/>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0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88"/>
              </w:rPr>
              <w:t>10.2†</w:t>
            </w:r>
          </w:p>
        </w:tc>
        <w:tc>
          <w:tcPr>
            <w:tcW w:w="20" w:type="dxa"/>
            <w:vAlign w:val="bottom"/>
          </w:tcPr>
          <w:p>
            <w:pPr>
              <w:spacing w:after="0"/>
              <w:rPr>
                <w:sz w:val="18"/>
                <w:szCs w:val="18"/>
                <w:color w:val="auto"/>
              </w:rPr>
            </w:pPr>
          </w:p>
        </w:tc>
        <w:tc>
          <w:tcPr>
            <w:tcW w:w="6060" w:type="dxa"/>
            <w:vAlign w:val="bottom"/>
            <w:gridSpan w:val="15"/>
          </w:tcPr>
          <w:p>
            <w:pPr>
              <w:spacing w:after="0" w:line="196" w:lineRule="exact"/>
              <w:rPr>
                <w:rFonts w:ascii="Arial" w:cs="Arial" w:eastAsia="Arial" w:hAnsi="Arial"/>
                <w:sz w:val="18"/>
                <w:szCs w:val="18"/>
                <w:color w:val="0000FF"/>
                <w:w w:val="99"/>
              </w:rPr>
            </w:pPr>
            <w:hyperlink r:id="rId76">
              <w:r>
                <w:rPr>
                  <w:rFonts w:ascii="Arial" w:cs="Arial" w:eastAsia="Arial" w:hAnsi="Arial"/>
                  <w:sz w:val="18"/>
                  <w:szCs w:val="18"/>
                  <w:color w:val="0000FF"/>
                  <w:w w:val="99"/>
                </w:rPr>
                <w:t>Form of Restricted Stock Unit Grant and Agreement (Grocery Outlet Holding</w:t>
              </w:r>
            </w:hyperlink>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 xml:space="preserve">Corp. 2019 Incentive </w:t>
              </w:r>
              <w:r>
                <w:rPr>
                  <w:rFonts w:ascii="Arial" w:cs="Arial" w:eastAsia="Arial" w:hAnsi="Arial"/>
                  <w:sz w:val="18"/>
                  <w:szCs w:val="18"/>
                  <w:u w:val="single" w:color="auto"/>
                  <w:color w:val="0000FF"/>
                </w:rPr>
                <w:t>Plan)</w:t>
              </w:r>
            </w:hyperlink>
          </w:p>
        </w:tc>
        <w:tc>
          <w:tcPr>
            <w:tcW w:w="40" w:type="dxa"/>
            <w:vAlign w:val="bottom"/>
            <w:gridSpan w:val="2"/>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60" w:type="dxa"/>
            <w:vAlign w:val="bottom"/>
            <w:gridSpan w:val="15"/>
          </w:tcPr>
          <w:p>
            <w:pPr>
              <w:spacing w:after="0" w:line="196" w:lineRule="exact"/>
              <w:rPr>
                <w:rFonts w:ascii="Arial" w:cs="Arial" w:eastAsia="Arial" w:hAnsi="Arial"/>
                <w:sz w:val="18"/>
                <w:szCs w:val="18"/>
                <w:color w:val="0000FF"/>
                <w:w w:val="96"/>
              </w:rPr>
            </w:pPr>
            <w:hyperlink r:id="rId77">
              <w:r>
                <w:rPr>
                  <w:rFonts w:ascii="Arial" w:cs="Arial" w:eastAsia="Arial" w:hAnsi="Arial"/>
                  <w:sz w:val="18"/>
                  <w:szCs w:val="18"/>
                  <w:color w:val="0000FF"/>
                  <w:w w:val="96"/>
                </w:rPr>
                <w:t>Aircraft Lease Agreement, dated as of April 15, 2020, by and between Grocery</w:t>
              </w:r>
            </w:hyperlink>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4"/>
              </w:rPr>
            </w:pPr>
            <w:hyperlink r:id="rId77">
              <w:r>
                <w:rPr>
                  <w:rFonts w:ascii="Arial" w:cs="Arial" w:eastAsia="Arial" w:hAnsi="Arial"/>
                  <w:sz w:val="18"/>
                  <w:szCs w:val="18"/>
                  <w:color w:val="0000FF"/>
                  <w:w w:val="94"/>
                </w:rPr>
                <w:t>Outlet, Inc. and GO Air, LLC</w:t>
              </w:r>
            </w:hyperlink>
          </w:p>
        </w:tc>
        <w:tc>
          <w:tcPr>
            <w:tcW w:w="386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9"/>
        </w:trPr>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60" w:type="dxa"/>
            <w:vAlign w:val="bottom"/>
            <w:gridSpan w:val="15"/>
          </w:tcPr>
          <w:p>
            <w:pPr>
              <w:spacing w:after="0" w:line="196" w:lineRule="exact"/>
              <w:rPr>
                <w:rFonts w:ascii="Arial" w:cs="Arial" w:eastAsia="Arial" w:hAnsi="Arial"/>
                <w:sz w:val="18"/>
                <w:szCs w:val="18"/>
                <w:color w:val="0000FF"/>
                <w:w w:val="95"/>
              </w:rPr>
            </w:pPr>
            <w:hyperlink w:anchor="page46">
              <w:r>
                <w:rPr>
                  <w:rFonts w:ascii="Arial" w:cs="Arial" w:eastAsia="Arial" w:hAnsi="Arial"/>
                  <w:sz w:val="18"/>
                  <w:szCs w:val="18"/>
                  <w:color w:val="0000FF"/>
                  <w:w w:val="95"/>
                </w:rPr>
                <w:t>Certification of Principal Executive Officer pursuant to Exchange Act Rules 13a-</w:t>
              </w:r>
            </w:hyperlink>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tcBorders>
            <w:gridSpan w:val="8"/>
          </w:tcPr>
          <w:p>
            <w:pPr>
              <w:spacing w:after="0" w:line="156" w:lineRule="exact"/>
              <w:rPr>
                <w:rFonts w:ascii="Arial" w:cs="Arial" w:eastAsia="Arial" w:hAnsi="Arial"/>
                <w:sz w:val="18"/>
                <w:szCs w:val="18"/>
                <w:color w:val="0000FF"/>
                <w:w w:val="91"/>
              </w:rPr>
            </w:pPr>
            <w:hyperlink w:anchor="page46">
              <w:r>
                <w:rPr>
                  <w:rFonts w:ascii="Arial" w:cs="Arial" w:eastAsia="Arial" w:hAnsi="Arial"/>
                  <w:sz w:val="18"/>
                  <w:szCs w:val="18"/>
                  <w:color w:val="0000FF"/>
                  <w:w w:val="91"/>
                </w:rPr>
                <w:t>14(a) and 15d-14(a), as adopted pursuant to Section 302 of the Sarbanes-Oxley</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w:anchor="page46">
              <w:r>
                <w:rPr>
                  <w:rFonts w:ascii="Arial" w:cs="Arial" w:eastAsia="Arial" w:hAnsi="Arial"/>
                  <w:sz w:val="18"/>
                  <w:szCs w:val="18"/>
                  <w:color w:val="0000FF"/>
                  <w:w w:val="92"/>
                </w:rPr>
                <w:t>Act of 2002</w:t>
              </w:r>
            </w:hyperlink>
          </w:p>
        </w:tc>
        <w:tc>
          <w:tcPr>
            <w:tcW w:w="4840" w:type="dxa"/>
            <w:vAlign w:val="bottom"/>
            <w:tcBorders>
              <w:top w:val="single" w:sz="8" w:color="0000FF"/>
            </w:tcBorders>
            <w:gridSpan w:val="4"/>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10"/>
        </w:trPr>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60" w:type="dxa"/>
            <w:vAlign w:val="bottom"/>
            <w:gridSpan w:val="15"/>
          </w:tcPr>
          <w:p>
            <w:pPr>
              <w:spacing w:after="0" w:line="196" w:lineRule="exact"/>
              <w:rPr>
                <w:rFonts w:ascii="Arial" w:cs="Arial" w:eastAsia="Arial" w:hAnsi="Arial"/>
                <w:sz w:val="18"/>
                <w:szCs w:val="18"/>
                <w:color w:val="0000FF"/>
                <w:w w:val="96"/>
              </w:rPr>
            </w:pPr>
            <w:hyperlink w:anchor="page47">
              <w:r>
                <w:rPr>
                  <w:rFonts w:ascii="Arial" w:cs="Arial" w:eastAsia="Arial" w:hAnsi="Arial"/>
                  <w:sz w:val="18"/>
                  <w:szCs w:val="18"/>
                  <w:color w:val="0000FF"/>
                  <w:w w:val="96"/>
                </w:rPr>
                <w:t>Certification of Principal Financial Officer pursuant to Exchange Act Rules 13a-</w:t>
              </w:r>
            </w:hyperlink>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7"/>
          </w:tcPr>
          <w:p>
            <w:pPr>
              <w:spacing w:after="0" w:line="156"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14(a) and 15d-14(a), as adopted pursuant to Section 302 of the Sarbanes-Oxley</w:t>
              </w:r>
            </w:hyperlink>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w:anchor="page47">
              <w:r>
                <w:rPr>
                  <w:rFonts w:ascii="Arial" w:cs="Arial" w:eastAsia="Arial" w:hAnsi="Arial"/>
                  <w:sz w:val="18"/>
                  <w:szCs w:val="18"/>
                  <w:color w:val="0000FF"/>
                  <w:w w:val="92"/>
                </w:rPr>
                <w:t>Act of 2002</w:t>
              </w:r>
            </w:hyperlink>
          </w:p>
        </w:tc>
        <w:tc>
          <w:tcPr>
            <w:tcW w:w="4840" w:type="dxa"/>
            <w:vAlign w:val="bottom"/>
            <w:tcBorders>
              <w:top w:val="single" w:sz="8" w:color="0000FF"/>
            </w:tcBorders>
            <w:gridSpan w:val="4"/>
          </w:tcPr>
          <w:p>
            <w:pPr>
              <w:spacing w:after="0"/>
              <w:rPr>
                <w:sz w:val="13"/>
                <w:szCs w:val="13"/>
                <w:color w:val="auto"/>
              </w:rPr>
            </w:pPr>
          </w:p>
        </w:tc>
        <w:tc>
          <w:tcPr>
            <w:tcW w:w="2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9"/>
        </w:trPr>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97"/>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60" w:type="dxa"/>
            <w:vAlign w:val="bottom"/>
            <w:gridSpan w:val="15"/>
          </w:tcPr>
          <w:p>
            <w:pPr>
              <w:spacing w:after="0" w:line="196" w:lineRule="exact"/>
              <w:rPr>
                <w:rFonts w:ascii="Arial" w:cs="Arial" w:eastAsia="Arial" w:hAnsi="Arial"/>
                <w:sz w:val="18"/>
                <w:szCs w:val="18"/>
                <w:color w:val="0000FF"/>
                <w:w w:val="93"/>
              </w:rPr>
            </w:pPr>
            <w:hyperlink w:anchor="page48">
              <w:r>
                <w:rPr>
                  <w:rFonts w:ascii="Arial" w:cs="Arial" w:eastAsia="Arial" w:hAnsi="Arial"/>
                  <w:sz w:val="18"/>
                  <w:szCs w:val="18"/>
                  <w:color w:val="0000FF"/>
                  <w:w w:val="93"/>
                </w:rPr>
                <w:t>Certification of Principal Executive Officer pursuant to 18 U.S.C. Section 1350, as</w:t>
              </w:r>
            </w:hyperlink>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adopted pursuant to Section 906 of the Sarbanes-Oxley Act of 2002</w:t>
              </w:r>
            </w:hyperlink>
          </w:p>
        </w:tc>
        <w:tc>
          <w:tcPr>
            <w:tcW w:w="1080" w:type="dxa"/>
            <w:vAlign w:val="bottom"/>
            <w:tcBorders>
              <w:top w:val="single" w:sz="8" w:color="0000FF"/>
            </w:tcBorders>
            <w:gridSpan w:val="5"/>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10"/>
        </w:trPr>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97"/>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60" w:type="dxa"/>
            <w:vAlign w:val="bottom"/>
            <w:gridSpan w:val="15"/>
          </w:tcPr>
          <w:p>
            <w:pPr>
              <w:spacing w:after="0" w:line="196" w:lineRule="exact"/>
              <w:rPr>
                <w:rFonts w:ascii="Arial" w:cs="Arial" w:eastAsia="Arial" w:hAnsi="Arial"/>
                <w:sz w:val="18"/>
                <w:szCs w:val="18"/>
                <w:color w:val="0000FF"/>
                <w:w w:val="94"/>
              </w:rPr>
            </w:pPr>
            <w:hyperlink w:anchor="page49">
              <w:r>
                <w:rPr>
                  <w:rFonts w:ascii="Arial" w:cs="Arial" w:eastAsia="Arial" w:hAnsi="Arial"/>
                  <w:sz w:val="18"/>
                  <w:szCs w:val="18"/>
                  <w:color w:val="0000FF"/>
                  <w:w w:val="94"/>
                </w:rPr>
                <w:t>Certification of Principal Financial Officer pursuant to 18 U.S.C. Section 1350, as</w:t>
              </w:r>
            </w:hyperlink>
          </w:p>
        </w:tc>
      </w:tr>
      <w:tr>
        <w:trPr>
          <w:trHeight w:val="209"/>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00" w:type="dxa"/>
            <w:vAlign w:val="bottom"/>
            <w:tcBorders>
              <w:top w:val="single" w:sz="8" w:color="0000FF"/>
            </w:tcBorders>
            <w:gridSpan w:val="9"/>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adopted pursuant to Section 906 of the Sarbanes-Oxley Act of 2002</w:t>
              </w:r>
            </w:hyperlink>
          </w:p>
        </w:tc>
        <w:tc>
          <w:tcPr>
            <w:tcW w:w="160" w:type="dxa"/>
            <w:vAlign w:val="bottom"/>
            <w:gridSpan w:val="6"/>
          </w:tcPr>
          <w:p>
            <w:pPr>
              <w:spacing w:after="0"/>
              <w:rPr>
                <w:sz w:val="18"/>
                <w:szCs w:val="18"/>
                <w:color w:val="auto"/>
              </w:rPr>
            </w:pPr>
          </w:p>
        </w:tc>
      </w:tr>
      <w:tr>
        <w:trPr>
          <w:trHeight w:val="216"/>
        </w:trPr>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18"/>
                <w:szCs w:val="18"/>
                <w:color w:val="auto"/>
              </w:rPr>
            </w:pPr>
          </w:p>
        </w:tc>
        <w:tc>
          <w:tcPr>
            <w:tcW w:w="6060" w:type="dxa"/>
            <w:vAlign w:val="bottom"/>
            <w:gridSpan w:val="15"/>
          </w:tcPr>
          <w:p>
            <w:pPr>
              <w:spacing w:after="0"/>
              <w:rPr>
                <w:sz w:val="20"/>
                <w:szCs w:val="20"/>
                <w:color w:val="auto"/>
              </w:rPr>
            </w:pPr>
            <w:r>
              <w:rPr>
                <w:rFonts w:ascii="Arial" w:cs="Arial" w:eastAsia="Arial" w:hAnsi="Arial"/>
                <w:sz w:val="18"/>
                <w:szCs w:val="18"/>
                <w:color w:val="auto"/>
                <w:w w:val="94"/>
              </w:rPr>
              <w:t>Inline XBRL Instance Document - the instance document does not appear in the</w:t>
            </w:r>
          </w:p>
        </w:tc>
      </w:tr>
      <w:tr>
        <w:trPr>
          <w:trHeight w:val="216"/>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60" w:type="dxa"/>
            <w:vAlign w:val="bottom"/>
            <w:gridSpan w:val="15"/>
          </w:tcPr>
          <w:p>
            <w:pPr>
              <w:spacing w:after="0"/>
              <w:rPr>
                <w:sz w:val="20"/>
                <w:szCs w:val="20"/>
                <w:color w:val="auto"/>
              </w:rPr>
            </w:pPr>
            <w:r>
              <w:rPr>
                <w:rFonts w:ascii="Arial" w:cs="Arial" w:eastAsia="Arial" w:hAnsi="Arial"/>
                <w:sz w:val="18"/>
                <w:szCs w:val="18"/>
                <w:color w:val="auto"/>
              </w:rPr>
              <w:t>Interactive Data File because its XBRL tags are embedded within the Inline</w:t>
            </w:r>
          </w:p>
        </w:tc>
      </w:tr>
      <w:tr>
        <w:trPr>
          <w:trHeight w:val="230"/>
        </w:trPr>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60" w:type="dxa"/>
            <w:vAlign w:val="bottom"/>
            <w:gridSpan w:val="15"/>
          </w:tcPr>
          <w:p>
            <w:pPr>
              <w:spacing w:after="0"/>
              <w:rPr>
                <w:sz w:val="20"/>
                <w:szCs w:val="20"/>
                <w:color w:val="auto"/>
              </w:rPr>
            </w:pPr>
            <w:r>
              <w:rPr>
                <w:rFonts w:ascii="Arial" w:cs="Arial" w:eastAsia="Arial" w:hAnsi="Arial"/>
                <w:sz w:val="18"/>
                <w:szCs w:val="18"/>
                <w:color w:val="auto"/>
              </w:rPr>
              <w:t>XBRL document.</w:t>
            </w:r>
          </w:p>
        </w:tc>
      </w:tr>
      <w:tr>
        <w:trPr>
          <w:trHeight w:val="270"/>
        </w:trPr>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101.SCH</w:t>
            </w:r>
          </w:p>
        </w:tc>
        <w:tc>
          <w:tcPr>
            <w:tcW w:w="20" w:type="dxa"/>
            <w:vAlign w:val="bottom"/>
          </w:tcPr>
          <w:p>
            <w:pPr>
              <w:spacing w:after="0"/>
              <w:rPr>
                <w:sz w:val="23"/>
                <w:szCs w:val="23"/>
                <w:color w:val="auto"/>
              </w:rPr>
            </w:pPr>
          </w:p>
        </w:tc>
        <w:tc>
          <w:tcPr>
            <w:tcW w:w="606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3"/>
                <w:szCs w:val="23"/>
                <w:color w:val="auto"/>
              </w:rPr>
            </w:pPr>
          </w:p>
        </w:tc>
        <w:tc>
          <w:tcPr>
            <w:tcW w:w="6060" w:type="dxa"/>
            <w:vAlign w:val="bottom"/>
            <w:gridSpan w:val="15"/>
          </w:tcPr>
          <w:p>
            <w:pPr>
              <w:spacing w:after="0"/>
              <w:rPr>
                <w:sz w:val="20"/>
                <w:szCs w:val="20"/>
                <w:color w:val="auto"/>
              </w:rPr>
            </w:pPr>
            <w:r>
              <w:rPr>
                <w:rFonts w:ascii="Arial" w:cs="Arial" w:eastAsia="Arial" w:hAnsi="Arial"/>
                <w:sz w:val="18"/>
                <w:szCs w:val="18"/>
                <w:color w:val="auto"/>
              </w:rPr>
              <w:t>Inline XBRL Extension Calculation Linkbase Document</w:t>
            </w:r>
          </w:p>
        </w:tc>
      </w:tr>
      <w:tr>
        <w:trPr>
          <w:trHeight w:val="270"/>
        </w:trPr>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101.DEF</w:t>
            </w:r>
          </w:p>
        </w:tc>
        <w:tc>
          <w:tcPr>
            <w:tcW w:w="20" w:type="dxa"/>
            <w:vAlign w:val="bottom"/>
          </w:tcPr>
          <w:p>
            <w:pPr>
              <w:spacing w:after="0"/>
              <w:rPr>
                <w:sz w:val="23"/>
                <w:szCs w:val="23"/>
                <w:color w:val="auto"/>
              </w:rPr>
            </w:pPr>
          </w:p>
        </w:tc>
        <w:tc>
          <w:tcPr>
            <w:tcW w:w="6060" w:type="dxa"/>
            <w:vAlign w:val="bottom"/>
            <w:gridSpan w:val="15"/>
          </w:tcPr>
          <w:p>
            <w:pPr>
              <w:spacing w:after="0"/>
              <w:rPr>
                <w:sz w:val="20"/>
                <w:szCs w:val="20"/>
                <w:color w:val="auto"/>
              </w:rPr>
            </w:pPr>
            <w:r>
              <w:rPr>
                <w:rFonts w:ascii="Arial" w:cs="Arial" w:eastAsia="Arial" w:hAnsi="Arial"/>
                <w:sz w:val="18"/>
                <w:szCs w:val="18"/>
                <w:color w:val="auto"/>
              </w:rPr>
              <w:t>Inline XBRL Extension Definition Linkbase Document</w:t>
            </w:r>
          </w:p>
        </w:tc>
      </w:tr>
      <w:tr>
        <w:trPr>
          <w:trHeight w:val="270"/>
        </w:trPr>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3"/>
                <w:szCs w:val="23"/>
                <w:color w:val="auto"/>
              </w:rPr>
            </w:pPr>
          </w:p>
        </w:tc>
        <w:tc>
          <w:tcPr>
            <w:tcW w:w="6060" w:type="dxa"/>
            <w:vAlign w:val="bottom"/>
            <w:gridSpan w:val="15"/>
          </w:tcPr>
          <w:p>
            <w:pPr>
              <w:spacing w:after="0"/>
              <w:rPr>
                <w:sz w:val="20"/>
                <w:szCs w:val="20"/>
                <w:color w:val="auto"/>
              </w:rPr>
            </w:pPr>
            <w:r>
              <w:rPr>
                <w:rFonts w:ascii="Arial" w:cs="Arial" w:eastAsia="Arial" w:hAnsi="Arial"/>
                <w:sz w:val="18"/>
                <w:szCs w:val="18"/>
                <w:color w:val="auto"/>
              </w:rPr>
              <w:t>Inline XBRL Extension Label Linkbase Document</w:t>
            </w:r>
          </w:p>
        </w:tc>
      </w:tr>
      <w:tr>
        <w:trPr>
          <w:trHeight w:val="270"/>
        </w:trPr>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3"/>
                <w:szCs w:val="23"/>
                <w:color w:val="auto"/>
              </w:rPr>
            </w:pPr>
          </w:p>
        </w:tc>
        <w:tc>
          <w:tcPr>
            <w:tcW w:w="6060" w:type="dxa"/>
            <w:vAlign w:val="bottom"/>
            <w:gridSpan w:val="15"/>
          </w:tcPr>
          <w:p>
            <w:pPr>
              <w:spacing w:after="0"/>
              <w:rPr>
                <w:sz w:val="20"/>
                <w:szCs w:val="20"/>
                <w:color w:val="auto"/>
              </w:rPr>
            </w:pPr>
            <w:r>
              <w:rPr>
                <w:rFonts w:ascii="Arial" w:cs="Arial" w:eastAsia="Arial" w:hAnsi="Arial"/>
                <w:sz w:val="18"/>
                <w:szCs w:val="18"/>
                <w:color w:val="auto"/>
              </w:rPr>
              <w:t>Inline XBRL Extension Presentation Linkbase Document</w:t>
            </w:r>
          </w:p>
        </w:tc>
      </w:tr>
    </w:tbl>
    <w:p>
      <w:pPr>
        <w:spacing w:after="0" w:line="40" w:lineRule="exact"/>
        <w:rPr>
          <w:sz w:val="20"/>
          <w:szCs w:val="20"/>
          <w:color w:val="auto"/>
        </w:rPr>
      </w:pPr>
    </w:p>
    <w:p>
      <w:pPr>
        <w:jc w:val="both"/>
        <w:ind w:left="1080" w:right="20" w:hanging="735"/>
        <w:spacing w:after="0" w:line="291"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Cover Page Interactive Data File - the cover page interactive data file does not appear in the Interactive Data File because its XBRL tags are embedded within the</w:t>
      </w:r>
    </w:p>
    <w:p>
      <w:pPr>
        <w:ind w:left="1080"/>
        <w:spacing w:after="0"/>
        <w:rPr>
          <w:sz w:val="20"/>
          <w:szCs w:val="20"/>
          <w:color w:val="auto"/>
        </w:rPr>
      </w:pPr>
      <w:r>
        <w:rPr>
          <w:rFonts w:ascii="Arial" w:cs="Arial" w:eastAsia="Arial" w:hAnsi="Arial"/>
          <w:sz w:val="18"/>
          <w:szCs w:val="18"/>
          <w:color w:val="auto"/>
        </w:rPr>
        <w:t>Inline XBRL document.</w:t>
      </w:r>
    </w:p>
    <w:p>
      <w:pPr>
        <w:spacing w:after="0" w:line="101"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wp:posOffset>
            </wp:positionV>
            <wp:extent cx="25800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File</w:t>
            </w: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Filing</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3"/>
              </w:rPr>
              <w:t>Exhibit</w:t>
            </w:r>
          </w:p>
        </w:tc>
      </w:tr>
      <w:tr>
        <w:trPr>
          <w:trHeight w:val="210"/>
        </w:trPr>
        <w:tc>
          <w:tcPr>
            <w:tcW w:w="7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Form</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No.</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Date</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2"/>
              </w:rPr>
              <w:t>No.</w:t>
            </w:r>
          </w:p>
        </w:tc>
      </w:tr>
      <w:tr>
        <w:trPr>
          <w:trHeight w:val="33"/>
        </w:trPr>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S-8</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333-232318</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6/24/2019</w:t>
            </w: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4.1</w:t>
            </w:r>
          </w:p>
        </w:tc>
      </w:tr>
      <w:tr>
        <w:trPr>
          <w:trHeight w:val="405"/>
        </w:trPr>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S-8</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333-232318</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6/24/2019</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4.2</w:t>
            </w:r>
          </w:p>
        </w:tc>
      </w:tr>
      <w:tr>
        <w:trPr>
          <w:trHeight w:val="270"/>
        </w:trPr>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001-38950</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5/12/2020</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10.3</w:t>
            </w:r>
          </w:p>
        </w:tc>
      </w:tr>
      <w:tr>
        <w:trPr>
          <w:trHeight w:val="405"/>
        </w:trPr>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001-38950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5/12/2020</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10.4</w:t>
            </w:r>
          </w:p>
        </w:tc>
      </w:tr>
      <w:tr>
        <w:trPr>
          <w:trHeight w:val="405"/>
        </w:trPr>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333-237755</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4/20/2020</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10.29</w:t>
            </w:r>
          </w:p>
        </w:tc>
      </w:tr>
    </w:tbl>
    <w:p>
      <w:pPr>
        <w:spacing w:after="0" w:line="5156" w:lineRule="exact"/>
        <w:rPr>
          <w:sz w:val="20"/>
          <w:szCs w:val="20"/>
          <w:color w:val="auto"/>
        </w:rPr>
      </w:pPr>
    </w:p>
    <w:p>
      <w:pPr>
        <w:sectPr>
          <w:pgSz w:w="11900" w:h="16838" w:orient="portrait"/>
          <w:cols w:equalWidth="0" w:num="2">
            <w:col w:w="7060" w:space="120"/>
            <w:col w:w="4060"/>
          </w:cols>
          <w:pgMar w:left="320" w:top="125" w:right="339" w:bottom="1440" w:gutter="0" w:footer="0" w:header="0"/>
        </w:sectPr>
      </w:pPr>
    </w:p>
    <w:p>
      <w:pPr>
        <w:ind w:left="680" w:hanging="654"/>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63"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63" w:lineRule="exact"/>
        <w:rPr>
          <w:sz w:val="20"/>
          <w:szCs w:val="20"/>
          <w:color w:val="auto"/>
        </w:rPr>
      </w:pPr>
    </w:p>
    <w:p>
      <w:pPr>
        <w:ind w:left="680" w:right="240" w:hanging="654"/>
        <w:spacing w:after="0" w:line="229" w:lineRule="auto"/>
        <w:tabs>
          <w:tab w:leader="none" w:pos="680" w:val="left"/>
        </w:tabs>
        <w:numPr>
          <w:ilvl w:val="0"/>
          <w:numId w:val="16"/>
        </w:numPr>
        <w:rPr>
          <w:rFonts w:ascii="Arial" w:cs="Arial" w:eastAsia="Arial" w:hAnsi="Arial"/>
          <w:sz w:val="32"/>
          <w:szCs w:val="32"/>
          <w:color w:val="auto"/>
          <w:vertAlign w:val="subscript"/>
        </w:rPr>
      </w:pPr>
      <w:r>
        <w:rPr>
          <w:rFonts w:ascii="Arial" w:cs="Arial" w:eastAsia="Arial" w:hAnsi="Arial"/>
          <w:sz w:val="16"/>
          <w:szCs w:val="16"/>
          <w:color w:val="auto"/>
        </w:rPr>
        <w:t>Furnished herewith. The certifications attached as Exhibit 32.1 and 32.2 that accompany this Quarterly Report on Form 10-Q are deemed furnished and not filed with the Securities and Exchange Commission and are not to be incorporated by reference into any filing of Grocery Outlet Holding Corp.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Grocery Outlet Holding Corp.</w:t>
      </w:r>
    </w:p>
    <w:p>
      <w:pPr>
        <w:spacing w:after="0" w:line="67" w:lineRule="exact"/>
        <w:rPr>
          <w:sz w:val="20"/>
          <w:szCs w:val="20"/>
          <w:color w:val="auto"/>
        </w:rPr>
      </w:pPr>
    </w:p>
    <w:p>
      <w:pPr>
        <w:ind w:left="20"/>
        <w:spacing w:after="0"/>
        <w:tabs>
          <w:tab w:leader="none" w:pos="640" w:val="left"/>
          <w:tab w:leader="none" w:pos="6660" w:val="left"/>
          <w:tab w:leader="none" w:pos="7100" w:val="left"/>
        </w:tabs>
        <w:rPr>
          <w:sz w:val="20"/>
          <w:szCs w:val="20"/>
          <w:color w:val="auto"/>
        </w:rPr>
      </w:pPr>
      <w:r>
        <w:rPr>
          <w:rFonts w:ascii="Arial" w:cs="Arial" w:eastAsia="Arial" w:hAnsi="Arial"/>
          <w:sz w:val="18"/>
          <w:szCs w:val="18"/>
          <w:color w:val="auto"/>
        </w:rPr>
        <w:t>Date:</w:t>
        <w:tab/>
        <w:t>August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Charles Bracher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31750</wp:posOffset>
            </wp:positionV>
            <wp:extent cx="26231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Charles Bracher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(Principal Financial Officer)</w:t>
      </w:r>
    </w:p>
    <w:p>
      <w:pPr>
        <w:spacing w:after="0" w:line="315"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Grocery Outlet Holding Corp.</w:t>
      </w:r>
    </w:p>
    <w:p>
      <w:pPr>
        <w:spacing w:after="0" w:line="67" w:lineRule="exact"/>
        <w:rPr>
          <w:sz w:val="20"/>
          <w:szCs w:val="20"/>
          <w:color w:val="auto"/>
        </w:rPr>
      </w:pPr>
    </w:p>
    <w:p>
      <w:pPr>
        <w:ind w:left="20"/>
        <w:spacing w:after="0"/>
        <w:tabs>
          <w:tab w:leader="none" w:pos="640" w:val="left"/>
          <w:tab w:leader="none" w:pos="6660" w:val="left"/>
          <w:tab w:leader="none" w:pos="7100" w:val="left"/>
        </w:tabs>
        <w:rPr>
          <w:sz w:val="20"/>
          <w:szCs w:val="20"/>
          <w:color w:val="auto"/>
        </w:rPr>
      </w:pPr>
      <w:r>
        <w:rPr>
          <w:rFonts w:ascii="Arial" w:cs="Arial" w:eastAsia="Arial" w:hAnsi="Arial"/>
          <w:sz w:val="18"/>
          <w:szCs w:val="18"/>
          <w:color w:val="auto"/>
        </w:rPr>
        <w:t>Date:</w:t>
        <w:tab/>
        <w:t>August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Lindsay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31750</wp:posOffset>
            </wp:positionV>
            <wp:extent cx="26231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Lindsay Gray</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Vice President and Corporate Controller</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3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8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PURSUANT TO SECTION 302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 Eric J. Lindberg, Jr.,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Grocery Outlet Holding Corp.;</w:t>
      </w:r>
    </w:p>
    <w:p>
      <w:pPr>
        <w:spacing w:after="0" w:line="148"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17"/>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20"/>
          <w:szCs w:val="20"/>
          <w:color w:val="auto"/>
        </w:rPr>
      </w:pPr>
    </w:p>
    <w:p>
      <w:pPr>
        <w:ind w:left="340" w:hanging="332"/>
        <w:spacing w:after="0" w:line="250" w:lineRule="auto"/>
        <w:tabs>
          <w:tab w:leader="none" w:pos="340" w:val="left"/>
        </w:tabs>
        <w:numPr>
          <w:ilvl w:val="0"/>
          <w:numId w:val="17"/>
        </w:numPr>
        <w:rPr>
          <w:rFonts w:ascii="Arial" w:cs="Arial" w:eastAsia="Arial" w:hAnsi="Arial"/>
          <w:sz w:val="20"/>
          <w:szCs w:val="20"/>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20"/>
          <w:szCs w:val="20"/>
          <w:color w:val="auto"/>
        </w:rPr>
      </w:pPr>
    </w:p>
    <w:p>
      <w:pPr>
        <w:ind w:left="340" w:right="20" w:hanging="332"/>
        <w:spacing w:after="0" w:line="250" w:lineRule="auto"/>
        <w:tabs>
          <w:tab w:leader="none" w:pos="340" w:val="left"/>
        </w:tabs>
        <w:numPr>
          <w:ilvl w:val="0"/>
          <w:numId w:val="17"/>
        </w:numPr>
        <w:rPr>
          <w:rFonts w:ascii="Arial" w:cs="Arial" w:eastAsia="Arial" w:hAnsi="Arial"/>
          <w:sz w:val="20"/>
          <w:szCs w:val="20"/>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5" w:lineRule="exact"/>
        <w:rPr>
          <w:rFonts w:ascii="Arial" w:cs="Arial" w:eastAsia="Arial" w:hAnsi="Arial"/>
          <w:sz w:val="20"/>
          <w:szCs w:val="20"/>
          <w:color w:val="auto"/>
        </w:rPr>
      </w:pPr>
    </w:p>
    <w:p>
      <w:pPr>
        <w:ind w:left="660" w:hanging="328"/>
        <w:spacing w:after="0" w:line="263" w:lineRule="auto"/>
        <w:tabs>
          <w:tab w:leader="none" w:pos="506"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660" w:hanging="328"/>
        <w:spacing w:after="0" w:line="308" w:lineRule="auto"/>
        <w:tabs>
          <w:tab w:leader="none" w:pos="518"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7"/>
          <w:szCs w:val="17"/>
          <w:color w:val="auto"/>
        </w:rPr>
      </w:pPr>
    </w:p>
    <w:p>
      <w:pPr>
        <w:ind w:left="660" w:hanging="328"/>
        <w:spacing w:after="0" w:line="263" w:lineRule="auto"/>
        <w:tabs>
          <w:tab w:leader="none" w:pos="51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279" w:lineRule="auto"/>
        <w:tabs>
          <w:tab w:leader="none" w:pos="340" w:val="left"/>
        </w:tabs>
        <w:numPr>
          <w:ilvl w:val="0"/>
          <w:numId w:val="17"/>
        </w:numPr>
        <w:rPr>
          <w:rFonts w:ascii="Arial" w:cs="Arial" w:eastAsia="Arial" w:hAnsi="Arial"/>
          <w:sz w:val="19"/>
          <w:szCs w:val="19"/>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9"/>
          <w:szCs w:val="19"/>
          <w:color w:val="auto"/>
        </w:rPr>
      </w:pPr>
    </w:p>
    <w:p>
      <w:pPr>
        <w:ind w:left="660" w:hanging="328"/>
        <w:spacing w:after="0" w:line="277" w:lineRule="auto"/>
        <w:tabs>
          <w:tab w:leader="none" w:pos="51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660" w:right="20" w:hanging="328"/>
        <w:spacing w:after="0" w:line="277" w:lineRule="auto"/>
        <w:tabs>
          <w:tab w:leader="none" w:pos="50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280"/>
        <w:spacing w:after="0"/>
        <w:tabs>
          <w:tab w:leader="none" w:pos="6240" w:val="left"/>
        </w:tabs>
        <w:rPr>
          <w:sz w:val="20"/>
          <w:szCs w:val="20"/>
          <w:color w:val="auto"/>
        </w:rPr>
      </w:pPr>
      <w:r>
        <w:rPr>
          <w:rFonts w:ascii="Arial" w:cs="Arial" w:eastAsia="Arial" w:hAnsi="Arial"/>
          <w:sz w:val="18"/>
          <w:szCs w:val="18"/>
          <w:color w:val="auto"/>
        </w:rPr>
        <w:t>Date: August 11, 2020</w:t>
      </w:r>
      <w:r>
        <w:rPr>
          <w:sz w:val="20"/>
          <w:szCs w:val="20"/>
          <w:color w:val="auto"/>
        </w:rPr>
        <w:tab/>
      </w:r>
      <w:r>
        <w:rPr>
          <w:rFonts w:ascii="Arial" w:cs="Arial" w:eastAsia="Arial" w:hAnsi="Arial"/>
          <w:sz w:val="16"/>
          <w:szCs w:val="16"/>
          <w:color w:val="auto"/>
        </w:rPr>
        <w:t>By: /s/ Eric J. Lindberg,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31750</wp:posOffset>
            </wp:positionV>
            <wp:extent cx="2040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Eric J. Lindberg, Jr.</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31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8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PURSUANT TO SECTION 302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 Charles Bracher, certify that:</w:t>
      </w:r>
    </w:p>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Grocery Outlet Holding Corp.;</w:t>
      </w:r>
    </w:p>
    <w:p>
      <w:pPr>
        <w:spacing w:after="0" w:line="148"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18"/>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20"/>
          <w:szCs w:val="20"/>
          <w:color w:val="auto"/>
        </w:rPr>
      </w:pPr>
    </w:p>
    <w:p>
      <w:pPr>
        <w:ind w:left="340" w:hanging="332"/>
        <w:spacing w:after="0" w:line="250" w:lineRule="auto"/>
        <w:tabs>
          <w:tab w:leader="none" w:pos="340" w:val="left"/>
        </w:tabs>
        <w:numPr>
          <w:ilvl w:val="0"/>
          <w:numId w:val="18"/>
        </w:numPr>
        <w:rPr>
          <w:rFonts w:ascii="Arial" w:cs="Arial" w:eastAsia="Arial" w:hAnsi="Arial"/>
          <w:sz w:val="20"/>
          <w:szCs w:val="20"/>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20"/>
          <w:szCs w:val="20"/>
          <w:color w:val="auto"/>
        </w:rPr>
      </w:pPr>
    </w:p>
    <w:p>
      <w:pPr>
        <w:ind w:left="340" w:right="20" w:hanging="332"/>
        <w:spacing w:after="0" w:line="250" w:lineRule="auto"/>
        <w:tabs>
          <w:tab w:leader="none" w:pos="340" w:val="left"/>
        </w:tabs>
        <w:numPr>
          <w:ilvl w:val="0"/>
          <w:numId w:val="18"/>
        </w:numPr>
        <w:rPr>
          <w:rFonts w:ascii="Arial" w:cs="Arial" w:eastAsia="Arial" w:hAnsi="Arial"/>
          <w:sz w:val="20"/>
          <w:szCs w:val="20"/>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5" w:lineRule="exact"/>
        <w:rPr>
          <w:rFonts w:ascii="Arial" w:cs="Arial" w:eastAsia="Arial" w:hAnsi="Arial"/>
          <w:sz w:val="20"/>
          <w:szCs w:val="20"/>
          <w:color w:val="auto"/>
        </w:rPr>
      </w:pPr>
    </w:p>
    <w:p>
      <w:pPr>
        <w:ind w:left="660" w:hanging="328"/>
        <w:spacing w:after="0" w:line="263" w:lineRule="auto"/>
        <w:tabs>
          <w:tab w:leader="none" w:pos="50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660" w:hanging="328"/>
        <w:spacing w:after="0" w:line="308" w:lineRule="auto"/>
        <w:tabs>
          <w:tab w:leader="none" w:pos="518"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7"/>
          <w:szCs w:val="17"/>
          <w:color w:val="auto"/>
        </w:rPr>
      </w:pPr>
    </w:p>
    <w:p>
      <w:pPr>
        <w:ind w:left="660" w:hanging="328"/>
        <w:spacing w:after="0" w:line="263" w:lineRule="auto"/>
        <w:tabs>
          <w:tab w:leader="none" w:pos="51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279" w:lineRule="auto"/>
        <w:tabs>
          <w:tab w:leader="none" w:pos="340" w:val="left"/>
        </w:tabs>
        <w:numPr>
          <w:ilvl w:val="0"/>
          <w:numId w:val="18"/>
        </w:numPr>
        <w:rPr>
          <w:rFonts w:ascii="Arial" w:cs="Arial" w:eastAsia="Arial" w:hAnsi="Arial"/>
          <w:sz w:val="19"/>
          <w:szCs w:val="19"/>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9"/>
          <w:szCs w:val="19"/>
          <w:color w:val="auto"/>
        </w:rPr>
      </w:pPr>
    </w:p>
    <w:p>
      <w:pPr>
        <w:ind w:left="660" w:hanging="328"/>
        <w:spacing w:after="0" w:line="277" w:lineRule="auto"/>
        <w:tabs>
          <w:tab w:leader="none" w:pos="51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660" w:right="20" w:hanging="328"/>
        <w:spacing w:after="0" w:line="277" w:lineRule="auto"/>
        <w:tabs>
          <w:tab w:leader="none" w:pos="50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280"/>
        <w:spacing w:after="0"/>
        <w:tabs>
          <w:tab w:leader="none" w:pos="5520" w:val="left"/>
        </w:tabs>
        <w:rPr>
          <w:sz w:val="20"/>
          <w:szCs w:val="20"/>
          <w:color w:val="auto"/>
        </w:rPr>
      </w:pPr>
      <w:r>
        <w:rPr>
          <w:rFonts w:ascii="Arial" w:cs="Arial" w:eastAsia="Arial" w:hAnsi="Arial"/>
          <w:sz w:val="18"/>
          <w:szCs w:val="18"/>
          <w:color w:val="auto"/>
        </w:rPr>
        <w:t>Date: August 11, 2020</w:t>
      </w:r>
      <w:r>
        <w:rPr>
          <w:sz w:val="20"/>
          <w:szCs w:val="20"/>
          <w:color w:val="auto"/>
        </w:rPr>
        <w:tab/>
      </w:r>
      <w:r>
        <w:rPr>
          <w:rFonts w:ascii="Arial" w:cs="Arial" w:eastAsia="Arial" w:hAnsi="Arial"/>
          <w:sz w:val="16"/>
          <w:szCs w:val="16"/>
          <w:color w:val="auto"/>
        </w:rPr>
        <w:t>By: /s/ Charles Bracher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31750</wp:posOffset>
            </wp:positionV>
            <wp:extent cx="20320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2032000" cy="8255"/>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Charles Bracher</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60"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of Grocery Outlet Holding Corp. (the “Company”) on Form 10-Q for the period ended June 27, 2020 as filed with the Securities and Exchange Commission on the date hereof (the “Report”), I, Eric J. Lindberg, Jr., certify pursuant to 18 U.S.C. § 1350, as adopted pursuant to § 906 of the Sarbanes-Oxley Act of 2002, that:</w:t>
      </w:r>
    </w:p>
    <w:p>
      <w:pPr>
        <w:spacing w:after="0" w:line="157" w:lineRule="exact"/>
        <w:rPr>
          <w:sz w:val="20"/>
          <w:szCs w:val="20"/>
          <w:color w:val="auto"/>
        </w:rPr>
      </w:pPr>
    </w:p>
    <w:p>
      <w:pPr>
        <w:ind w:left="1060" w:hanging="364"/>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left="1060" w:hanging="364"/>
        <w:spacing w:after="0" w:line="277" w:lineRule="auto"/>
        <w:tabs>
          <w:tab w:leader="none" w:pos="10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80"/>
        <w:spacing w:after="0"/>
        <w:tabs>
          <w:tab w:leader="none" w:pos="6380" w:val="left"/>
        </w:tabs>
        <w:rPr>
          <w:sz w:val="20"/>
          <w:szCs w:val="20"/>
          <w:color w:val="auto"/>
        </w:rPr>
      </w:pPr>
      <w:r>
        <w:rPr>
          <w:rFonts w:ascii="Arial" w:cs="Arial" w:eastAsia="Arial" w:hAnsi="Arial"/>
          <w:sz w:val="18"/>
          <w:szCs w:val="18"/>
          <w:color w:val="auto"/>
        </w:rPr>
        <w:t>Date: August 11, 2020</w:t>
      </w:r>
      <w:r>
        <w:rPr>
          <w:sz w:val="20"/>
          <w:szCs w:val="20"/>
          <w:color w:val="auto"/>
        </w:rPr>
        <w:tab/>
      </w:r>
      <w:r>
        <w:rPr>
          <w:rFonts w:ascii="Arial" w:cs="Arial" w:eastAsia="Arial" w:hAnsi="Arial"/>
          <w:sz w:val="16"/>
          <w:szCs w:val="16"/>
          <w:color w:val="auto"/>
        </w:rPr>
        <w:t>By: /s/ Eric J. Lindberg,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31750</wp:posOffset>
            </wp:positionV>
            <wp:extent cx="2040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Eric J. Lindberg, Jr.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of Grocery Outlet Holding Corp. (the “Company”) on Form 10-Q for the period ended June 27, 2020 as filed with the Securities and Exchange Commission on the date hereof (the “Report”), I, Charles Bracher, certify pursuant to 18 U.S.C. § 1350, as adopted pursuant to § 906 of the Sarbanes-Oxley Act of 2002, that:</w:t>
      </w:r>
    </w:p>
    <w:p>
      <w:pPr>
        <w:spacing w:after="0" w:line="157" w:lineRule="exact"/>
        <w:rPr>
          <w:sz w:val="20"/>
          <w:szCs w:val="20"/>
          <w:color w:val="auto"/>
        </w:rPr>
      </w:pPr>
    </w:p>
    <w:p>
      <w:pPr>
        <w:ind w:left="1060" w:hanging="364"/>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left="1060" w:hanging="364"/>
        <w:spacing w:after="0" w:line="277" w:lineRule="auto"/>
        <w:tabs>
          <w:tab w:leader="none" w:pos="10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80"/>
        <w:spacing w:after="0"/>
        <w:tabs>
          <w:tab w:leader="none" w:pos="6380" w:val="left"/>
        </w:tabs>
        <w:rPr>
          <w:sz w:val="20"/>
          <w:szCs w:val="20"/>
          <w:color w:val="auto"/>
        </w:rPr>
      </w:pPr>
      <w:r>
        <w:rPr>
          <w:rFonts w:ascii="Arial" w:cs="Arial" w:eastAsia="Arial" w:hAnsi="Arial"/>
          <w:sz w:val="18"/>
          <w:szCs w:val="18"/>
          <w:color w:val="auto"/>
        </w:rPr>
        <w:t>Date: August 11, 2020</w:t>
      </w:r>
      <w:r>
        <w:rPr>
          <w:sz w:val="20"/>
          <w:szCs w:val="20"/>
          <w:color w:val="auto"/>
        </w:rPr>
        <w:tab/>
      </w:r>
      <w:r>
        <w:rPr>
          <w:rFonts w:ascii="Arial" w:cs="Arial" w:eastAsia="Arial" w:hAnsi="Arial"/>
          <w:sz w:val="16"/>
          <w:szCs w:val="16"/>
          <w:color w:val="auto"/>
        </w:rPr>
        <w:t>By: /s/ Charles Bracher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31750</wp:posOffset>
            </wp:positionV>
            <wp:extent cx="2040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Charles Bracher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04"/>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73" Type="http://schemas.openxmlformats.org/officeDocument/2006/relationships/hyperlink" Target="http://www.sec.gov/Archives/edgar/data/1771515/000119312519180291/d729208dex41.htm" TargetMode="External"/><Relationship Id="rId74" Type="http://schemas.openxmlformats.org/officeDocument/2006/relationships/hyperlink" Target="http://www.sec.gov/Archives/edgar/data/1771515/000119312519180291/d729208dex42.htm" TargetMode="External"/><Relationship Id="rId75" Type="http://schemas.openxmlformats.org/officeDocument/2006/relationships/hyperlink" Target="http://www.sec.gov/Archives/edgar/data/1771515/000177151520000011/go2020q1exhibit103.htm" TargetMode="External"/><Relationship Id="rId76" Type="http://schemas.openxmlformats.org/officeDocument/2006/relationships/hyperlink" Target="http://www.sec.gov/Archives/edgar/data/1771515/000177151520000011/go2020q1exhibit104.htm" TargetMode="External"/><Relationship Id="rId77" Type="http://schemas.openxmlformats.org/officeDocument/2006/relationships/hyperlink" Target="http://www.sec.gov/Archives/edgar/data/1771515/000119312520112155/d917348dex10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2020-08-11T15:34:42Z</dcterms:created>
  <dcterms:modified xsi:type="dcterms:W3CDTF">2020-08-11T15:34:42Z</dcterms:modified>
</cp:coreProperties>
</file>