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194310</wp:posOffset>
            </wp:positionV>
            <wp:extent cx="327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753"/>
              <w:spacing w:after="0"/>
              <w:rPr>
                <w:sz w:val="20"/>
                <w:szCs w:val="20"/>
                <w:color w:val="auto"/>
              </w:rPr>
            </w:pPr>
            <w:r>
              <w:rPr>
                <w:rFonts w:ascii="Arial" w:cs="Arial" w:eastAsia="Arial" w:hAnsi="Arial"/>
                <w:sz w:val="18"/>
                <w:szCs w:val="18"/>
                <w:b w:val="1"/>
                <w:bCs w:val="1"/>
                <w:color w:val="auto"/>
              </w:rPr>
              <w:t>47-1874201</w:t>
            </w:r>
          </w:p>
        </w:tc>
      </w:tr>
      <w:tr>
        <w:trPr>
          <w:trHeight w:val="189"/>
        </w:trPr>
        <w:tc>
          <w:tcPr>
            <w:tcW w:w="3700" w:type="dxa"/>
            <w:vAlign w:val="bottom"/>
            <w:gridSpan w:val="2"/>
          </w:tcPr>
          <w:p>
            <w:pPr>
              <w:jc w:val="center"/>
              <w:ind w:left="814"/>
              <w:spacing w:after="0" w:line="189" w:lineRule="exact"/>
              <w:rPr>
                <w:sz w:val="20"/>
                <w:szCs w:val="20"/>
                <w:color w:val="auto"/>
              </w:rPr>
            </w:pPr>
            <w:r>
              <w:rPr>
                <w:rFonts w:ascii="Arial" w:cs="Arial" w:eastAsia="Arial" w:hAnsi="Arial"/>
                <w:sz w:val="18"/>
                <w:szCs w:val="18"/>
                <w:b w:val="1"/>
                <w:bCs w:val="1"/>
                <w:color w:val="auto"/>
                <w:w w:val="90"/>
              </w:rPr>
              <w:t>(State or other jurisdiction of</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40" w:type="dxa"/>
            <w:vAlign w:val="bottom"/>
          </w:tcPr>
          <w:p>
            <w:pPr>
              <w:ind w:left="1100"/>
              <w:spacing w:after="0" w:line="189" w:lineRule="exact"/>
              <w:rPr>
                <w:sz w:val="20"/>
                <w:szCs w:val="20"/>
                <w:color w:val="auto"/>
              </w:rPr>
            </w:pPr>
            <w:r>
              <w:rPr>
                <w:rFonts w:ascii="Arial" w:cs="Arial" w:eastAsia="Arial" w:hAnsi="Arial"/>
                <w:sz w:val="18"/>
                <w:szCs w:val="18"/>
                <w:b w:val="1"/>
                <w:bCs w:val="1"/>
                <w:color w:val="auto"/>
              </w:rPr>
              <w:t>(I.R.S. Employer</w:t>
            </w:r>
          </w:p>
        </w:tc>
      </w:tr>
      <w:tr>
        <w:trPr>
          <w:trHeight w:val="234"/>
        </w:trPr>
        <w:tc>
          <w:tcPr>
            <w:tcW w:w="37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1"/>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393"/>
              <w:spacing w:after="0"/>
              <w:rPr>
                <w:sz w:val="20"/>
                <w:szCs w:val="20"/>
                <w:color w:val="auto"/>
              </w:rPr>
            </w:pPr>
            <w:r>
              <w:rPr>
                <w:rFonts w:ascii="Arial" w:cs="Arial" w:eastAsia="Arial" w:hAnsi="Arial"/>
                <w:sz w:val="18"/>
                <w:szCs w:val="18"/>
                <w:b w:val="1"/>
                <w:bCs w:val="1"/>
                <w:color w:val="auto"/>
                <w:w w:val="92"/>
              </w:rPr>
              <w:t>Identification No.)</w:t>
            </w:r>
          </w:p>
        </w:tc>
      </w:tr>
      <w:tr>
        <w:trPr>
          <w:trHeight w:val="337"/>
        </w:trPr>
        <w:tc>
          <w:tcPr>
            <w:tcW w:w="756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680" w:type="dxa"/>
            <w:vAlign w:val="bottom"/>
            <w:gridSpan w:val="2"/>
          </w:tcPr>
          <w:p>
            <w:pPr>
              <w:jc w:val="right"/>
              <w:ind w:right="973"/>
              <w:spacing w:after="0"/>
              <w:rPr>
                <w:sz w:val="20"/>
                <w:szCs w:val="20"/>
                <w:color w:val="auto"/>
              </w:rPr>
            </w:pPr>
            <w:r>
              <w:rPr>
                <w:rFonts w:ascii="Arial" w:cs="Arial" w:eastAsia="Arial" w:hAnsi="Arial"/>
                <w:sz w:val="18"/>
                <w:szCs w:val="18"/>
                <w:b w:val="1"/>
                <w:bCs w:val="1"/>
                <w:color w:val="auto"/>
              </w:rPr>
              <w:t>94608</w:t>
            </w:r>
          </w:p>
        </w:tc>
      </w:tr>
      <w:tr>
        <w:trPr>
          <w:trHeight w:val="210"/>
        </w:trPr>
        <w:tc>
          <w:tcPr>
            <w:tcW w:w="3700" w:type="dxa"/>
            <w:vAlign w:val="bottom"/>
            <w:gridSpan w:val="2"/>
          </w:tcPr>
          <w:p>
            <w:pPr>
              <w:jc w:val="center"/>
              <w:ind w:left="81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jc w:val="center"/>
              <w:ind w:left="393"/>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tcPr>
          <w:p>
            <w:pPr>
              <w:jc w:val="center"/>
              <w:ind w:left="596"/>
              <w:spacing w:after="0"/>
              <w:rPr>
                <w:sz w:val="20"/>
                <w:szCs w:val="20"/>
                <w:color w:val="auto"/>
              </w:rPr>
            </w:pPr>
            <w:r>
              <w:rPr>
                <w:rFonts w:ascii="Arial" w:cs="Arial" w:eastAsia="Arial" w:hAnsi="Arial"/>
                <w:sz w:val="18"/>
                <w:szCs w:val="18"/>
                <w:b w:val="1"/>
                <w:bCs w:val="1"/>
                <w:color w:val="auto"/>
                <w:w w:val="90"/>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82"/>
        </w:trPr>
        <w:tc>
          <w:tcPr>
            <w:tcW w:w="30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r>
      <w:tr>
        <w:trPr>
          <w:trHeight w:val="52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3"/>
        </w:trPr>
        <w:tc>
          <w:tcPr>
            <w:tcW w:w="370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6"/>
                <w:szCs w:val="16"/>
                <w:b w:val="1"/>
                <w:bCs w:val="1"/>
                <w:color w:val="auto"/>
                <w:w w:val="87"/>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
          </w:tcPr>
          <w:p>
            <w:pPr>
              <w:jc w:val="center"/>
              <w:ind w:right="49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700" w:type="dxa"/>
            <w:vAlign w:val="bottom"/>
            <w:gridSpan w:val="2"/>
          </w:tcPr>
          <w:p>
            <w:pPr>
              <w:jc w:val="center"/>
              <w:ind w:left="454"/>
              <w:spacing w:after="0"/>
              <w:rPr>
                <w:sz w:val="20"/>
                <w:szCs w:val="20"/>
                <w:color w:val="auto"/>
              </w:rPr>
            </w:pPr>
            <w:r>
              <w:rPr>
                <w:rFonts w:ascii="Arial" w:cs="Arial" w:eastAsia="Arial" w:hAnsi="Arial"/>
                <w:sz w:val="16"/>
                <w:szCs w:val="16"/>
                <w:color w:val="auto"/>
                <w:w w:val="90"/>
              </w:rPr>
              <w:t>Common Stock, par value $0.001 per share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3680" w:type="dxa"/>
            <w:vAlign w:val="bottom"/>
            <w:gridSpan w:val="2"/>
          </w:tcPr>
          <w:p>
            <w:pPr>
              <w:jc w:val="center"/>
              <w:ind w:right="493"/>
              <w:spacing w:after="0"/>
              <w:rPr>
                <w:sz w:val="20"/>
                <w:szCs w:val="20"/>
                <w:color w:val="auto"/>
              </w:rPr>
            </w:pPr>
            <w:r>
              <w:rPr>
                <w:rFonts w:ascii="Arial" w:cs="Arial" w:eastAsia="Arial" w:hAnsi="Arial"/>
                <w:sz w:val="16"/>
                <w:szCs w:val="16"/>
                <w:color w:val="auto"/>
                <w:w w:val="91"/>
              </w:rPr>
              <w:t>Nasdaq Global Select Market</w:t>
            </w:r>
          </w:p>
        </w:tc>
      </w:tr>
    </w:tbl>
    <w:p>
      <w:pPr>
        <w:spacing w:after="0" w:line="200" w:lineRule="exact"/>
        <w:rPr>
          <w:sz w:val="24"/>
          <w:szCs w:val="24"/>
          <w:color w:val="auto"/>
        </w:rPr>
      </w:pPr>
    </w:p>
    <w:p>
      <w:pPr>
        <w:spacing w:after="0" w:line="242"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60" w:type="dxa"/>
        <w:tblCellMar>
          <w:top w:w="0" w:type="dxa"/>
          <w:left w:w="0" w:type="dxa"/>
          <w:bottom w:w="0" w:type="dxa"/>
          <w:right w:w="0" w:type="dxa"/>
        </w:tblCellMar>
      </w:tblPr>
      <w:tr>
        <w:trPr>
          <w:trHeight w:val="292"/>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74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2022, the registrant had 97,278,977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20"/>
          <w:szCs w:val="20"/>
          <w:b w:val="1"/>
          <w:bCs w:val="1"/>
          <w:color w:val="auto"/>
        </w:rPr>
        <w:t>GROCERY OUTLET HOLDING CORP.</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FORM 10-Q</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20" w:type="dxa"/>
            <w:vAlign w:val="bottom"/>
            <w:gridSpan w:val="3"/>
          </w:tcPr>
          <w:p>
            <w:pPr>
              <w:ind w:left="3300"/>
              <w:spacing w:after="0"/>
              <w:rPr>
                <w:sz w:val="20"/>
                <w:szCs w:val="20"/>
                <w:color w:val="auto"/>
              </w:rPr>
            </w:pPr>
            <w:r>
              <w:rPr>
                <w:rFonts w:ascii="Arial" w:cs="Arial" w:eastAsia="Arial" w:hAnsi="Arial"/>
                <w:sz w:val="16"/>
                <w:szCs w:val="16"/>
                <w:b w:val="1"/>
                <w:bCs w:val="1"/>
                <w:color w:val="auto"/>
                <w:w w:val="78"/>
              </w:rPr>
              <w:t>Page</w:t>
            </w:r>
          </w:p>
        </w:tc>
      </w:tr>
      <w:tr>
        <w:trPr>
          <w:trHeight w:val="195"/>
        </w:trPr>
        <w:tc>
          <w:tcPr>
            <w:tcW w:w="7380" w:type="dxa"/>
            <w:vAlign w:val="bottom"/>
            <w:gridSpan w:val="20"/>
          </w:tcPr>
          <w:p>
            <w:pPr>
              <w:spacing w:after="0" w:line="195" w:lineRule="exact"/>
              <w:rPr>
                <w:sz w:val="20"/>
                <w:szCs w:val="20"/>
                <w:color w:val="auto"/>
              </w:rPr>
            </w:pPr>
            <w:r>
              <w:rPr>
                <w:rFonts w:ascii="Arial" w:cs="Arial" w:eastAsia="Arial" w:hAnsi="Arial"/>
                <w:sz w:val="18"/>
                <w:szCs w:val="18"/>
                <w:color w:val="3051F2"/>
              </w:rPr>
              <w:t>Special Note Regarding Forward-Looking Statements</w:t>
            </w:r>
          </w:p>
        </w:tc>
        <w:tc>
          <w:tcPr>
            <w:tcW w:w="3540" w:type="dxa"/>
            <w:vAlign w:val="bottom"/>
            <w:gridSpan w:val="2"/>
          </w:tcPr>
          <w:p>
            <w:pPr>
              <w:jc w:val="center"/>
              <w:ind w:left="3299"/>
              <w:spacing w:after="0"/>
              <w:rPr>
                <w:sz w:val="20"/>
                <w:szCs w:val="20"/>
                <w:color w:val="auto"/>
              </w:rPr>
            </w:pPr>
            <w:r>
              <w:rPr>
                <w:rFonts w:ascii="Arial" w:cs="Arial" w:eastAsia="Arial" w:hAnsi="Arial"/>
                <w:sz w:val="16"/>
                <w:szCs w:val="16"/>
                <w:color w:val="3051F2"/>
                <w:w w:val="89"/>
              </w:rPr>
              <w:t>2</w:t>
            </w:r>
          </w:p>
        </w:tc>
        <w:tc>
          <w:tcPr>
            <w:tcW w:w="80" w:type="dxa"/>
            <w:vAlign w:val="bottom"/>
          </w:tcPr>
          <w:p>
            <w:pPr>
              <w:spacing w:after="0"/>
              <w:rPr>
                <w:sz w:val="16"/>
                <w:szCs w:val="16"/>
                <w:color w:val="auto"/>
              </w:rPr>
            </w:pPr>
          </w:p>
        </w:tc>
      </w:tr>
      <w:tr>
        <w:trPr>
          <w:trHeight w:val="520"/>
        </w:trPr>
        <w:tc>
          <w:tcPr>
            <w:tcW w:w="94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56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rPr>
              <w:t>PART I. FINANCIAL INFORMATION</w:t>
            </w:r>
          </w:p>
        </w:tc>
        <w:tc>
          <w:tcPr>
            <w:tcW w:w="342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89"/>
              </w:rPr>
              <w:t>Financial Statements (Unaudited)</w:t>
            </w:r>
          </w:p>
        </w:tc>
        <w:tc>
          <w:tcPr>
            <w:tcW w:w="4020" w:type="dxa"/>
            <w:vAlign w:val="bottom"/>
            <w:gridSpan w:val="11"/>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bottom w:val="single" w:sz="8" w:color="3051F2"/>
            </w:tcBorders>
          </w:tcPr>
          <w:p>
            <w:pPr>
              <w:jc w:val="center"/>
              <w:spacing w:after="0"/>
              <w:rPr>
                <w:sz w:val="20"/>
                <w:szCs w:val="20"/>
                <w:color w:val="auto"/>
              </w:rPr>
            </w:pPr>
            <w:r>
              <w:rPr>
                <w:rFonts w:ascii="Arial" w:cs="Arial" w:eastAsia="Arial" w:hAnsi="Arial"/>
                <w:sz w:val="16"/>
                <w:szCs w:val="16"/>
                <w:color w:val="3051F2"/>
                <w:w w:val="89"/>
              </w:rPr>
              <w:t>3</w:t>
            </w:r>
          </w:p>
        </w:tc>
        <w:tc>
          <w:tcPr>
            <w:tcW w:w="80" w:type="dxa"/>
            <w:vAlign w:val="bottom"/>
          </w:tcPr>
          <w:p>
            <w:pPr>
              <w:spacing w:after="0"/>
              <w:rPr>
                <w:sz w:val="24"/>
                <w:szCs w:val="24"/>
                <w:color w:val="auto"/>
              </w:rPr>
            </w:pPr>
          </w:p>
        </w:tc>
      </w:tr>
      <w:tr>
        <w:trPr>
          <w:trHeight w:val="209"/>
        </w:trPr>
        <w:tc>
          <w:tcPr>
            <w:tcW w:w="940" w:type="dxa"/>
            <w:vAlign w:val="bottom"/>
          </w:tcPr>
          <w:p>
            <w:pPr>
              <w:spacing w:after="0"/>
              <w:rPr>
                <w:sz w:val="18"/>
                <w:szCs w:val="18"/>
                <w:color w:val="auto"/>
              </w:rPr>
            </w:pPr>
          </w:p>
        </w:tc>
        <w:tc>
          <w:tcPr>
            <w:tcW w:w="294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87"/>
              </w:rPr>
              <w:t>Condensed Consolidated Balance Sheets</w:t>
            </w:r>
          </w:p>
        </w:tc>
        <w:tc>
          <w:tcPr>
            <w:tcW w:w="3500" w:type="dxa"/>
            <w:vAlign w:val="bottom"/>
            <w:gridSpan w:val="9"/>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Arial" w:cs="Arial" w:eastAsia="Arial" w:hAnsi="Arial"/>
                <w:sz w:val="16"/>
                <w:szCs w:val="16"/>
                <w:color w:val="3051F2"/>
                <w:w w:val="89"/>
              </w:rPr>
              <w:t>3</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5720" w:type="dxa"/>
            <w:vAlign w:val="bottom"/>
            <w:tcBorders>
              <w:bottom w:val="single" w:sz="8" w:color="3051F2"/>
            </w:tcBorders>
            <w:gridSpan w:val="18"/>
          </w:tcPr>
          <w:p>
            <w:pPr>
              <w:spacing w:after="0"/>
              <w:rPr>
                <w:sz w:val="20"/>
                <w:szCs w:val="20"/>
                <w:color w:val="auto"/>
              </w:rPr>
            </w:pPr>
            <w:r>
              <w:rPr>
                <w:rFonts w:ascii="Arial" w:cs="Arial" w:eastAsia="Arial" w:hAnsi="Arial"/>
                <w:sz w:val="18"/>
                <w:szCs w:val="18"/>
                <w:color w:val="3051F2"/>
                <w:w w:val="88"/>
              </w:rPr>
              <w:t>Condensed Consolidated Statements of Operations and Comprehensive Income</w:t>
            </w:r>
          </w:p>
        </w:tc>
        <w:tc>
          <w:tcPr>
            <w:tcW w:w="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Arial" w:cs="Arial" w:eastAsia="Arial" w:hAnsi="Arial"/>
                <w:sz w:val="16"/>
                <w:szCs w:val="16"/>
                <w:color w:val="3051F2"/>
                <w:w w:val="89"/>
              </w:rPr>
              <w:t>4</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3051F2"/>
              </w:rPr>
              <w:t>Condensed Consolidated Statements of Stockholders' Equity</w:t>
            </w:r>
          </w:p>
        </w:tc>
        <w:tc>
          <w:tcPr>
            <w:tcW w:w="3540" w:type="dxa"/>
            <w:vAlign w:val="bottom"/>
            <w:gridSpan w:val="2"/>
          </w:tcPr>
          <w:p>
            <w:pPr>
              <w:jc w:val="center"/>
              <w:ind w:left="3299"/>
              <w:spacing w:after="0"/>
              <w:rPr>
                <w:sz w:val="20"/>
                <w:szCs w:val="20"/>
                <w:color w:val="auto"/>
              </w:rPr>
            </w:pPr>
            <w:r>
              <w:rPr>
                <w:rFonts w:ascii="Arial" w:cs="Arial" w:eastAsia="Arial" w:hAnsi="Arial"/>
                <w:sz w:val="16"/>
                <w:szCs w:val="16"/>
                <w:color w:val="3051F2"/>
                <w:w w:val="89"/>
              </w:rPr>
              <w:t>5</w:t>
            </w:r>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720" w:type="dxa"/>
            <w:vAlign w:val="bottom"/>
            <w:tcBorders>
              <w:top w:val="single" w:sz="8" w:color="3051F2"/>
              <w:bottom w:val="single" w:sz="8" w:color="3051F2"/>
            </w:tcBorders>
            <w:gridSpan w:val="13"/>
          </w:tcPr>
          <w:p>
            <w:pPr>
              <w:spacing w:after="0"/>
              <w:rPr>
                <w:sz w:val="20"/>
                <w:szCs w:val="20"/>
                <w:color w:val="auto"/>
              </w:rPr>
            </w:pPr>
            <w:r>
              <w:rPr>
                <w:rFonts w:ascii="Arial" w:cs="Arial" w:eastAsia="Arial" w:hAnsi="Arial"/>
                <w:sz w:val="18"/>
                <w:szCs w:val="18"/>
                <w:color w:val="3051F2"/>
                <w:w w:val="88"/>
              </w:rPr>
              <w:t>Condensed Consolidated Statements of Cash Flows</w:t>
            </w:r>
          </w:p>
        </w:tc>
        <w:tc>
          <w:tcPr>
            <w:tcW w:w="640" w:type="dxa"/>
            <w:vAlign w:val="bottom"/>
            <w:tcBorders>
              <w:top w:val="single" w:sz="8" w:color="3051F2"/>
            </w:tcBorders>
            <w:gridSpan w:val="4"/>
          </w:tcPr>
          <w:p>
            <w:pPr>
              <w:spacing w:after="0"/>
              <w:rPr>
                <w:sz w:val="18"/>
                <w:szCs w:val="18"/>
                <w:color w:val="auto"/>
              </w:rPr>
            </w:pPr>
          </w:p>
        </w:tc>
        <w:tc>
          <w:tcPr>
            <w:tcW w:w="208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top w:val="single" w:sz="8" w:color="3051F2"/>
              <w:bottom w:val="single" w:sz="8" w:color="3051F2"/>
            </w:tcBorders>
          </w:tcPr>
          <w:p>
            <w:pPr>
              <w:jc w:val="center"/>
              <w:spacing w:after="0"/>
              <w:rPr>
                <w:sz w:val="20"/>
                <w:szCs w:val="20"/>
                <w:color w:val="auto"/>
              </w:rPr>
            </w:pPr>
            <w:r>
              <w:rPr>
                <w:rFonts w:ascii="Arial" w:cs="Arial" w:eastAsia="Arial" w:hAnsi="Arial"/>
                <w:sz w:val="16"/>
                <w:szCs w:val="16"/>
                <w:color w:val="3051F2"/>
                <w:w w:val="89"/>
              </w:rPr>
              <w:t>7</w:t>
            </w:r>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400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88"/>
              </w:rPr>
              <w:t>Notes to Condensed Consolidated Financial Statements</w:t>
            </w:r>
          </w:p>
        </w:tc>
        <w:tc>
          <w:tcPr>
            <w:tcW w:w="2440" w:type="dxa"/>
            <w:vAlign w:val="bottom"/>
            <w:gridSpan w:val="5"/>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Arial" w:cs="Arial" w:eastAsia="Arial" w:hAnsi="Arial"/>
                <w:sz w:val="16"/>
                <w:szCs w:val="16"/>
                <w:color w:val="3051F2"/>
                <w:w w:val="89"/>
              </w:rPr>
              <w:t>8</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9"/>
          </w:tcPr>
          <w:p>
            <w:pPr>
              <w:spacing w:after="0"/>
              <w:rPr>
                <w:sz w:val="20"/>
                <w:szCs w:val="20"/>
                <w:color w:val="auto"/>
              </w:rPr>
            </w:pPr>
            <w:r>
              <w:rPr>
                <w:rFonts w:ascii="Arial" w:cs="Arial" w:eastAsia="Arial" w:hAnsi="Arial"/>
                <w:sz w:val="18"/>
                <w:szCs w:val="18"/>
                <w:color w:val="3051F2"/>
                <w:w w:val="90"/>
              </w:rPr>
              <w:t>Management's Discussion and Analysis of Financial Condition and Results of Operations</w:t>
            </w: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19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36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3051F2"/>
              </w:rPr>
              <w:t>Overview</w:t>
            </w: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19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Arial" w:cs="Arial" w:eastAsia="Arial" w:hAnsi="Arial"/>
                <w:sz w:val="18"/>
                <w:szCs w:val="18"/>
                <w:color w:val="3051F2"/>
                <w:w w:val="88"/>
              </w:rPr>
              <w:t>Results of Operations</w:t>
            </w:r>
          </w:p>
        </w:tc>
        <w:tc>
          <w:tcPr>
            <w:tcW w:w="4880" w:type="dxa"/>
            <w:vAlign w:val="bottom"/>
            <w:gridSpan w:val="1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22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3051F2"/>
              </w:rPr>
              <w:t>Liquidity and Capital Resources</w:t>
            </w:r>
          </w:p>
        </w:tc>
        <w:tc>
          <w:tcPr>
            <w:tcW w:w="3620" w:type="dxa"/>
            <w:vAlign w:val="bottom"/>
            <w:gridSpan w:val="3"/>
          </w:tcPr>
          <w:p>
            <w:pPr>
              <w:jc w:val="center"/>
              <w:ind w:left="3219"/>
              <w:spacing w:after="0"/>
              <w:rPr>
                <w:sz w:val="20"/>
                <w:szCs w:val="20"/>
                <w:color w:val="auto"/>
              </w:rPr>
            </w:pPr>
            <w:r>
              <w:rPr>
                <w:rFonts w:ascii="Arial" w:cs="Arial" w:eastAsia="Arial" w:hAnsi="Arial"/>
                <w:sz w:val="16"/>
                <w:szCs w:val="16"/>
                <w:color w:val="3051F2"/>
                <w:w w:val="89"/>
              </w:rPr>
              <w:t>30</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3051F2"/>
              </w:rPr>
              <w:t>Critical Accounting Policies and Estimates</w:t>
            </w:r>
          </w:p>
        </w:tc>
        <w:tc>
          <w:tcPr>
            <w:tcW w:w="3620" w:type="dxa"/>
            <w:vAlign w:val="bottom"/>
            <w:gridSpan w:val="3"/>
          </w:tcPr>
          <w:p>
            <w:pPr>
              <w:jc w:val="center"/>
              <w:ind w:left="3219"/>
              <w:spacing w:after="0"/>
              <w:rPr>
                <w:sz w:val="20"/>
                <w:szCs w:val="20"/>
                <w:color w:val="auto"/>
              </w:rPr>
            </w:pPr>
            <w:r>
              <w:rPr>
                <w:rFonts w:ascii="Arial" w:cs="Arial" w:eastAsia="Arial" w:hAnsi="Arial"/>
                <w:sz w:val="16"/>
                <w:szCs w:val="16"/>
                <w:color w:val="3051F2"/>
                <w:w w:val="89"/>
              </w:rPr>
              <w:t>31</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080" w:type="dxa"/>
            <w:vAlign w:val="bottom"/>
            <w:gridSpan w:val="12"/>
          </w:tcPr>
          <w:p>
            <w:pPr>
              <w:spacing w:after="0"/>
              <w:rPr>
                <w:sz w:val="20"/>
                <w:szCs w:val="20"/>
                <w:color w:val="auto"/>
              </w:rPr>
            </w:pPr>
            <w:r>
              <w:rPr>
                <w:rFonts w:ascii="Arial" w:cs="Arial" w:eastAsia="Arial" w:hAnsi="Arial"/>
                <w:sz w:val="18"/>
                <w:szCs w:val="18"/>
                <w:color w:val="3051F2"/>
              </w:rPr>
              <w:t>Recent Accounting Pronouncements</w:t>
            </w:r>
          </w:p>
        </w:tc>
        <w:tc>
          <w:tcPr>
            <w:tcW w:w="3360" w:type="dxa"/>
            <w:vAlign w:val="bottom"/>
            <w:gridSpan w:val="7"/>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31</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gridSpan w:val="15"/>
          </w:tcPr>
          <w:p>
            <w:pPr>
              <w:spacing w:after="0"/>
              <w:rPr>
                <w:sz w:val="20"/>
                <w:szCs w:val="20"/>
                <w:color w:val="auto"/>
              </w:rPr>
            </w:pPr>
            <w:r>
              <w:rPr>
                <w:rFonts w:ascii="Arial" w:cs="Arial" w:eastAsia="Arial" w:hAnsi="Arial"/>
                <w:sz w:val="18"/>
                <w:szCs w:val="18"/>
                <w:color w:val="3051F2"/>
                <w:w w:val="91"/>
              </w:rPr>
              <w:t>Quantitative and Qualitative Disclosure about Market Risk</w:t>
            </w:r>
          </w:p>
        </w:tc>
        <w:tc>
          <w:tcPr>
            <w:tcW w:w="2200" w:type="dxa"/>
            <w:vAlign w:val="bottom"/>
            <w:gridSpan w:val="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440" w:type="dxa"/>
            <w:vAlign w:val="bottom"/>
            <w:tcBorders>
              <w:left w:val="single" w:sz="8" w:color="3051F2"/>
            </w:tcBorders>
            <w:gridSpan w:val="2"/>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920" w:type="dxa"/>
            <w:vAlign w:val="bottom"/>
            <w:gridSpan w:val="8"/>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gridSpan w:val="15"/>
          </w:tcPr>
          <w:p>
            <w:pPr>
              <w:spacing w:after="0"/>
              <w:rPr>
                <w:sz w:val="20"/>
                <w:szCs w:val="20"/>
                <w:color w:val="auto"/>
              </w:rPr>
            </w:pPr>
            <w:r>
              <w:rPr>
                <w:rFonts w:ascii="Arial" w:cs="Arial" w:eastAsia="Arial" w:hAnsi="Arial"/>
                <w:sz w:val="18"/>
                <w:szCs w:val="18"/>
                <w:color w:val="3051F2"/>
              </w:rPr>
              <w:t>Controls and Procedures</w:t>
            </w:r>
          </w:p>
        </w:tc>
        <w:tc>
          <w:tcPr>
            <w:tcW w:w="2200" w:type="dxa"/>
            <w:vAlign w:val="bottom"/>
            <w:gridSpan w:val="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33</w:t>
            </w:r>
          </w:p>
        </w:tc>
      </w:tr>
      <w:tr>
        <w:trPr>
          <w:trHeight w:val="520"/>
        </w:trPr>
        <w:tc>
          <w:tcPr>
            <w:tcW w:w="940" w:type="dxa"/>
            <w:vAlign w:val="bottom"/>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rPr>
              <w:t>PART II. OTHER INFORMATION</w:t>
            </w:r>
          </w:p>
        </w:tc>
        <w:tc>
          <w:tcPr>
            <w:tcW w:w="342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sz w:val="20"/>
                <w:szCs w:val="20"/>
                <w:color w:val="auto"/>
              </w:rPr>
            </w:pPr>
            <w:r>
              <w:rPr>
                <w:rFonts w:ascii="Arial" w:cs="Arial" w:eastAsia="Arial" w:hAnsi="Arial"/>
                <w:sz w:val="18"/>
                <w:szCs w:val="18"/>
                <w:color w:val="3051F2"/>
                <w:w w:val="85"/>
              </w:rPr>
              <w:t>Legal Proceedings</w:t>
            </w:r>
          </w:p>
        </w:tc>
        <w:tc>
          <w:tcPr>
            <w:tcW w:w="5120" w:type="dxa"/>
            <w:vAlign w:val="bottom"/>
            <w:gridSpan w:val="15"/>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000" w:type="dxa"/>
            <w:vAlign w:val="bottom"/>
            <w:tcBorders>
              <w:left w:val="single" w:sz="8" w:color="3051F2"/>
            </w:tcBorders>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sz w:val="20"/>
                <w:szCs w:val="20"/>
                <w:color w:val="auto"/>
              </w:rPr>
            </w:pPr>
            <w:r>
              <w:rPr>
                <w:rFonts w:ascii="Arial" w:cs="Arial" w:eastAsia="Arial" w:hAnsi="Arial"/>
                <w:sz w:val="18"/>
                <w:szCs w:val="18"/>
                <w:color w:val="3051F2"/>
              </w:rPr>
              <w:t>Risk Factors</w:t>
            </w:r>
          </w:p>
        </w:tc>
        <w:tc>
          <w:tcPr>
            <w:tcW w:w="5120" w:type="dxa"/>
            <w:vAlign w:val="bottom"/>
            <w:gridSpan w:val="15"/>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9"/>
          </w:tcPr>
          <w:p>
            <w:pPr>
              <w:spacing w:after="0"/>
              <w:rPr>
                <w:sz w:val="20"/>
                <w:szCs w:val="20"/>
                <w:color w:val="auto"/>
              </w:rPr>
            </w:pPr>
            <w:r>
              <w:rPr>
                <w:rFonts w:ascii="Arial" w:cs="Arial" w:eastAsia="Arial" w:hAnsi="Arial"/>
                <w:sz w:val="18"/>
                <w:szCs w:val="18"/>
                <w:color w:val="3051F2"/>
              </w:rPr>
              <w:t>Unregistered Sales of Equity Securities and Use of Proceeds</w:t>
            </w:r>
          </w:p>
        </w:tc>
        <w:tc>
          <w:tcPr>
            <w:tcW w:w="3620" w:type="dxa"/>
            <w:vAlign w:val="bottom"/>
            <w:gridSpan w:val="3"/>
          </w:tcPr>
          <w:p>
            <w:pPr>
              <w:jc w:val="center"/>
              <w:ind w:left="3219"/>
              <w:spacing w:after="0"/>
              <w:rPr>
                <w:sz w:val="20"/>
                <w:szCs w:val="20"/>
                <w:color w:val="auto"/>
              </w:rPr>
            </w:pPr>
            <w:r>
              <w:rPr>
                <w:rFonts w:ascii="Arial" w:cs="Arial" w:eastAsia="Arial" w:hAnsi="Arial"/>
                <w:sz w:val="16"/>
                <w:szCs w:val="16"/>
                <w:color w:val="3051F2"/>
                <w:w w:val="89"/>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3"/>
            <w:shd w:val="clear" w:color="auto" w:fill="3051F2"/>
          </w:tcPr>
          <w:p>
            <w:pPr>
              <w:spacing w:after="0" w:line="20" w:lineRule="exact"/>
              <w:rPr>
                <w:sz w:val="1"/>
                <w:szCs w:val="1"/>
                <w:color w:val="auto"/>
              </w:rPr>
            </w:pPr>
          </w:p>
        </w:tc>
        <w:tc>
          <w:tcPr>
            <w:tcW w:w="2020" w:type="dxa"/>
            <w:vAlign w:val="bottom"/>
            <w:gridSpan w:val="9"/>
            <w:shd w:val="clear" w:color="auto" w:fill="3051F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6"/>
          </w:tcPr>
          <w:p>
            <w:pPr>
              <w:spacing w:after="0"/>
              <w:rPr>
                <w:sz w:val="20"/>
                <w:szCs w:val="20"/>
                <w:color w:val="auto"/>
              </w:rPr>
            </w:pPr>
            <w:r>
              <w:rPr>
                <w:rFonts w:ascii="Arial" w:cs="Arial" w:eastAsia="Arial" w:hAnsi="Arial"/>
                <w:sz w:val="18"/>
                <w:szCs w:val="18"/>
                <w:color w:val="3051F2"/>
              </w:rPr>
              <w:t>Defaults Upon Senior Securities</w:t>
            </w:r>
          </w:p>
        </w:tc>
        <w:tc>
          <w:tcPr>
            <w:tcW w:w="2100" w:type="dxa"/>
            <w:vAlign w:val="bottom"/>
            <w:gridSpan w:val="3"/>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sz w:val="20"/>
                <w:szCs w:val="20"/>
                <w:color w:val="auto"/>
              </w:rPr>
            </w:pPr>
            <w:r>
              <w:rPr>
                <w:rFonts w:ascii="Arial" w:cs="Arial" w:eastAsia="Arial" w:hAnsi="Arial"/>
                <w:sz w:val="18"/>
                <w:szCs w:val="18"/>
                <w:color w:val="3051F2"/>
              </w:rPr>
              <w:t>Mine Safety Disclosures</w:t>
            </w:r>
          </w:p>
        </w:tc>
        <w:tc>
          <w:tcPr>
            <w:tcW w:w="4120" w:type="dxa"/>
            <w:vAlign w:val="bottom"/>
            <w:gridSpan w:val="12"/>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440" w:type="dxa"/>
            <w:vAlign w:val="bottom"/>
            <w:tcBorders>
              <w:left w:val="single" w:sz="8" w:color="3051F2"/>
            </w:tcBorders>
            <w:gridSpan w:val="2"/>
            <w:shd w:val="clear" w:color="auto" w:fill="3051F2"/>
          </w:tcPr>
          <w:p>
            <w:pPr>
              <w:spacing w:after="0" w:line="20" w:lineRule="exact"/>
              <w:rPr>
                <w:sz w:val="1"/>
                <w:szCs w:val="1"/>
                <w:color w:val="auto"/>
              </w:rPr>
            </w:pPr>
          </w:p>
        </w:tc>
        <w:tc>
          <w:tcPr>
            <w:tcW w:w="4680" w:type="dxa"/>
            <w:vAlign w:val="bottom"/>
            <w:gridSpan w:val="1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3051F2"/>
                <w:w w:val="91"/>
              </w:rPr>
              <w:t>Other Information</w:t>
            </w:r>
          </w:p>
        </w:tc>
        <w:tc>
          <w:tcPr>
            <w:tcW w:w="440" w:type="dxa"/>
            <w:vAlign w:val="bottom"/>
            <w:gridSpan w:val="2"/>
          </w:tcPr>
          <w:p>
            <w:pPr>
              <w:spacing w:after="0"/>
              <w:rPr>
                <w:sz w:val="18"/>
                <w:szCs w:val="18"/>
                <w:color w:val="auto"/>
              </w:rPr>
            </w:pPr>
          </w:p>
        </w:tc>
        <w:tc>
          <w:tcPr>
            <w:tcW w:w="4680" w:type="dxa"/>
            <w:vAlign w:val="bottom"/>
            <w:gridSpan w:val="13"/>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5120" w:type="dxa"/>
            <w:vAlign w:val="bottom"/>
            <w:gridSpan w:val="15"/>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3051F2"/>
                <w:w w:val="91"/>
              </w:rPr>
              <w:t>Exhibits</w:t>
            </w:r>
          </w:p>
        </w:tc>
        <w:tc>
          <w:tcPr>
            <w:tcW w:w="720" w:type="dxa"/>
            <w:vAlign w:val="bottom"/>
            <w:gridSpan w:val="3"/>
          </w:tcPr>
          <w:p>
            <w:pPr>
              <w:spacing w:after="0"/>
              <w:rPr>
                <w:sz w:val="18"/>
                <w:szCs w:val="18"/>
                <w:color w:val="auto"/>
              </w:rPr>
            </w:pPr>
          </w:p>
        </w:tc>
        <w:tc>
          <w:tcPr>
            <w:tcW w:w="5120" w:type="dxa"/>
            <w:vAlign w:val="bottom"/>
            <w:gridSpan w:val="15"/>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0E32E1"/>
                <w:w w:val="76"/>
              </w:rPr>
              <w:t>Signatures</w:t>
            </w:r>
          </w:p>
        </w:tc>
        <w:tc>
          <w:tcPr>
            <w:tcW w:w="5740" w:type="dxa"/>
            <w:vAlign w:val="bottom"/>
            <w:gridSpan w:val="17"/>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5"/>
                <w:szCs w:val="15"/>
                <w:color w:val="3051F2"/>
                <w:w w:val="71"/>
              </w:rPr>
              <w:t>36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tcBorders>
              <w:left w:val="single" w:sz="8" w:color="0E32E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231F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our Annual Report on Form 10-K for the fiscal year ended January 1, 2022 (the "</w:t>
      </w:r>
      <w:r>
        <w:rPr>
          <w:rFonts w:ascii="Arial" w:cs="Arial" w:eastAsia="Arial" w:hAnsi="Arial"/>
          <w:sz w:val="16"/>
          <w:szCs w:val="16"/>
          <w:i w:val="1"/>
          <w:iCs w:val="1"/>
          <w:color w:val="000000"/>
        </w:rPr>
        <w:t>2021</w:t>
      </w:r>
      <w:r>
        <w:rPr>
          <w:rFonts w:ascii="Arial" w:cs="Arial" w:eastAsia="Arial" w:hAnsi="Arial"/>
          <w:sz w:val="16"/>
          <w:szCs w:val="16"/>
          <w:i w:val="1"/>
          <w:iCs w:val="1"/>
          <w:color w:val="231F20"/>
        </w:rPr>
        <w:t xml:space="preserve"> Form 10-K"), and as described in other subsequent reports we file with the United States ("U.S.") Securities and Exchange Commission (the "SEC"), including this report.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6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4"/>
                <w:szCs w:val="14"/>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140,085</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$1,993</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Arial" w:cs="Arial" w:eastAsia="Arial" w:hAnsi="Arial"/>
                <w:sz w:val="18"/>
                <w:szCs w:val="18"/>
                <w:color w:val="auto"/>
              </w:rPr>
              <w:t>and $1,406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$88 and $57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331,891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275,502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468,577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442,745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$11,469 and $10,506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499,387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898,152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51,921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143,037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122,110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and other taxes payable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237,906</w:t>
            </w:r>
          </w:p>
        </w:tc>
        <w:tc>
          <w:tcPr>
            <w:tcW w:w="0" w:type="dxa"/>
            <w:vAlign w:val="bottom"/>
          </w:tcPr>
          <w:p>
            <w:pPr>
              <w:spacing w:after="0"/>
              <w:rPr>
                <w:sz w:val="1"/>
                <w:szCs w:val="1"/>
                <w:color w:val="auto"/>
              </w:rPr>
            </w:pPr>
          </w:p>
        </w:tc>
      </w:tr>
      <w:tr>
        <w:trPr>
          <w:trHeight w:val="229"/>
        </w:trPr>
        <w:tc>
          <w:tcPr>
            <w:tcW w:w="816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379,261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451,468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lease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961,746</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1,660,536</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89"/>
              </w:rPr>
              <w:t>Common stock, par value $0.001 per share, 500,000,000 shares authorized; 97,228,838 and 96,144,433 shares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Arial" w:cs="Arial" w:eastAsia="Arial" w:hAnsi="Arial"/>
                <w:sz w:val="18"/>
                <w:szCs w:val="18"/>
                <w:color w:val="auto"/>
              </w:rPr>
              <w:t>issued and outstanding, respectively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Series A preferred stock, par value $0.001 per share, 50,000,000 shares authorized; no shares issued and</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838,577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811,701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197,475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1,009,272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2"/>
              <w:spacing w:after="0" w:line="133"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2"/>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2,647,271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2,296,881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1,590,044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706,837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573,125</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49,997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633,173</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Gain on insurance recoveries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65,856</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0.51</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95,610</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99,477</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96,144,433</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276,473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(139,718)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Net income and comprehensive income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2,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96,281,188</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1,024,070</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565,792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July 2, 2022</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96,846,980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97</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827,451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229,143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1,056,691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1,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97,228,838</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838,577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246,638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1,085,312</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2,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94,854,336</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647,137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95,501,473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793,933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154,057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948,086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Net income and comprehensive income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19,640</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95,837,220</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973,883</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170,299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2,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96,007,519</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803,099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994,031</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951"/>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8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220" w:type="dxa"/>
            <w:vAlign w:val="bottom"/>
          </w:tcPr>
          <w:p>
            <w:pPr>
              <w:jc w:val="right"/>
              <w:ind w:right="331"/>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49,163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55,671</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46,236</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insurance recoveries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Provision for accounts receivable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insurance recoveries - business interruption and inventory</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9,085</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r>
      <w:tr>
        <w:trPr>
          <w:trHeight w:val="23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13,235</w:t>
            </w:r>
          </w:p>
        </w:tc>
      </w:tr>
      <w:tr>
        <w:trPr>
          <w:trHeight w:val="223"/>
        </w:trPr>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141,765</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to independent operators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Repayments of advances from independent operators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3,581</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(89,575)</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intangible assets and licenses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insurance recoveries - property and equipment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23"/>
        </w:trPr>
        <w:tc>
          <w:tcPr>
            <w:tcW w:w="8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Principal payments on senior term loan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finance leases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1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50,650</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155,976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October 1, 2022, we had 431 stores throughout California, Washington, Oregon, Pennsylvania, Idaho, Nevada, New Jersey and Maryland.</w:t>
      </w:r>
    </w:p>
    <w:p>
      <w:pPr>
        <w:spacing w:after="0" w:line="7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January 1, 2022 (the "2021 Form 10-K"). The condensed consolidated balance sheet as of January 1, 2022 included herein has been derived from those audited consolidated financial statements.</w:t>
      </w:r>
    </w:p>
    <w:p>
      <w:pPr>
        <w:spacing w:after="0" w:line="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w:t>
      </w:r>
    </w:p>
    <w:p>
      <w:pPr>
        <w:spacing w:after="0" w:line="4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condensed consolidated financial statements in conformity with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Segment Reporting </w:t>
      </w:r>
      <w:r>
        <w:rPr>
          <w:rFonts w:ascii="Arial" w:cs="Arial" w:eastAsia="Arial" w:hAnsi="Arial"/>
          <w:sz w:val="16"/>
          <w:szCs w:val="16"/>
          <w:color w:val="auto"/>
        </w:rPr>
        <w:t>— We manage our business as one operating segment. In addition, all of our sales were made to customers located in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all property and equipment is located in the U.S.</w:t>
      </w:r>
    </w:p>
    <w:p>
      <w:pPr>
        <w:spacing w:after="0" w:line="9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in our condensed consolidated balance sheets. Finance leases are included in other assets, current lease liabilities, and long-term lease liabilities in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5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37"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63" w:lineRule="exact"/>
        <w:rPr>
          <w:sz w:val="20"/>
          <w:szCs w:val="20"/>
          <w:color w:val="auto"/>
        </w:rPr>
      </w:pPr>
    </w:p>
    <w:p>
      <w:pPr>
        <w:ind w:left="1540" w:hanging="89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assets or liabilities measured at fair value on a recurring or non-recurring basis as of October 1, 2022 or January 1, 2022. Generally, assets are recorded at fair value on a non-recurring basis as a result of impairment charges. There were no transfers of assets or liabilities between levels within the fair value hierarchy during the 39 weeks ended October 1, 2022.</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independent operator ("IO") receivables, other accounts receivable and accounts payable </w:t>
      </w:r>
      <w:r>
        <w:rPr>
          <w:rFonts w:ascii="Arial" w:cs="Arial" w:eastAsia="Arial" w:hAnsi="Arial"/>
          <w:sz w:val="18"/>
          <w:szCs w:val="18"/>
          <w:color w:val="auto"/>
        </w:rPr>
        <w:t>— The carrying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approximates their fair value due to factors such as their short-term nature or their variable interest rates.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IO notes receivable (net) </w:t>
      </w:r>
      <w:r>
        <w:rPr>
          <w:rFonts w:ascii="Arial" w:cs="Arial" w:eastAsia="Arial" w:hAnsi="Arial"/>
          <w:sz w:val="18"/>
          <w:szCs w:val="18"/>
          <w:color w:val="auto"/>
        </w:rPr>
        <w:t>— The carrying value of such financial instruments approximates their fair value due to the effect of the related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expected credit losses.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(amounts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ind w:right="119"/>
              <w:spacing w:after="0" w:line="153" w:lineRule="exact"/>
              <w:rPr>
                <w:sz w:val="20"/>
                <w:szCs w:val="20"/>
                <w:color w:val="auto"/>
              </w:rPr>
            </w:pPr>
            <w:r>
              <w:rPr>
                <w:rFonts w:ascii="Arial" w:cs="Arial" w:eastAsia="Arial" w:hAnsi="Arial"/>
                <w:sz w:val="14"/>
                <w:szCs w:val="14"/>
                <w:b w:val="1"/>
                <w:bCs w:val="1"/>
                <w:color w:val="auto"/>
              </w:rPr>
              <w:t>October 1,</w:t>
            </w: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ind w:right="119"/>
              <w:spacing w:after="0" w:line="153" w:lineRule="exact"/>
              <w:rPr>
                <w:sz w:val="20"/>
                <w:szCs w:val="20"/>
                <w:color w:val="auto"/>
              </w:rPr>
            </w:pPr>
            <w:r>
              <w:rPr>
                <w:rFonts w:ascii="Arial" w:cs="Arial" w:eastAsia="Arial" w:hAnsi="Arial"/>
                <w:sz w:val="14"/>
                <w:szCs w:val="14"/>
                <w:b w:val="1"/>
                <w:bCs w:val="1"/>
                <w:color w:val="auto"/>
              </w:rPr>
              <w:t>January 1,</w:t>
            </w: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Senior term loan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379,261</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377,300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451,468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457,700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ind w:left="50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carrying amounts as of October 1, 2022 and January 1, 2022 are net of unamortized debt discounts of $0.7 million and $1.0 million, respectively, and debt issuance costs of $5.1 million and $7.5 million, respectively.</w:t>
      </w:r>
    </w:p>
    <w:p>
      <w:pPr>
        <w:spacing w:after="0" w:line="10" w:lineRule="exact"/>
        <w:rPr>
          <w:rFonts w:ascii="Arial" w:cs="Arial" w:eastAsia="Arial" w:hAnsi="Arial"/>
          <w:sz w:val="16"/>
          <w:szCs w:val="16"/>
          <w:color w:val="auto"/>
        </w:rPr>
      </w:pPr>
    </w:p>
    <w:p>
      <w:pPr>
        <w:ind w:left="500" w:right="20" w:hanging="492"/>
        <w:spacing w:after="0" w:line="293"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fair value of our senior term loan was determined based on the average quoted bid-ask prices for the senior term loan in an over-the-counter market on the last trading day of the periods presented.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We recognize revenue from the sale of products at the point of sale, net of any taxes or deposits collected and remitted to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October 1, 2022 and January 1, 2022.</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$2.8 million and $3.6 million as of October 1, 2022 and January 1, 2022, respectively. Breakage amounts were immaterial for the 13 and 39 weeks ended October 1, 2022 and October 2, 2021.</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Disaggregated Revenues </w:t>
      </w:r>
      <w:r>
        <w:rPr>
          <w:rFonts w:ascii="Arial" w:cs="Arial" w:eastAsia="Arial" w:hAnsi="Arial"/>
          <w:sz w:val="16"/>
          <w:szCs w:val="16"/>
          <w:color w:val="auto"/>
        </w:rPr>
        <w:t>— The following table presents net sales revenue by type of product for the periods indicated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3"/>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7"/>
              <w:spacing w:after="0" w:line="133"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7"/>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29"/>
        </w:trPr>
        <w:tc>
          <w:tcPr>
            <w:tcW w:w="4980" w:type="dxa"/>
            <w:vAlign w:val="bottom"/>
            <w:shd w:val="clear" w:color="auto" w:fill="CCEEFF"/>
          </w:tcPr>
          <w:p>
            <w:pPr>
              <w:ind w:left="20"/>
              <w:spacing w:after="0" w:line="228"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800,623</w:t>
            </w: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1,696,237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1,496,258</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2,296,881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Non-perishable departments include non-perishable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7"/>
          <w:szCs w:val="17"/>
          <w:b w:val="1"/>
          <w:bCs w:val="1"/>
          <w:color w:val="auto"/>
        </w:rPr>
        <w:t xml:space="preserve">Variable Interest Entities </w:t>
      </w:r>
      <w:r>
        <w:rPr>
          <w:rFonts w:ascii="Arial" w:cs="Arial" w:eastAsia="Arial" w:hAnsi="Arial"/>
          <w:sz w:val="17"/>
          <w:szCs w:val="17"/>
          <w:color w:val="auto"/>
        </w:rPr>
        <w:t>— In accordance with the variable interest entities sub-section of Accounting Standards Codification ("ASC") Topic 810,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Consolidation</w:t>
      </w:r>
      <w:r>
        <w:rPr>
          <w:rFonts w:ascii="Arial" w:cs="Arial" w:eastAsia="Arial" w:hAnsi="Arial"/>
          <w:sz w:val="17"/>
          <w:szCs w:val="17"/>
          <w:color w:val="auto"/>
        </w:rPr>
        <w:t>, we assess at each reporting period whether we, or any consolidated entity, are considered the primary beneficiary of a variable interest entity</w:t>
      </w:r>
      <w:r>
        <w:rPr>
          <w:rFonts w:ascii="Arial" w:cs="Arial" w:eastAsia="Arial" w:hAnsi="Arial"/>
          <w:sz w:val="17"/>
          <w:szCs w:val="17"/>
          <w:i w:val="1"/>
          <w:iCs w:val="1"/>
          <w:color w:val="auto"/>
        </w:rPr>
        <w:t xml:space="preserve"> </w:t>
      </w:r>
      <w:r>
        <w:rPr>
          <w:rFonts w:ascii="Arial" w:cs="Arial" w:eastAsia="Arial" w:hAnsi="Arial"/>
          <w:sz w:val="17"/>
          <w:szCs w:val="17"/>
          <w:color w:val="auto"/>
        </w:rPr>
        <w:t>("VIE")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427, 411 and 403 stores operated by IOs as of October 1, 2022, January 1, 2022 and October 2, 2021,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7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consignor of all merchandise to each IO, the aggregate net sales proceeds from merchandise sales belongs to us. Net sales related to IO stores were $903.1 million and $754.4 million for the 13 weeks ended October 1, 2022 and October 2, 2021, respectively, and $2.60 billion and $2.26 billion for the 39 weeks ended October 1, 2022 and October 2, 2021,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$136.5 million and $117.2 million for the 13 weeks ended October 1, 2022 and October 2, 2021, respectively, and $395.7 million and $345.3 million for the 39 weeks ended October 1, 2022 and October 2, 2021, respectively. IO commissions of $8.6 million and $9.1 million were included in accrued and other current liabilities as of October 1, 2022 and January 1, 2022, respectively.</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An IO may fund its initial store investment from existing capital, a third-party loan or most commonly through a loan from us, as further discussed in Note 2.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spacing w:after="0" w:line="8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the Company is not the primary beneficiary of these VIEs.</w:t>
      </w:r>
    </w:p>
    <w:p>
      <w:pPr>
        <w:spacing w:after="0" w:line="8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maximum exposure, in accordance with ASC Topic 810, to the IOs is generally limited to the IO notes and IO receivables due from these entities, which was $44.5 million and $40.6 million as of October 1, 2022 and January 1, 2022, respectively. See Note 2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recently adopted accounting pronouncements had a material effect in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Accounting Standards Update ("ASU") No. 2022-02 </w:t>
      </w:r>
      <w:r>
        <w:rPr>
          <w:rFonts w:ascii="Arial" w:cs="Arial" w:eastAsia="Arial" w:hAnsi="Arial"/>
          <w:sz w:val="18"/>
          <w:szCs w:val="18"/>
          <w:color w:val="auto"/>
        </w:rPr>
        <w:t>— In March 2022, the Financial Accounting Standards Board issued ASU No. 2022-02,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Troubled Debt Restructurings and Vintage Disclosures ("ASU 2022-02"). ASU 2022-02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ASU 2022-02 is effective for fiscal years beginning after December 15, 2022, including interim periods within those fiscal years. We will adopt ASU 2022-02 beginning in the first quarter of fiscal 2023. We do not expect the adoption of ASU 2022-02 to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Independent Operator Notes and Independent Operator Receivables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amounts included in IO notes and IO receivables consist primarily of funds we loaned to IOs, net of estimated uncollectible amounts. IO notes, which are payable on demand and have no maturity date,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$0.8 million and $0.5 million as of October 1, 2022 and January 1, 2022, respectively. There were no IO notes that were past due or on a non-accrual status due to delinquency as of October 1, 2022 or January 1, 2022. Notes and receivables from our IOs participating in our TCAP, as defined below, are not considered to be past due or on a non-accrual status due to delinquency and are excluded from such measures.</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980" w:hanging="324"/>
        <w:spacing w:after="0" w:line="259"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74" w:lineRule="exact"/>
        <w:rPr>
          <w:rFonts w:ascii="Arial" w:cs="Arial" w:eastAsia="Arial" w:hAnsi="Arial"/>
          <w:sz w:val="18"/>
          <w:szCs w:val="18"/>
          <w:b w:val="1"/>
          <w:bCs w:val="1"/>
          <w:color w:val="auto"/>
        </w:rPr>
      </w:pPr>
    </w:p>
    <w:p>
      <w:pPr>
        <w:ind w:left="980" w:right="2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Amounts due from IOs and the related allowances as of October 1, 2022 and January 1, 2022 consisted of the following (amounts in thousands)</w:t>
      </w:r>
      <w:r>
        <w:rPr>
          <w:rFonts w:ascii="Arial" w:cs="Arial" w:eastAsia="Arial" w:hAnsi="Arial"/>
          <w:sz w:val="17"/>
          <w:szCs w:val="17"/>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Allowance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3"/>
                <w:szCs w:val="13"/>
                <w:color w:val="auto"/>
              </w:rPr>
            </w:pPr>
          </w:p>
        </w:tc>
        <w:tc>
          <w:tcPr>
            <w:tcW w:w="980" w:type="dxa"/>
            <w:vAlign w:val="bottom"/>
          </w:tcPr>
          <w:p>
            <w:pPr>
              <w:jc w:val="center"/>
              <w:ind w:right="77"/>
              <w:spacing w:after="0" w:line="155"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2022</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35,873</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23,698</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21,949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Allowance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3"/>
                <w:szCs w:val="13"/>
                <w:color w:val="auto"/>
              </w:rPr>
            </w:pPr>
          </w:p>
        </w:tc>
        <w:tc>
          <w:tcPr>
            <w:tcW w:w="98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15"/>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2022</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34,221</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22,904</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IO notes and IO receivables allowance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238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3"/>
        </w:trPr>
        <w:tc>
          <w:tcPr>
            <w:tcW w:w="5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5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Provision for IO notes and IO receivables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provision for IO notes and IO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w:t>
            </w: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the amortized cost basis of IO notes by year of origination and credit quality indicator as of October 1, 2022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2022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left="33"/>
              <w:spacing w:after="0"/>
              <w:rPr>
                <w:sz w:val="20"/>
                <w:szCs w:val="20"/>
                <w:color w:val="auto"/>
              </w:rPr>
            </w:pPr>
            <w:r>
              <w:rPr>
                <w:rFonts w:ascii="Arial" w:cs="Arial" w:eastAsia="Arial" w:hAnsi="Arial"/>
                <w:sz w:val="14"/>
                <w:szCs w:val="14"/>
                <w:b w:val="1"/>
                <w:bCs w:val="1"/>
                <w:color w:val="auto"/>
                <w:w w:val="97"/>
              </w:rPr>
              <w:t>Prior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1,990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35,873</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Note 3. Long-term Debt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10"/>
          </w:tcPr>
          <w:p>
            <w:pPr>
              <w:ind w:left="500"/>
              <w:spacing w:after="0"/>
              <w:rPr>
                <w:sz w:val="20"/>
                <w:szCs w:val="20"/>
                <w:color w:val="auto"/>
              </w:rPr>
            </w:pPr>
            <w:r>
              <w:rPr>
                <w:rFonts w:ascii="Arial" w:cs="Arial" w:eastAsia="Arial" w:hAnsi="Arial"/>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First Lien Credit Agreement: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Senior term loan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89"/>
              </w:rPr>
              <w:t>385,000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gross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89"/>
              </w:rPr>
              <w:t>385,000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w w:val="99"/>
              </w:rPr>
              <w:t>Less: Unamortized debt issuance costs and debt discounts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89"/>
              </w:rPr>
              <w:t>379,261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451,468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GOBP Holdings, Inc. ("GOBP Holdings"), our wholly owned subsidiary, together with another of our wholly owned subsidiaries, has a first lien credit agreement (the "First Lien Credit Agreement") with a syndicate of lenders that consists of a $385.0 million senior term loan and a revolving credit facility for an amount up to $100.0 million, with sub-commitments for a $35.0 million letter of credit and $20.0 million of swingline loans as of October 1, 2022. The First Lien Credit Agreement permits voluntary prepayment on borrowings without premium or penalty. Borrowings under the First Lien Credit Agreement are secured by substantially all the assets of the borrower subsidiary and its guarantors.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April 29, 2022, we prepaid $75.0 million of principal on the senior term loan outstanding under our First Lien Credit Agreement. In connection with the payment, we wrote off $1.3 million of previously unamortized debt issuance costs and debt discounts.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$385.0 million senior term loan matures on October 22, 2025, has an applicable margin of 2.75% for Eurodollar loans and 1.75% for base rate loans, and had an effective interest rate of 5.87% as of October 1, 2022. Due to previous prepayments on the senior term loan, no further principal payment on the senior term loan will be due until the maturity date.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October 1, 2022, we had $3.5 million of outstanding standby letters of credit and $96.5 million of remaining borrowing capacity available under the revolving credit facility, which matures on October 23, 2023. No amounts were outstanding under the revolving credit facility as of October 1, 2022 and January 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such as incurring additional debt or issuing certain preferred shares, and making certain types of payments including dividends and stock repurchases and other similar distributions, with certain exceptions. Additionally, borrowing availability under the revolving credit facility under our First Lien Credit Agreement is subject to a first lien secured leverage ratio (as defined in the First Lien Credit Agreement) of 7.00 to 1.00.</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1, 2022, we were in compliance with all applicable financial covenant requirements for our First Lien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October 1, 2022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4"/>
          </w:tcPr>
          <w:p>
            <w:pPr>
              <w:ind w:left="500"/>
              <w:spacing w:after="0"/>
              <w:rPr>
                <w:sz w:val="20"/>
                <w:szCs w:val="20"/>
                <w:color w:val="auto"/>
              </w:rPr>
            </w:pPr>
            <w:r>
              <w:rPr>
                <w:rFonts w:ascii="Arial" w:cs="Arial" w:eastAsia="Arial" w:hAnsi="Arial"/>
                <w:sz w:val="18"/>
                <w:szCs w:val="18"/>
                <w:color w:val="auto"/>
              </w:rPr>
              <w:t>Interest expense, net, consisted of the following (amounts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24"/>
                <w:szCs w:val="24"/>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5"/>
              <w:spacing w:after="0" w:line="129"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debt discounts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on debt extinguishment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72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13 Weeks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ind w:left="780"/>
              <w:spacing w:after="0"/>
              <w:rPr>
                <w:sz w:val="20"/>
                <w:szCs w:val="20"/>
                <w:color w:val="auto"/>
              </w:rPr>
            </w:pPr>
            <w:r>
              <w:rPr>
                <w:rFonts w:ascii="Arial" w:cs="Arial" w:eastAsia="Arial" w:hAnsi="Arial"/>
                <w:sz w:val="14"/>
                <w:szCs w:val="14"/>
                <w:b w:val="1"/>
                <w:bCs w:val="1"/>
                <w:color w:val="auto"/>
              </w:rPr>
              <w:t>39 Weeks Ended</w:t>
            </w:r>
          </w:p>
        </w:tc>
      </w:tr>
      <w:tr>
        <w:trPr>
          <w:trHeight w:val="25"/>
        </w:trPr>
        <w:tc>
          <w:tcPr>
            <w:tcW w:w="5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500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22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2"/>
              </w:rPr>
              <w:t>October 2,</w:t>
            </w:r>
          </w:p>
        </w:tc>
      </w:tr>
      <w:tr>
        <w:trPr>
          <w:trHeight w:val="192"/>
        </w:trPr>
        <w:tc>
          <w:tcPr>
            <w:tcW w:w="50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debt issuance costs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Write off of debt discounts</w:t>
            </w:r>
          </w:p>
        </w:tc>
        <w:tc>
          <w:tcPr>
            <w:tcW w:w="114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59"/>
        </w:trPr>
        <w:tc>
          <w:tcPr>
            <w:tcW w:w="5000" w:type="dxa"/>
            <w:vAlign w:val="bottom"/>
          </w:tcPr>
          <w:p>
            <w:pPr>
              <w:spacing w:after="0"/>
              <w:rPr>
                <w:sz w:val="24"/>
                <w:szCs w:val="24"/>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open-market purchases, accelerated share repurchase programs, privately negotiated transactions, structured repurchase transactions and under a Rule 10b5-1 plan (which would permit shares to be repurchased when the Company might otherwise be precluded from doing so under securities laws). Any repurchased shares are constructively retired and returned to an unissued status. During the 13 weeks ended October 1, 2022, we did not repurchase any shares of common stock. During the 39 weeks ended October 1, 2022, we repurchased 139,718 shares of common stock totaling $3.5 million, including commissions, at an average price of $24.70 per share in open-market transactions pursuant to a Rule 10b5-1 plan. As of October 1, 2022, we had $96.5 million of repurchase authority remaining under the share repurchase program.</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share-based incentive plans, refer to Note 8 of our 2021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Award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under all equity incentive plans during the 39 weeks ended October 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5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15"/>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1, 2022</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3,135,141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1,696,194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(233,777)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(800,900)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(238,122)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Options outstanding as of October 1, 2022</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2,663,242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895,294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October 1, 2022</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1,725,512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895,294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restricted stock unit ("RSU") activity under all equity incentive plans during the 39 weeks ended October 1,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448,320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October 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performance-based restricted stock unit ("PSU") activity under the Grocery Outlet Holding Corp. 2019 Incentive Plan during the 39 weeks ended October 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404,382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Adjustment for expected performance achievement </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Unvested balance as of October 1, 2022 </w:t>
            </w:r>
            <w:r>
              <w:rPr>
                <w:rFonts w:ascii="Arial" w:cs="Arial" w:eastAsia="Arial" w:hAnsi="Arial"/>
                <w:sz w:val="23"/>
                <w:szCs w:val="23"/>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adjustment to previously granted PSUs based on performance expectations as of October 1, 2022.</w:t>
      </w:r>
    </w:p>
    <w:p>
      <w:pPr>
        <w:spacing w:after="0" w:line="72"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 additional 555,313 PSUs could potentially be included if the maximum performance level of 200% is reached for all PSUs outstanding as of October 1,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13 Weeks Ended</w:t>
            </w:r>
          </w:p>
        </w:tc>
        <w:tc>
          <w:tcPr>
            <w:tcW w:w="240" w:type="dxa"/>
            <w:vAlign w:val="bottom"/>
          </w:tcPr>
          <w:p>
            <w:pPr>
              <w:spacing w:after="0"/>
              <w:rPr>
                <w:sz w:val="16"/>
                <w:szCs w:val="16"/>
                <w:color w:val="auto"/>
              </w:rPr>
            </w:pPr>
          </w:p>
        </w:tc>
        <w:tc>
          <w:tcPr>
            <w:tcW w:w="26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3"/>
        </w:trPr>
        <w:tc>
          <w:tcPr>
            <w:tcW w:w="5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October 1,</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5"/>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5,162</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ind w:left="500" w:right="2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cash dividends paid upon vesting of share-based awards as a result of dividends declared in connection with recapitalizations that occurred in fiscal 2018 and 2016.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income tax expense and effective income tax rate were as follows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110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8"/>
        </w:trPr>
        <w:tc>
          <w:tcPr>
            <w:tcW w:w="4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October 1,</w:t>
            </w:r>
          </w:p>
        </w:tc>
        <w:tc>
          <w:tcPr>
            <w:tcW w:w="4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9"/>
              <w:spacing w:after="0" w:line="129" w:lineRule="exact"/>
              <w:rPr>
                <w:sz w:val="20"/>
                <w:szCs w:val="20"/>
                <w:color w:val="auto"/>
              </w:rPr>
            </w:pPr>
            <w:r>
              <w:rPr>
                <w:rFonts w:ascii="Arial" w:cs="Arial" w:eastAsia="Arial" w:hAnsi="Arial"/>
                <w:sz w:val="14"/>
                <w:szCs w:val="14"/>
                <w:b w:val="1"/>
                <w:bCs w:val="1"/>
                <w:color w:val="auto"/>
                <w:w w:val="92"/>
              </w:rPr>
              <w:t>October 2,</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October 1,</w:t>
            </w:r>
          </w:p>
        </w:tc>
        <w:tc>
          <w:tcPr>
            <w:tcW w:w="4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79"/>
              <w:spacing w:after="0" w:line="129" w:lineRule="exact"/>
              <w:rPr>
                <w:sz w:val="20"/>
                <w:szCs w:val="20"/>
                <w:color w:val="auto"/>
              </w:rPr>
            </w:pPr>
            <w:r>
              <w:rPr>
                <w:rFonts w:ascii="Arial" w:cs="Arial" w:eastAsia="Arial" w:hAnsi="Arial"/>
                <w:sz w:val="14"/>
                <w:szCs w:val="14"/>
                <w:b w:val="1"/>
                <w:bCs w:val="1"/>
                <w:color w:val="auto"/>
                <w:w w:val="89"/>
              </w:rPr>
              <w:t>October 2,</w:t>
            </w:r>
          </w:p>
        </w:tc>
      </w:tr>
      <w:tr>
        <w:trPr>
          <w:trHeight w:val="196"/>
        </w:trPr>
        <w:tc>
          <w:tcPr>
            <w:tcW w:w="4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8,234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10,185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15.5 %</w:t>
            </w:r>
          </w:p>
        </w:tc>
      </w:tr>
    </w:tbl>
    <w:p>
      <w:pPr>
        <w:spacing w:after="0" w:line="17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Company's tax provision for interim periods is determined using an estimated annual effective tax rate, adjusted for discrete events arising in each respective quarter. During each interim period, the Company updates the estimated annual effective tax rate. Our effective income tax rate for the 13 and 39 weeks ended October 1, 2022 was lower than the combined U.S. federal and state statutory income tax rate primarily due to excess tax benefits related to the exercise of stock options and vesting of RSUs. The decrease in our effective income tax rate for the 13 weeks ended October 1, 2022 compared to the 13 weeks ended October 2, 2021 was primarily due to an increase in discrete items related to the exercise of stock options and vesting of RSUs. The decrease in our effective income tax rate for the 39 weeks ended October 1, 2022 compared to the 39 weeks ended October 2, 2021 was primarily driven by lower pretax income.</w:t>
      </w:r>
    </w:p>
    <w:p>
      <w:pPr>
        <w:spacing w:after="0" w:line="8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Our policy is to recognize interest and penalties associated with uncertain tax positions as part of the income tax provision in our condensed consolidated statements of operations and comprehensive income and include accrued interest and penalties with the related income tax liability in our condensed consolidated balance sheets. To date, we have not recognized any interest and penalties, nor have we accrued for or made payments for interest and penalties. We had no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uncertain tax positions as of October 1, 2022 and January 1, 2022, respectively, and do not anticipate any changes to our uncertain tax positions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of October 1, 2022 and October 2, 2021, we leased 15 store locations and one warehouse location from entities in which Eric Lindberg, Jr., Chief Executive Officer, and MacGregor Read Jr., who served as Vice Chairman of our Board of Directors until September 1, 2022, or their respective families, had a direct or indirect financial interest. As of October 1, 2022, the right-of-use assets and lease liabilities related to these properties was $41.1 million and $46.1 million, respectively. As of January 1, 2022, the right-of-use assets and lease liabilities related to these properties was $36.9 million and $41.6 million, respectively. These related parties received aggregate lease payments from us of $1.7 million and $1.5 million for the 13 weeks ended October 1, 2022 and October 2, 2021, respectively, and $5.1 million and $4.5 million for the 39 weeks ended October 1, 2022 and October 2,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Independent Operator Receivables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offer interest-bearing notes to IOs and the gross amount of IO operating notes and IO receivables due was $44.5 million and $40.6 million as of October 1, 2022 and January 1, 2022, respectively. See Note 2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the Company will provide disclosure regarding the contingency. Management believes that we do not have any pending litigation that, separately or in the aggregate, would have a material adverse effect on our results of operations, financial condition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39 Weeks Ended</w:t>
            </w:r>
          </w:p>
        </w:tc>
      </w:tr>
      <w:tr>
        <w:trPr>
          <w:trHeight w:val="25"/>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3"/>
        </w:trPr>
        <w:tc>
          <w:tcPr>
            <w:tcW w:w="50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4"/>
              <w:spacing w:after="0" w:line="133"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4"/>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5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49,163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55,671</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97,057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96,587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95,610</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500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99,477</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0.56</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jc w:val="both"/>
        <w:ind w:left="500" w:hanging="492"/>
        <w:spacing w:after="0" w:line="269" w:lineRule="auto"/>
        <w:tabs>
          <w:tab w:leader="none" w:pos="500" w:val="left"/>
        </w:tabs>
        <w:numPr>
          <w:ilvl w:val="0"/>
          <w:numId w:val="8"/>
        </w:numPr>
        <w:rPr>
          <w:rFonts w:ascii="Arial" w:cs="Arial" w:eastAsia="Arial" w:hAnsi="Arial"/>
          <w:sz w:val="16"/>
          <w:szCs w:val="16"/>
          <w:color w:val="231F20"/>
        </w:rPr>
      </w:pPr>
      <w:r>
        <w:rPr>
          <w:rFonts w:ascii="Arial" w:cs="Arial" w:eastAsia="Arial" w:hAnsi="Arial"/>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13 and 39 weeks ended October 1, 2022 and October 2, 2021.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weighted-average common share equivalents were excluded from the calculation of diluted earnings per share because their effect would have been anti-dilutive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720" w:type="dxa"/>
            <w:vAlign w:val="bottom"/>
            <w:gridSpan w:val="4"/>
          </w:tcPr>
          <w:p>
            <w:pPr>
              <w:ind w:left="1040"/>
              <w:spacing w:after="0"/>
              <w:rPr>
                <w:sz w:val="20"/>
                <w:szCs w:val="20"/>
                <w:color w:val="auto"/>
              </w:rPr>
            </w:pPr>
            <w:r>
              <w:rPr>
                <w:rFonts w:ascii="Arial" w:cs="Arial" w:eastAsia="Arial" w:hAnsi="Arial"/>
                <w:sz w:val="14"/>
                <w:szCs w:val="14"/>
                <w:b w:val="1"/>
                <w:bCs w:val="1"/>
                <w:color w:val="auto"/>
              </w:rPr>
              <w:t>13 Weeks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3"/>
          </w:tcPr>
          <w:p>
            <w:pPr>
              <w:jc w:val="right"/>
              <w:ind w:right="962"/>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4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33"/>
        </w:trPr>
        <w:tc>
          <w:tcPr>
            <w:tcW w:w="4980" w:type="dxa"/>
            <w:vAlign w:val="bottom"/>
          </w:tcPr>
          <w:p>
            <w:pPr>
              <w:spacing w:after="0"/>
              <w:rPr>
                <w:sz w:val="11"/>
                <w:szCs w:val="11"/>
                <w:color w:val="auto"/>
              </w:rPr>
            </w:pPr>
          </w:p>
        </w:tc>
        <w:tc>
          <w:tcPr>
            <w:tcW w:w="1180" w:type="dxa"/>
            <w:vAlign w:val="bottom"/>
          </w:tcPr>
          <w:p>
            <w:pPr>
              <w:jc w:val="center"/>
              <w:ind w:left="228"/>
              <w:spacing w:after="0" w:line="133" w:lineRule="exact"/>
              <w:rPr>
                <w:sz w:val="20"/>
                <w:szCs w:val="20"/>
                <w:color w:val="auto"/>
              </w:rPr>
            </w:pPr>
            <w:r>
              <w:rPr>
                <w:rFonts w:ascii="Arial" w:cs="Arial" w:eastAsia="Arial" w:hAnsi="Arial"/>
                <w:sz w:val="14"/>
                <w:szCs w:val="14"/>
                <w:b w:val="1"/>
                <w:bCs w:val="1"/>
                <w:color w:val="auto"/>
                <w:w w:val="92"/>
              </w:rPr>
              <w:t>October 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88"/>
              <w:spacing w:after="0" w:line="133" w:lineRule="exact"/>
              <w:rPr>
                <w:sz w:val="20"/>
                <w:szCs w:val="20"/>
                <w:color w:val="auto"/>
              </w:rPr>
            </w:pPr>
            <w:r>
              <w:rPr>
                <w:rFonts w:ascii="Arial" w:cs="Arial" w:eastAsia="Arial" w:hAnsi="Arial"/>
                <w:sz w:val="14"/>
                <w:szCs w:val="14"/>
                <w:b w:val="1"/>
                <w:bCs w:val="1"/>
                <w:color w:val="auto"/>
                <w:w w:val="95"/>
              </w:rPr>
              <w:t>October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October 1,</w:t>
            </w: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October 2,</w:t>
            </w:r>
          </w:p>
        </w:tc>
      </w:tr>
      <w:tr>
        <w:trPr>
          <w:trHeight w:val="192"/>
        </w:trPr>
        <w:tc>
          <w:tcPr>
            <w:tcW w:w="61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Arial" w:cs="Arial" w:eastAsia="Arial" w:hAnsi="Arial"/>
          <w:sz w:val="18"/>
          <w:szCs w:val="18"/>
          <w:i w:val="1"/>
          <w:iCs w:val="1"/>
          <w:color w:val="231F20"/>
        </w:rPr>
        <w:t>in this report,</w:t>
      </w:r>
      <w:r>
        <w:rPr>
          <w:rFonts w:ascii="Arial" w:cs="Arial" w:eastAsia="Arial" w:hAnsi="Arial"/>
          <w:sz w:val="18"/>
          <w:szCs w:val="18"/>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January 1, 2022 ("2021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third quarter of fiscal 2022 and the third quarter of fiscal 2021 refer to the 13 weeks ended October 1, 2022 and October 2, 2021,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231F20"/>
        </w:rPr>
        <w:t>As used in this report, references to "Grocery Outlet," "the Company," "the registrant," "we," "us" and "our," refer to Grocery Outlet Holding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October 1, 2022, we had 431 stores in California, Washington, Oregon, Pennsylvania, Idaho, Nevada, New Jersey and Maryland.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third quarter of fiscal 2022, our business continued to be impacted by current macroeconomic conditions including supply chain and labor challenges, inflation, and changes in consumer behavior. The extent and continuing impact of these factors on our operational and financial performance will depend on many factors, including those outside of our control.</w:t>
      </w:r>
    </w:p>
    <w:p>
      <w:pPr>
        <w:spacing w:after="0" w:line="7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Like many companies in the grocery and retail sectors, we continue to experience increased product costs, which is being reflected in part in higher retail pricing. These cost increases result in part from supply disruptions, increased shipping and transportation costs, increased commodity costs, increased labor costs in the supply chain and other disruptions. We continue to utilize our unique buying model, our strong vendor relationships and our agile approach to inventory management to offer customers a compelling product assortment at deep competitive value. Similarly, we have incurred greater selling, general and administrative expenses ("SG&amp;A") related to personnel, travel, and other third party and operational costs due to these factors. Further, planned construction and opening of new stores has been, and may continue to be, negatively impacted due to both increased lead times to acquire materials, obtain permits and licenses as well as higher construction related costs. Therefore, we continue to plan for lower new store growth in fiscal 2022, compared to our long-term strategic goal of 10%. Our IOs also currently face and expect to continue to face staffing challenges and increased labor costs within their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generally accepted accounting principles ("GAAP") financial measures we use are net sales, gross profit and gross margin, SG&amp;A and operating income. The key operational metrics and non-GAAP financial measures we use are number of new stores, comparable store sales, EBITDA, adjusted EBITDA, adjusted net income and adjusted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2022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the third quarter of fiscal 2022 were as follows:</w:t>
      </w:r>
    </w:p>
    <w:p>
      <w:pPr>
        <w:spacing w:after="0" w:line="117" w:lineRule="exact"/>
        <w:rPr>
          <w:sz w:val="20"/>
          <w:szCs w:val="20"/>
          <w:color w:val="auto"/>
        </w:rPr>
      </w:pPr>
    </w:p>
    <w:p>
      <w:pPr>
        <w:ind w:left="820" w:hanging="326"/>
        <w:spacing w:after="0" w:line="274"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increased by 19.4% to $918.2 million from $768.9 million in the third quarter of fiscal 2021; comparable store sales increased by 15.4% and on a 3-year stacked basis increased by 20.2%</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opened six new stores, ending the third quarter of fiscal 2022 with 431 stores in eight states.</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increased by 2.1% to $17.5 million, or $0.17 per diluted share, compared to net income of $17.1 million, or $0.17 per diluted share, in the third quarter of fiscal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5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increased by 15.0% to $59.1 million compared to $51.4 million in the third quarter of fiscal 2021.</w:t>
      </w:r>
    </w:p>
    <w:p>
      <w:pPr>
        <w:spacing w:after="0" w:line="4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net income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increased by 14.2% to $26.8 million, or $0.27 per adjusted diluted share</w:t>
      </w:r>
      <w:r>
        <w:rPr>
          <w:rFonts w:ascii="Arial" w:cs="Arial" w:eastAsia="Arial" w:hAnsi="Arial"/>
          <w:sz w:val="22"/>
          <w:szCs w:val="22"/>
          <w:color w:val="auto"/>
          <w:vertAlign w:val="superscript"/>
        </w:rPr>
        <w:t>(2)</w:t>
      </w:r>
      <w:r>
        <w:rPr>
          <w:rFonts w:ascii="Arial" w:cs="Arial" w:eastAsia="Arial" w:hAnsi="Arial"/>
          <w:sz w:val="17"/>
          <w:szCs w:val="17"/>
          <w:color w:val="auto"/>
        </w:rPr>
        <w:t>, compared to $23.4 million, or $0.24 per</w:t>
      </w:r>
    </w:p>
    <w:p>
      <w:pPr>
        <w:ind w:left="820"/>
        <w:spacing w:after="0"/>
        <w:rPr>
          <w:sz w:val="20"/>
          <w:szCs w:val="20"/>
          <w:color w:val="auto"/>
        </w:rPr>
      </w:pPr>
      <w:r>
        <w:rPr>
          <w:rFonts w:ascii="Arial" w:cs="Arial" w:eastAsia="Arial" w:hAnsi="Arial"/>
          <w:sz w:val="18"/>
          <w:szCs w:val="18"/>
          <w:color w:val="auto"/>
        </w:rPr>
        <w:t>adjusted diluted share, in the third quarter of fiscal 2021.</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1"/>
          <w:szCs w:val="11"/>
          <w:color w:val="auto"/>
        </w:rPr>
        <w:t>_______________________</w:t>
      </w:r>
    </w:p>
    <w:p>
      <w:pPr>
        <w:spacing w:after="0" w:line="103" w:lineRule="exact"/>
        <w:rPr>
          <w:sz w:val="20"/>
          <w:szCs w:val="20"/>
          <w:color w:val="auto"/>
        </w:rPr>
      </w:pPr>
    </w:p>
    <w:p>
      <w:pPr>
        <w:ind w:left="660" w:right="2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Comparable store sales on a 3-year stacked basis represents the sum of the increase or decrease in comparable store sales, as reported, in the third quarters of fiscal 2022, 2021 and 2020.</w:t>
      </w:r>
    </w:p>
    <w:p>
      <w:pPr>
        <w:spacing w:after="0" w:line="50" w:lineRule="exact"/>
        <w:rPr>
          <w:rFonts w:ascii="Arial" w:cs="Arial" w:eastAsia="Arial" w:hAnsi="Arial"/>
          <w:sz w:val="16"/>
          <w:szCs w:val="16"/>
          <w:color w:val="auto"/>
        </w:rPr>
      </w:pPr>
    </w:p>
    <w:p>
      <w:pPr>
        <w:jc w:val="both"/>
        <w:ind w:left="660" w:hanging="328"/>
        <w:spacing w:after="0" w:line="26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management utilizes such non-GAAP financial measures and reconciliations of the non-GAAP measures and the most directly comparable GAAP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"Comparable Store Sales," and non-comparable stores.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and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Cost of sales includes, among other things, merchandise costs, inventory markdowns, inventory losses and transportation,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current macroeconomic conditions, including inflationary cost increases for goods, labor and transportation, supply chain constraints and changes in discretionary income, have resulted and could continue to result in unexpected changes to our gross margins. The components of our cost of sales, as well as our gross profit and gross margin, may not be comparable to the same or similar measures of our competitors and other retailers.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SG&amp;A are comprised of both store-related expenses and corporate expenses. Our store-related expenses include commissions paid to IOs, occupancy and our portion of maintenance costs and the cost of opening new IO stores. Company-operated store-related expenses also include payroll, benefits, supplies and utilities. Corporate expenses include payroll and benefits for corporate and field support, marketing and advertising, insurance and professional services and operator recruiting and training costs.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gain on insurance recoveries, loss on debt extinguishment and income tax expense. We use operating income as an indicator of the productivity of our business and our ability to manage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net sales (amounts in thousands, except for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9"/>
          </w:tcPr>
          <w:p>
            <w:pPr>
              <w:ind w:left="900"/>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2860" w:type="dxa"/>
            <w:vAlign w:val="bottom"/>
            <w:gridSpan w:val="6"/>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8"/>
        </w:trPr>
        <w:tc>
          <w:tcPr>
            <w:tcW w:w="4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ind w:left="280"/>
              <w:spacing w:after="0" w:line="129"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ind w:left="200"/>
              <w:spacing w:after="0" w:line="129" w:lineRule="exact"/>
              <w:rPr>
                <w:sz w:val="20"/>
                <w:szCs w:val="20"/>
                <w:color w:val="auto"/>
              </w:rPr>
            </w:pPr>
            <w:r>
              <w:rPr>
                <w:rFonts w:ascii="Arial" w:cs="Arial" w:eastAsia="Arial" w:hAnsi="Arial"/>
                <w:sz w:val="14"/>
                <w:szCs w:val="14"/>
                <w:b w:val="1"/>
                <w:bCs w:val="1"/>
                <w:color w:val="auto"/>
              </w:rPr>
              <w:t>October 1,</w:t>
            </w: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w w:val="95"/>
              </w:rPr>
              <w:t>October 2,</w:t>
            </w:r>
          </w:p>
        </w:tc>
      </w:tr>
      <w:tr>
        <w:trPr>
          <w:trHeight w:val="196"/>
        </w:trPr>
        <w:tc>
          <w:tcPr>
            <w:tcW w:w="47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918,185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768,880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2,647,271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2,296,881</w:t>
            </w: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637,550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531,768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1,836,336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1,590,044</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280,635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237,112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706,837</w:t>
            </w: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227,458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573,125</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17,495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49,997</w:t>
            </w: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23"/>
        </w:trPr>
        <w:tc>
          <w:tcPr>
            <w:tcW w:w="49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255,948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210,969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739,909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633,173</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24,687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71,026</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73,664</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r>
      <w:tr>
        <w:trPr>
          <w:trHeight w:val="229"/>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Gain on insurance recoveries</w:t>
            </w:r>
          </w:p>
        </w:tc>
        <w:tc>
          <w:tcPr>
            <w:tcW w:w="140" w:type="dxa"/>
            <w:vAlign w:val="bottom"/>
          </w:tcPr>
          <w:p>
            <w:pPr>
              <w:spacing w:after="0"/>
              <w:rPr>
                <w:sz w:val="19"/>
                <w:szCs w:val="19"/>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other expenses (income)</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3,950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65,856</w:t>
            </w: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5,054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91"/>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rPr>
              <w:t>13 Weeks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rPr>
              <w:t>39 Weeks Ended</w:t>
            </w:r>
          </w:p>
        </w:tc>
        <w:tc>
          <w:tcPr>
            <w:tcW w:w="1100" w:type="dxa"/>
            <w:vAlign w:val="bottom"/>
          </w:tcPr>
          <w:p>
            <w:pPr>
              <w:spacing w:after="0"/>
              <w:rPr>
                <w:sz w:val="24"/>
                <w:szCs w:val="24"/>
                <w:color w:val="auto"/>
              </w:rPr>
            </w:pPr>
          </w:p>
        </w:tc>
      </w:tr>
      <w:tr>
        <w:trPr>
          <w:trHeight w:val="25"/>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8"/>
        </w:trPr>
        <w:tc>
          <w:tcPr>
            <w:tcW w:w="47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October 1,</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w w:val="89"/>
              </w:rPr>
              <w:t>October 2,</w:t>
            </w:r>
          </w:p>
        </w:tc>
        <w:tc>
          <w:tcPr>
            <w:tcW w:w="100" w:type="dxa"/>
            <w:vAlign w:val="bottom"/>
          </w:tcPr>
          <w:p>
            <w:pPr>
              <w:spacing w:after="0"/>
              <w:rPr>
                <w:sz w:val="11"/>
                <w:szCs w:val="11"/>
                <w:color w:val="auto"/>
              </w:rPr>
            </w:pPr>
          </w:p>
        </w:tc>
        <w:tc>
          <w:tcPr>
            <w:tcW w:w="140" w:type="dxa"/>
            <w:vAlign w:val="bottom"/>
            <w:tcBorders>
              <w:top w:val="single" w:sz="8" w:color="auto"/>
            </w:tcBorders>
            <w:gridSpan w:val="2"/>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ind w:left="100"/>
              <w:spacing w:after="0" w:line="129" w:lineRule="exact"/>
              <w:rPr>
                <w:sz w:val="20"/>
                <w:szCs w:val="20"/>
                <w:color w:val="auto"/>
              </w:rPr>
            </w:pPr>
            <w:r>
              <w:rPr>
                <w:rFonts w:ascii="Arial" w:cs="Arial" w:eastAsia="Arial" w:hAnsi="Arial"/>
                <w:sz w:val="14"/>
                <w:szCs w:val="14"/>
                <w:b w:val="1"/>
                <w:bCs w:val="1"/>
                <w:color w:val="auto"/>
              </w:rPr>
              <w:t>October 1,</w:t>
            </w: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w w:val="89"/>
              </w:rPr>
              <w:t>October 2,</w:t>
            </w:r>
          </w:p>
        </w:tc>
      </w:tr>
      <w:tr>
        <w:trPr>
          <w:trHeight w:val="196"/>
        </w:trPr>
        <w:tc>
          <w:tcPr>
            <w:tcW w:w="4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b w:val="1"/>
                <w:bCs w:val="1"/>
                <w:color w:val="auto"/>
              </w:rPr>
              <w:t xml:space="preserve">Percentage of net sales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3"/>
        </w:trPr>
        <w:tc>
          <w:tcPr>
            <w:tcW w:w="4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insurance recoveries</w:t>
            </w:r>
          </w:p>
        </w:tc>
        <w:tc>
          <w:tcPr>
            <w:tcW w:w="14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expenses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from us for store build-outs, fixtures and equipment that we amortize over time as well as cash required for inventory and pre-opening expenses.</w:t>
      </w:r>
    </w:p>
    <w:p>
      <w:pPr>
        <w:spacing w:after="0" w:line="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expect new store growth to be the primary driver of our net sales growth over the long term. We lease substantially all of our store locations. Our initial lease terms on stores are typically ten years with options to renew for two or three successive five-year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spacing w:after="0" w:line="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measures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Adjusted Net Income and Adjusted Earnings Per Share</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accounts receivable reserves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financial measures for the periods presented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110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3"/>
        </w:trPr>
        <w:tc>
          <w:tcPr>
            <w:tcW w:w="4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October 1,</w:t>
            </w:r>
          </w:p>
        </w:tc>
        <w:tc>
          <w:tcPr>
            <w:tcW w:w="4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3" w:lineRule="exact"/>
              <w:rPr>
                <w:sz w:val="20"/>
                <w:szCs w:val="20"/>
                <w:color w:val="auto"/>
              </w:rPr>
            </w:pPr>
            <w:r>
              <w:rPr>
                <w:rFonts w:ascii="Arial" w:cs="Arial" w:eastAsia="Arial" w:hAnsi="Arial"/>
                <w:sz w:val="14"/>
                <w:szCs w:val="14"/>
                <w:b w:val="1"/>
                <w:bCs w:val="1"/>
                <w:color w:val="auto"/>
                <w:w w:val="92"/>
              </w:rPr>
              <w:t>October 2,</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October 1,</w:t>
            </w:r>
          </w:p>
        </w:tc>
        <w:tc>
          <w:tcPr>
            <w:tcW w:w="4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75"/>
              <w:spacing w:after="0" w:line="133" w:lineRule="exact"/>
              <w:rPr>
                <w:sz w:val="20"/>
                <w:szCs w:val="20"/>
                <w:color w:val="auto"/>
              </w:rPr>
            </w:pPr>
            <w:r>
              <w:rPr>
                <w:rFonts w:ascii="Arial" w:cs="Arial" w:eastAsia="Arial" w:hAnsi="Arial"/>
                <w:sz w:val="14"/>
                <w:szCs w:val="14"/>
                <w:b w:val="1"/>
                <w:bCs w:val="1"/>
                <w:color w:val="auto"/>
                <w:w w:val="89"/>
              </w:rPr>
              <w:t>October 2,</w:t>
            </w:r>
          </w:p>
        </w:tc>
      </w:tr>
      <w:tr>
        <w:trPr>
          <w:trHeight w:val="192"/>
        </w:trPr>
        <w:tc>
          <w:tcPr>
            <w:tcW w:w="4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280" w:type="dxa"/>
            <w:vAlign w:val="bottom"/>
          </w:tcPr>
          <w:p>
            <w:pPr>
              <w:spacing w:after="0"/>
              <w:rPr>
                <w:sz w:val="19"/>
                <w:szCs w:val="19"/>
                <w:color w:val="auto"/>
              </w:rPr>
            </w:pP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28</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407</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6"/>
                <w:szCs w:val="26"/>
                <w:color w:val="auto"/>
                <w:vertAlign w:val="superscript"/>
              </w:rPr>
              <w:t>(1)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44,841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44,377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128,450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129,679</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59,099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51,389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168,486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151,062</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6"/>
                <w:szCs w:val="26"/>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26,766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77,126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69,899</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Comparable store sales consist of net sales from our stores beginning on the first day of the fourteenth full fiscal month following the store's opening, which is when we believe comparability is achieved.</w:t>
      </w:r>
    </w:p>
    <w:p>
      <w:pPr>
        <w:spacing w:after="0" w:line="10"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"GAAP to Non-GAAP Reconciliations" section below for the applicable reconciliations.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3"/>
        </w:trPr>
        <w:tc>
          <w:tcPr>
            <w:tcW w:w="50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2"/>
              <w:spacing w:after="0" w:line="133" w:lineRule="exact"/>
              <w:rPr>
                <w:sz w:val="20"/>
                <w:szCs w:val="20"/>
                <w:color w:val="auto"/>
              </w:rPr>
            </w:pPr>
            <w:r>
              <w:rPr>
                <w:rFonts w:ascii="Arial" w:cs="Arial" w:eastAsia="Arial" w:hAnsi="Arial"/>
                <w:sz w:val="14"/>
                <w:szCs w:val="14"/>
                <w:b w:val="1"/>
                <w:bCs w:val="1"/>
                <w:color w:val="auto"/>
                <w:w w:val="92"/>
              </w:rPr>
              <w:t>October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2"/>
              <w:spacing w:after="0" w:line="133" w:lineRule="exact"/>
              <w:rPr>
                <w:sz w:val="20"/>
                <w:szCs w:val="20"/>
                <w:color w:val="auto"/>
              </w:rPr>
            </w:pPr>
            <w:r>
              <w:rPr>
                <w:rFonts w:ascii="Arial" w:cs="Arial" w:eastAsia="Arial" w:hAnsi="Arial"/>
                <w:sz w:val="14"/>
                <w:szCs w:val="14"/>
                <w:b w:val="1"/>
                <w:bCs w:val="1"/>
                <w:color w:val="auto"/>
                <w:w w:val="92"/>
              </w:rPr>
              <w:t>October 2,</w:t>
            </w:r>
          </w:p>
        </w:tc>
      </w:tr>
      <w:tr>
        <w:trPr>
          <w:trHeight w:val="192"/>
        </w:trPr>
        <w:tc>
          <w:tcPr>
            <w:tcW w:w="5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11,778</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r>
      <w:tr>
        <w:trPr>
          <w:trHeight w:val="230"/>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58,698</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52,045</w:t>
            </w:r>
          </w:p>
        </w:tc>
      </w:tr>
      <w:tr>
        <w:trPr>
          <w:trHeight w:val="22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129,679</w:t>
            </w: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10,051</w:t>
            </w: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r>
      <w:tr>
        <w:trPr>
          <w:trHeight w:val="229"/>
        </w:trPr>
        <w:tc>
          <w:tcPr>
            <w:tcW w:w="500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r>
      <w:tr>
        <w:trPr>
          <w:trHeight w:val="229"/>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8"/>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151,062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31"/>
        </w:trPr>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24"/>
                <w:szCs w:val="24"/>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26"/>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8"/>
        </w:trPr>
        <w:tc>
          <w:tcPr>
            <w:tcW w:w="50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2"/>
              <w:spacing w:after="0" w:line="129" w:lineRule="exact"/>
              <w:rPr>
                <w:sz w:val="20"/>
                <w:szCs w:val="20"/>
                <w:color w:val="auto"/>
              </w:rPr>
            </w:pPr>
            <w:r>
              <w:rPr>
                <w:rFonts w:ascii="Arial" w:cs="Arial" w:eastAsia="Arial" w:hAnsi="Arial"/>
                <w:sz w:val="14"/>
                <w:szCs w:val="14"/>
                <w:b w:val="1"/>
                <w:bCs w:val="1"/>
                <w:color w:val="auto"/>
                <w:w w:val="92"/>
              </w:rPr>
              <w:t>October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2"/>
              <w:spacing w:after="0" w:line="129" w:lineRule="exact"/>
              <w:rPr>
                <w:sz w:val="20"/>
                <w:szCs w:val="20"/>
                <w:color w:val="auto"/>
              </w:rPr>
            </w:pPr>
            <w:r>
              <w:rPr>
                <w:rFonts w:ascii="Arial" w:cs="Arial" w:eastAsia="Arial" w:hAnsi="Arial"/>
                <w:sz w:val="14"/>
                <w:szCs w:val="14"/>
                <w:b w:val="1"/>
                <w:bCs w:val="1"/>
                <w:color w:val="auto"/>
                <w:w w:val="92"/>
              </w:rPr>
              <w:t>October 2,</w:t>
            </w:r>
          </w:p>
        </w:tc>
      </w:tr>
      <w:tr>
        <w:trPr>
          <w:trHeight w:val="196"/>
        </w:trPr>
        <w:tc>
          <w:tcPr>
            <w:tcW w:w="50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55,671</w:t>
            </w:r>
          </w:p>
        </w:tc>
      </w:tr>
      <w:tr>
        <w:trPr>
          <w:trHeight w:val="229"/>
        </w:trPr>
        <w:tc>
          <w:tcPr>
            <w:tcW w:w="500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10,051</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175"/>
        </w:trPr>
        <w:tc>
          <w:tcPr>
            <w:tcW w:w="5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Amortization of purchase accounting assets and deferred financing</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50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8"/>
                <w:szCs w:val="28"/>
                <w:color w:val="auto"/>
                <w:vertAlign w:val="superscript"/>
              </w:rPr>
              <w:t>(7)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Tax adjustment to normalize effective tax rate </w:t>
            </w:r>
            <w:r>
              <w:rPr>
                <w:rFonts w:ascii="Arial" w:cs="Arial" w:eastAsia="Arial" w:hAnsi="Arial"/>
                <w:sz w:val="26"/>
                <w:szCs w:val="26"/>
                <w:color w:val="auto"/>
                <w:vertAlign w:val="superscript"/>
              </w:rPr>
              <w:t>(8)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(7,525)</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(9)</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69,899</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GAAP earnings per share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95,610</w:t>
            </w: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99,477</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49" w:lineRule="exact"/>
        <w:rPr>
          <w:sz w:val="20"/>
          <w:szCs w:val="20"/>
          <w:color w:val="auto"/>
        </w:rPr>
      </w:pPr>
    </w:p>
    <w:p>
      <w:pPr>
        <w:ind w:left="500" w:hanging="492"/>
        <w:spacing w:after="0" w:line="332"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jc w:val="both"/>
        <w:ind w:left="500" w:hanging="492"/>
        <w:spacing w:after="0" w:line="269" w:lineRule="auto"/>
        <w:tabs>
          <w:tab w:leader="none" w:pos="50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Includes non-cash share-based compensation expense and cash dividends paid on vested share-based awards as a result of dividends declared in connection with recapitalizations that occurred in fiscal 2018 and 2016. See "Share-based Compensation Expense" in the "Comparison of the 13 and 39 weeks ended October 1, 2022 and October 2, 2021" section below for additional information.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11" w:lineRule="exact"/>
        <w:rPr>
          <w:sz w:val="20"/>
          <w:szCs w:val="20"/>
          <w:color w:val="auto"/>
        </w:rPr>
      </w:pP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the non-cash portion of rent expense, which represents the difference between our straight-line rent expense recognized under GAAP and cash rent payments. The adjustment can vary depending on the average age of our lease portfolio.</w:t>
      </w:r>
    </w:p>
    <w:p>
      <w:pPr>
        <w:spacing w:after="0" w:line="23"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asset impairment charges and gains or losses on dispositions of assets.</w:t>
      </w:r>
    </w:p>
    <w:p>
      <w:pPr>
        <w:spacing w:after="0" w:line="59" w:lineRule="exact"/>
        <w:rPr>
          <w:rFonts w:ascii="Arial" w:cs="Arial" w:eastAsia="Arial" w:hAnsi="Arial"/>
          <w:sz w:val="16"/>
          <w:szCs w:val="16"/>
          <w:color w:val="auto"/>
        </w:rPr>
      </w:pPr>
    </w:p>
    <w:p>
      <w:pPr>
        <w:ind w:left="500" w:hanging="492"/>
        <w:spacing w:after="0" w:line="290"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 See Note 2 to the condensed consolidated financial statements for additional information.</w:t>
      </w:r>
    </w:p>
    <w:p>
      <w:pPr>
        <w:jc w:val="both"/>
        <w:ind w:left="500" w:hanging="492"/>
        <w:spacing w:after="0" w:line="269"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other non-recurring, non-cash or non-operational items, such as store closing costs, loss on debt extinguishment, legal settlements and other legal expenses, costs related to employer payroll taxes associated with equity awards, technology upgrade implementation costs, certain personnel-related costs, gain on insurance recoveries and miscellaneous costs.</w:t>
      </w:r>
    </w:p>
    <w:p>
      <w:pPr>
        <w:spacing w:after="0" w:line="15" w:lineRule="exact"/>
        <w:rPr>
          <w:rFonts w:ascii="Arial" w:cs="Arial" w:eastAsia="Arial" w:hAnsi="Arial"/>
          <w:sz w:val="16"/>
          <w:szCs w:val="16"/>
          <w:color w:val="auto"/>
        </w:rPr>
      </w:pPr>
    </w:p>
    <w:p>
      <w:pPr>
        <w:ind w:left="500" w:hanging="492"/>
        <w:spacing w:after="0" w:line="309"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spacing w:after="0" w:line="1" w:lineRule="exact"/>
        <w:rPr>
          <w:rFonts w:ascii="Arial" w:cs="Arial" w:eastAsia="Arial" w:hAnsi="Arial"/>
          <w:sz w:val="15"/>
          <w:szCs w:val="15"/>
          <w:color w:val="auto"/>
        </w:rPr>
      </w:pPr>
    </w:p>
    <w:p>
      <w:pPr>
        <w:jc w:val="both"/>
        <w:ind w:left="500" w:hanging="492"/>
        <w:spacing w:after="0" w:line="269"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adjustments to normalize the effective tax rate for the impact of unusual or infrequent tax items that we do not consider in our evaluation of ongoing performance, including excess tax benefits related to stock option exercises and vesting of RSUs that are recorded in earnings as discrete items in the reporting period in which they occur.</w:t>
      </w:r>
    </w:p>
    <w:p>
      <w:pPr>
        <w:spacing w:after="0" w:line="15"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We calculate the tax effect of the total adjustments on a discrete basis excluding any non-recurring and unusual tax items.</w:t>
      </w:r>
    </w:p>
    <w:p>
      <w:pPr>
        <w:spacing w:after="0" w:line="177" w:lineRule="exact"/>
        <w:rPr>
          <w:sz w:val="20"/>
          <w:szCs w:val="20"/>
          <w:color w:val="auto"/>
        </w:rPr>
      </w:pPr>
    </w:p>
    <w:p>
      <w:pPr>
        <w:ind w:right="1780"/>
        <w:spacing w:after="0" w:line="396" w:lineRule="auto"/>
        <w:rPr>
          <w:sz w:val="20"/>
          <w:szCs w:val="20"/>
          <w:color w:val="auto"/>
        </w:rPr>
      </w:pPr>
      <w:r>
        <w:rPr>
          <w:rFonts w:ascii="Arial" w:cs="Arial" w:eastAsia="Arial" w:hAnsi="Arial"/>
          <w:sz w:val="18"/>
          <w:szCs w:val="18"/>
          <w:b w:val="1"/>
          <w:bCs w:val="1"/>
          <w:color w:val="auto"/>
        </w:rPr>
        <w:t xml:space="preserve">Comparison of the 13 and 39 weeks ended October 1, 2022 and October 2, 2021 (amounts in thousands, except percentages)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October 1,</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2,</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918,185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768,880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149,305</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7"/>
              </w:rPr>
              <w:t>2,647,271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7"/>
              </w:rPr>
              <w:t>2,296,881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350,390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increase in net sales for the 13 and 39 weeks ended October 1, 2022 compared to the same periods in fiscal 2021 was attributable to an increase in comparable store sales as well as non-comparable store net sales growth primarily from the 24 net new stores opened over the last 12 months.</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Comparable store sales increased 15.4% for the 13 weeks ended October 1, 2022 and 10.6% for the 39 weeks ended October 1, 2022 compared to the same periods in fiscal 2021. The increase in comparable store sales for the 13 weeks ended was driven by a 7.9% increase in the number of transactions combined with a 6.9% increase in average transaction size. The increase in comparable store sales for the 39 weeks ended October 1, 2022 was driven by a 5.8% increase in average transaction size along with a 4.5% increase in the number of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w w:val="94"/>
              </w:rPr>
              <w:t>39 Weeks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ind w:left="3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637,550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531,768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105,782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1,836,336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1,590,044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246,292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increase in cost of sales for the 13 and 39 weeks ended October 1, 2022 compared to the same periods in fiscal 2021 was primarily the result of an increase in comparable store sales combined with non-comparable sales from 24 net new stores opened over the last 12 months (as discussed above).</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Costs as a percentage of net sales increased for the 13 and 39 weeks ended October 1, 2022 compared to the same periods in fiscal 2021 due to the impact of inflationary product and supply chain cost pressures, partially offset by increases in retail pricing. Due to the interdependencies of the above-mentioned factors as well as our dynamic ever-changing assortment, we are unable to quantify the impact that they individually had on costs as a percentage of net sales.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w w:val="94"/>
              </w:rPr>
              <w:t>13 Weeks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280,635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237,112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43,523</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810,935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706,837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104,098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14.7 %</w:t>
            </w: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increase in gross profit for the 13 and 39 weeks ended October 1, 2022 compared to the same periods in fiscal 2021 was primarily the result of an increase in comparable store sales combined with non-comparable sales from 24 net new stores opened over the last 12 months (as discussed above).</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decreased for the 13 and 39 weeks ended October 1, 2022 compared to the same periods in fiscal 2021 due to the impact of inflationary product and supply chain cost pressures, partially offset by increases in retail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ind w:left="300"/>
              <w:spacing w:after="0"/>
              <w:rPr>
                <w:sz w:val="20"/>
                <w:szCs w:val="20"/>
                <w:color w:val="auto"/>
              </w:rPr>
            </w:pPr>
            <w:r>
              <w:rPr>
                <w:rFonts w:ascii="Arial" w:cs="Arial" w:eastAsia="Arial" w:hAnsi="Arial"/>
                <w:sz w:val="14"/>
                <w:szCs w:val="14"/>
                <w:b w:val="1"/>
                <w:bCs w:val="1"/>
                <w:color w:val="auto"/>
                <w:w w:val="92"/>
              </w:rPr>
              <w:t>13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SG&amp;A</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227,458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191,572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659,116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573,125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85,991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increase in SG&amp;A for the 13 weeks ended October 1, 2022 compared to the same period in fiscal 2021 was driven by $21.6 million in higher store-related expenses and $14.2 million in higher corporate-related expenses. Store-related expenses primarily increased as a result of higher commission payments to IOs, reflecting gross profit growth, as well as higher store occupancy costs due to 24 net new stores opened over the last 12 months. Corporate-related expenses increased largely due to higher incentive compensation, reflecting stronger financial performance versus the prior year.</w:t>
      </w:r>
    </w:p>
    <w:p>
      <w:pPr>
        <w:spacing w:after="0" w:line="15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increase in SG&amp;A for the 39 weeks ended October 1, 2022 compared to the same period in fiscal 2021 was driven by $57.9 million in higher store-related expenses and $28.1 million in higher corporate-related expenses. Store-related expenses primarily increased as a result of higher commission payments to IOs, reflecting gross profit growth, as well as higher store occupancy costs due to 24 net new stores opened over the last 12 months. Corporate-related expenses increased largely due to higher incentive compensation, reflecting stronger financial performance versus the prior year.</w:t>
      </w:r>
    </w:p>
    <w:p>
      <w:pPr>
        <w:spacing w:after="0" w:line="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a percentage of net sales, SG&amp;A decreased slightly for the 13 and 39 weeks ended October 1, 2022 compared to the same periods in fiscal 2021 as leverage on store-related expenses was largely offset by higher incentive compensation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20"/>
              <w:spacing w:after="0" w:line="158" w:lineRule="exact"/>
              <w:rPr>
                <w:sz w:val="20"/>
                <w:szCs w:val="20"/>
                <w:color w:val="auto"/>
              </w:rPr>
            </w:pPr>
            <w:r>
              <w:rPr>
                <w:rFonts w:ascii="Arial" w:cs="Arial" w:eastAsia="Arial" w:hAnsi="Arial"/>
                <w:sz w:val="17"/>
                <w:szCs w:val="17"/>
                <w:color w:val="auto"/>
              </w:rPr>
              <w:t>Depreciation and</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19,406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17,495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100" w:type="dxa"/>
            <w:vAlign w:val="bottom"/>
            <w:shd w:val="clear" w:color="auto" w:fill="CCEEFF"/>
          </w:tcPr>
          <w:p>
            <w:pPr>
              <w:spacing w:after="0"/>
              <w:rPr>
                <w:sz w:val="13"/>
                <w:szCs w:val="13"/>
                <w:color w:val="auto"/>
              </w:rPr>
            </w:pPr>
          </w:p>
        </w:tc>
        <w:tc>
          <w:tcPr>
            <w:tcW w:w="13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10.9 %  $</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56,430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49,997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6,433</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the 13 and 39 weeks ended October 1, 2022 compared to the same periods in fiscal 2021 was primarily driven by new store growth and existing store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7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1"/>
                <w:szCs w:val="11"/>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vMerge w:val="restart"/>
          </w:tcPr>
          <w:p>
            <w:pPr>
              <w:spacing w:after="0"/>
              <w:rPr>
                <w:sz w:val="11"/>
                <w:szCs w:val="11"/>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20"/>
              <w:spacing w:after="0" w:line="158" w:lineRule="exact"/>
              <w:rPr>
                <w:sz w:val="20"/>
                <w:szCs w:val="20"/>
                <w:color w:val="auto"/>
              </w:rPr>
            </w:pPr>
            <w:r>
              <w:rPr>
                <w:rFonts w:ascii="Arial" w:cs="Arial" w:eastAsia="Arial" w:hAnsi="Arial"/>
                <w:sz w:val="17"/>
                <w:szCs w:val="17"/>
                <w:color w:val="auto"/>
              </w:rPr>
              <w:t>Share-based</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9,084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1,902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7,182</w:t>
            </w:r>
          </w:p>
        </w:tc>
        <w:tc>
          <w:tcPr>
            <w:tcW w:w="100" w:type="dxa"/>
            <w:vAlign w:val="bottom"/>
            <w:shd w:val="clear" w:color="auto" w:fill="CCEEFF"/>
          </w:tcPr>
          <w:p>
            <w:pPr>
              <w:spacing w:after="0"/>
              <w:rPr>
                <w:sz w:val="13"/>
                <w:szCs w:val="13"/>
                <w:color w:val="auto"/>
              </w:rPr>
            </w:pPr>
          </w:p>
        </w:tc>
        <w:tc>
          <w:tcPr>
            <w:tcW w:w="13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377.6 %  $</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24,363</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10,051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14,312</w:t>
            </w:r>
          </w:p>
        </w:tc>
        <w:tc>
          <w:tcPr>
            <w:tcW w:w="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142.4 %</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2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share-based compensation expenses for the 13 and 39 weeks ended October 1, 2022 compared to the same periods in fiscal 2021 was primarily driven by the impact of share-based awards granted in October of fiscal 2021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March of fiscal 2022 as well as an increase in the number of PSUs expected to be earned related to previously granted PSUs based on revised performance expectations during the 13 and 39 weeks ended October 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Interest expense, net</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4,798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3,950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12,355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11,778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16"/>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106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increase in net interest expense for the 13 and 39 weeks ended October 1, 2022 compared to the same periods in fiscal 2021 was primarily driven by increases in the effective borrowing rate, partially offset by increased interest income on outstanding IO notes as well as the April 2022 prepayment of $75.0 million of principal on the senior term loan outstanding under our First Lien Credit Agreement. See Note 3 to the condensed consolidated financial statements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Insurance Recoveries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w w:val="92"/>
              </w:rPr>
              <w:t>13 Weeks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5"/>
              </w:rPr>
              <w:t>October 1,</w:t>
            </w: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October 2,</w:t>
            </w:r>
          </w:p>
        </w:tc>
        <w:tc>
          <w:tcPr>
            <w:tcW w:w="1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1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October 1,</w:t>
            </w:r>
          </w:p>
        </w:tc>
        <w:tc>
          <w:tcPr>
            <w:tcW w:w="22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Gain on insurance</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gridSpan w:val="2"/>
            <w:vMerge w:val="restart"/>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vMerge w:val="restart"/>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320" w:type="dxa"/>
            <w:vAlign w:val="bottom"/>
            <w:gridSpan w:val="3"/>
            <w:vMerge w:val="restart"/>
            <w:shd w:val="clear" w:color="auto" w:fill="CCEEFF"/>
          </w:tcPr>
          <w:p>
            <w:pPr>
              <w:ind w:left="640"/>
              <w:spacing w:after="0"/>
              <w:rPr>
                <w:sz w:val="20"/>
                <w:szCs w:val="20"/>
                <w:color w:val="auto"/>
              </w:rPr>
            </w:pPr>
            <w:r>
              <w:rPr>
                <w:rFonts w:ascii="Arial" w:cs="Arial" w:eastAsia="Arial" w:hAnsi="Arial"/>
                <w:sz w:val="17"/>
                <w:szCs w:val="17"/>
                <w:color w:val="auto"/>
              </w:rPr>
              <w:t>— %  $</w:t>
            </w:r>
          </w:p>
        </w:tc>
        <w:tc>
          <w:tcPr>
            <w:tcW w:w="1180" w:type="dxa"/>
            <w:vAlign w:val="bottom"/>
            <w:gridSpan w:val="2"/>
            <w:vMerge w:val="restart"/>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83"/>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w:t>
            </w:r>
          </w:p>
        </w:tc>
        <w:tc>
          <w:tcPr>
            <w:tcW w:w="2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72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39 weeks ended October 2, 2021, we recorded a $4.0 million gain on insurance due to proceeds received related to the loss of our Paradise, California store due to a wildfire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w w:val="92"/>
              </w:rPr>
              <w:t>13 Weeks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w w:val="95"/>
              </w:rPr>
              <w:t>39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1,</w:t>
            </w: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2,</w:t>
            </w:r>
          </w:p>
        </w:tc>
        <w:tc>
          <w:tcPr>
            <w:tcW w:w="1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October 1,</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October 2,</w:t>
            </w:r>
          </w:p>
        </w:tc>
        <w:tc>
          <w:tcPr>
            <w:tcW w:w="140" w:type="dxa"/>
            <w:vAlign w:val="bottom"/>
          </w:tcPr>
          <w:p>
            <w:pPr>
              <w:spacing w:after="0"/>
              <w:rPr>
                <w:sz w:val="11"/>
                <w:szCs w:val="11"/>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0"/>
              <w:spacing w:after="0" w:line="158" w:lineRule="exact"/>
              <w:rPr>
                <w:sz w:val="20"/>
                <w:szCs w:val="20"/>
                <w:color w:val="auto"/>
              </w:rPr>
            </w:pPr>
            <w:r>
              <w:rPr>
                <w:rFonts w:ascii="Arial" w:cs="Arial" w:eastAsia="Arial" w:hAnsi="Arial"/>
                <w:sz w:val="17"/>
                <w:szCs w:val="17"/>
                <w:color w:val="auto"/>
              </w:rPr>
              <w:t>Loss on debt</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vMerge w:val="restart"/>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gridSpan w:val="2"/>
            <w:vMerge w:val="restart"/>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340" w:type="dxa"/>
            <w:vAlign w:val="bottom"/>
            <w:gridSpan w:val="3"/>
            <w:vMerge w:val="restart"/>
            <w:shd w:val="clear" w:color="auto" w:fill="CCEEFF"/>
          </w:tcPr>
          <w:p>
            <w:pPr>
              <w:ind w:left="660"/>
              <w:spacing w:after="0"/>
              <w:rPr>
                <w:sz w:val="20"/>
                <w:szCs w:val="20"/>
                <w:color w:val="auto"/>
              </w:rPr>
            </w:pPr>
            <w:r>
              <w:rPr>
                <w:rFonts w:ascii="Arial" w:cs="Arial" w:eastAsia="Arial" w:hAnsi="Arial"/>
                <w:sz w:val="17"/>
                <w:szCs w:val="17"/>
                <w:color w:val="auto"/>
              </w:rPr>
              <w:t>— %  $</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1,274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gridSpan w:val="2"/>
            <w:vMerge w:val="restart"/>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5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extinguishment</w:t>
            </w:r>
          </w:p>
        </w:tc>
        <w:tc>
          <w:tcPr>
            <w:tcW w:w="2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8"/>
                <w:szCs w:val="18"/>
                <w:color w:val="auto"/>
              </w:rPr>
            </w:pPr>
          </w:p>
        </w:tc>
        <w:tc>
          <w:tcPr>
            <w:tcW w:w="1180" w:type="dxa"/>
            <w:vAlign w:val="bottom"/>
            <w:gridSpan w:val="2"/>
          </w:tcPr>
          <w:p>
            <w:pPr>
              <w:ind w:left="72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39 weeks ended October 1, 2022, we recorded a $1.3 million loss on debt extinguishment related to the prepayment of $75.0 million of principal on the senior term loan outstanding under our First Lien Credit Agreement. See Note 3 to the condensed consolidated financial statements for additional information.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5"/>
              </w:rPr>
              <w:t>Income tax expense</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2,394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5,054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8,234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10,185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23"/>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106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income tax expense for the 13 weeks ended October 1, 2022 compared to the same period in fiscal 2021 was primarily due to an increase in excess tax benefits related to the exercise of stock options and vesting of RSUs.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income tax expense for the 39 weeks ended October 1, 2022 compared to the same period in fiscal 2021 was primarily driven by lower pretax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17,495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17,139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356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49,163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55,671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a result of the foregoing factors, net income increased for the 13 weeks ended October 1, 2022 and decreased for the 39 weeks ended October 1, 2022 compared to the same periods in fiscal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October 1,</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2,</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October 1,</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2,</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51,389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7,710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151,062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17,424</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increase in adjusted EBITDA for the 13 and 39 weeks ended October 1, 2022 compared to the same periods in fiscal 2021 was primarily due to an increase in comparable store sales of 15.4% and 10.6% for the 13 and 39 weeks ended October 1, 2022, respectively, as well as higher net sales resulting from new store growth, as discussed above, partially offset by decreases in gross margin and increases in SG&amp;A.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1,</w:t>
            </w: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October 2,</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October 1,</w:t>
            </w:r>
          </w:p>
        </w:tc>
        <w:tc>
          <w:tcPr>
            <w:tcW w:w="2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October 2,</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Adjusted 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26,766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23,440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3,326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69,899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7,227</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increase in adjusted net income for the 13 and 39 weeks ended October 1, 2022 compared to the same periods in fiscal 2021 was primarily due to an increase in comparable store sales of 15.4% and 10.6% for the 13 and 39 weeks ended October 1, 2022, respectively, as well as higher net sales resulting from new store growth, as discussed above, partially offset by decreases in gross margin and increases in SG&amp;A.</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first lien credit agreement (the "First Lien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spacing w:after="0" w:line="6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October 1, 2022, we had cash and cash equivalents of $107.3 million, which consisted primarily of cash held in checking and money market accounts with financial institutions. In addition, we have a revolving credit facility with $100.0 million in borrowing capacity under our First Lien Credit Agreement. As of October 1, 2022, we had $3.5 million of outstanding standby letters of credit and $96.5 million of remaining borrowing capacity available under this revolving credit facility. We did not borrow under this revolving credit facility during the 39 weeks ended October 1, 2022.</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may also, from time to time, at our sole discretion, prepay or retire all or a portion of our outstanding debt. In April 2022, we prepaid $75.0 million of principal on the senior term loan outstanding under our First Lien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has been no material change in our material cash requirements since the end of fiscal 2021. See our 2021 Form 10-K for additional information.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Capital expenditures include purchases of capital assets such as property and equipment as well as intangible assets and licenses. Capital expenditures for the 39 weeks ended October 1, 2022, before the impact of tenant improvement allowances, were $97.7 million, and, net of tenant improvement allowances, were $84.8 million. We continue to expect total capital expenditures, net of tenant improvement allowances, to be approximately $115.0 million for fiscal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such as incurring additional debt or issuing certain preferred shares, and making certain types of payments including dividends and stock repurchases and other similar distributions, with certain exceptions. Additionally, borrowing availability under the revolving credit facility under our First Lien Credit Agreement is subject to a first lien secured leverage ratio of 7.00 to 1.00 (as defined in the First Lien Credit Agreement),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exceeds 35% of the total amount of the revolving credit facility commitments.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1, 2022,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 2022</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 2021</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139,860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280" w:type="dxa"/>
            <w:vAlign w:val="bottom"/>
          </w:tcPr>
          <w:p>
            <w:pPr>
              <w:ind w:left="640"/>
              <w:spacing w:after="0"/>
              <w:rPr>
                <w:sz w:val="20"/>
                <w:szCs w:val="20"/>
                <w:color w:val="auto"/>
              </w:rPr>
            </w:pPr>
            <w:r>
              <w:rPr>
                <w:rFonts w:ascii="Arial" w:cs="Arial" w:eastAsia="Arial" w:hAnsi="Arial"/>
                <w:sz w:val="18"/>
                <w:szCs w:val="18"/>
                <w:color w:val="auto"/>
                <w:w w:val="92"/>
              </w:rPr>
              <w:t>(99,227)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(73,441)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(1,521.1)%</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2"/>
              </w:rPr>
              <w:t>(32,808)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(164.8)%</w:t>
            </w: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provided by operating activities was $139.9 million for the 39 weeks ended October 1, 2022 compared to $141.8 million for the same period in fiscal 2021. The decrease in net cash provided by operating activities of $1.9 million for the 39 weeks ended October 1, 2022 compared to the same period in fiscal 2021 was primarily driven by changes to our working capital balances. Changes to merchandise inventories decreased net cash flow provided by operating activities, which was partially offset by changes to trade accounts payable and accrued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used in investing activities was $99.2 million for the 39 weeks ended October 1, 2022 compared to $96.3 million for the same period in fiscal 2021. The increase in net cash used in investing activities of $2.9 million for the 39 weeks ended October 1, 2022 compared to the same period in fiscal 2021 was primarily due to increased investments in computer software intangible assets, partially offset by decreased capital expenditures related to the timing of construction of newly opened stores and stores under development as well as existing store capital investments. We had 17 new store openings and two store relocations during the 39 weeks ended October 1, 2022 compared to 28 new store openings and three store relocations for the same period of fiscal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financing activities of $73.4 million for the 39 weeks ended October 1, 2022 was primarily due to the prepayment of $75.0 million of principal on the senior term loan outstanding under our First Lien Credit Agreement as well as the repurchase of $3.5 million worth of common stock, partially offset by $6.0 million in proceeds from the exercise of stock options. Net cash provided by financing activities of $5.2 million for the 39 weeks ended October 2, 2021 was primarily due to $6.1 million in proceeds from the exercise of stock options, partially offset by $0.8 million in principal payments on finance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of America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With respect to critical accounting policies, even a relatively minor variance between actual and expected results can potentially have a materially favorable or unfavorable impact on subsequent results of operations.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39 weeks ended October 1, 2022 from those disclosed in our 2021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condensed consolidated financial statements included elsewhere in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results are subject to market risk from interest rate fluctuations on our credit facilities, which bear variable interest rates. As of October 1, 2022, our outstanding credit facilities included a $385.0 million senior term loan under the First Lien Credit Agreement. As of October 1, 2022, the effective interest rate on the senior term loan was 5.87% (See Note 3 to the condensed consolidated financial statements for additional information). Based on the outstanding balance and interest rate of our senior term loan as of October 1, 2022, a hypothetical 10% relative increase or decrease in the effective interest rate would cause an increase or decrease in interest expense of approximately $2.3 million over the next 12 months.</w:t>
      </w:r>
    </w:p>
    <w:p>
      <w:pPr>
        <w:spacing w:after="0" w:line="5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ind w:firstLine="486"/>
        <w:spacing w:after="0" w:line="220" w:lineRule="exact"/>
        <w:rPr>
          <w:sz w:val="20"/>
          <w:szCs w:val="20"/>
          <w:color w:val="auto"/>
        </w:rPr>
      </w:pPr>
      <w:r>
        <w:rPr>
          <w:rFonts w:ascii="Arial" w:cs="Arial" w:eastAsia="Arial" w:hAnsi="Arial"/>
          <w:sz w:val="16"/>
          <w:szCs w:val="16"/>
          <w:color w:val="auto"/>
        </w:rPr>
        <w:t>Our results of operations and financial condition are presented based on historical cost. While it is difficult to accurately measure the impact of inflation due to the imprecise nature of the estimates required, we have experienced varying levels of inflation, resulting in part from various supply disruptions, increased shipping and transportation costs, increased commodity costs, increased labor costs in the supply chain, increased SG&amp;A related to personnel, travel, and other operational costs and other disruptions caused by the COVID</w:t>
      </w:r>
      <w:r>
        <w:rPr>
          <w:rFonts w:ascii="MS PGothic" w:cs="MS PGothic" w:eastAsia="MS PGothic" w:hAnsi="MS PGothic"/>
          <w:sz w:val="16"/>
          <w:szCs w:val="16"/>
          <w:color w:val="auto"/>
        </w:rPr>
        <w:t>‐</w:t>
      </w:r>
      <w:r>
        <w:rPr>
          <w:rFonts w:ascii="Arial" w:cs="Arial" w:eastAsia="Arial" w:hAnsi="Arial"/>
          <w:sz w:val="16"/>
          <w:szCs w:val="16"/>
          <w:color w:val="auto"/>
        </w:rPr>
        <w:t>19 pandemic and the uncertain economic environment. See "Item</w:t>
      </w:r>
    </w:p>
    <w:p>
      <w:pPr>
        <w:spacing w:after="0" w:line="1" w:lineRule="exact"/>
        <w:rPr>
          <w:sz w:val="20"/>
          <w:szCs w:val="20"/>
          <w:color w:val="auto"/>
        </w:rPr>
      </w:pPr>
    </w:p>
    <w:p>
      <w:pPr>
        <w:jc w:val="both"/>
        <w:ind w:firstLine="8"/>
        <w:spacing w:after="0" w:line="255"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for additional information regarding the impact that inflation had on gross margin and net income during the periods reported. Furthermore, our results of operations and financial condition may be materially impacted by inflation in the future.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at a reasonable assurance level as of October 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October 1, 2022,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October 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2021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2021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13 weeks ended October 1, 2022, we did not repurchase any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Exhibit No.</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140" w:type="dxa"/>
            <w:vAlign w:val="bottom"/>
            <w:gridSpan w:val="10"/>
            <w:vMerge w:val="restart"/>
          </w:tcPr>
          <w:p>
            <w:pPr>
              <w:ind w:left="1820"/>
              <w:spacing w:after="0"/>
              <w:rPr>
                <w:sz w:val="20"/>
                <w:szCs w:val="20"/>
                <w:color w:val="auto"/>
              </w:rPr>
            </w:pPr>
            <w:r>
              <w:rPr>
                <w:rFonts w:ascii="Arial" w:cs="Arial" w:eastAsia="Arial" w:hAnsi="Arial"/>
                <w:sz w:val="16"/>
                <w:szCs w:val="16"/>
                <w:b w:val="1"/>
                <w:bCs w:val="1"/>
                <w:color w:val="auto"/>
              </w:rPr>
              <w:t>Exhibit</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3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File</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40" w:type="dxa"/>
            <w:vAlign w:val="bottom"/>
            <w:gridSpan w:val="10"/>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0"/>
          </w:tcPr>
          <w:p>
            <w:pPr>
              <w:spacing w:after="0" w:line="185" w:lineRule="exact"/>
              <w:rPr>
                <w:rFonts w:ascii="Arial" w:cs="Arial" w:eastAsia="Arial" w:hAnsi="Arial"/>
                <w:sz w:val="18"/>
                <w:szCs w:val="18"/>
                <w:color w:val="0000FF"/>
              </w:rPr>
            </w:pPr>
            <w:hyperlink r:id="rId53">
              <w:r>
                <w:rPr>
                  <w:rFonts w:ascii="Arial" w:cs="Arial" w:eastAsia="Arial" w:hAnsi="Arial"/>
                  <w:sz w:val="18"/>
                  <w:szCs w:val="18"/>
                  <w:color w:val="0000FF"/>
                </w:rPr>
                <w:t>Restated Certificate of Incorporation of Grocery Outlet Holding Corp.</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right"/>
              <w:ind w:right="95"/>
              <w:spacing w:after="0" w:line="185" w:lineRule="exact"/>
              <w:rPr>
                <w:sz w:val="20"/>
                <w:szCs w:val="20"/>
                <w:color w:val="auto"/>
              </w:rPr>
            </w:pPr>
            <w:r>
              <w:rPr>
                <w:rFonts w:ascii="Arial" w:cs="Arial" w:eastAsia="Arial" w:hAnsi="Arial"/>
                <w:sz w:val="18"/>
                <w:szCs w:val="18"/>
                <w:color w:val="auto"/>
              </w:rPr>
              <w:t>6/10/2022</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Amended and Restated Bylaws of Grocery Outlet Holding Corp.</w:t>
              </w:r>
            </w:hyperlink>
          </w:p>
        </w:tc>
        <w:tc>
          <w:tcPr>
            <w:tcW w:w="380" w:type="dxa"/>
            <w:vAlign w:val="bottom"/>
            <w:tcBorders>
              <w:top w:val="single" w:sz="8" w:color="0000FF"/>
            </w:tcBorders>
          </w:tcPr>
          <w:p>
            <w:pPr>
              <w:spacing w:after="0"/>
              <w:rPr>
                <w:sz w:val="18"/>
                <w:szCs w:val="18"/>
                <w:color w:val="auto"/>
              </w:rPr>
            </w:pPr>
          </w:p>
        </w:tc>
        <w:tc>
          <w:tcPr>
            <w:tcW w:w="960" w:type="dxa"/>
            <w:vAlign w:val="bottom"/>
            <w:gridSpan w:val="8"/>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4/8/2022</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0000FF"/>
                <w:w w:val="94"/>
              </w:rPr>
              <w:t>Certification of Principal Executive Officer pursuant to Exchange Act Rules 13a-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1"/>
              </w:rPr>
              <w:t>14(a) and 15d-14(a), as adopted pursuant to Section 302 of the Sarbanes-Oxley</w:t>
            </w:r>
          </w:p>
        </w:tc>
        <w:tc>
          <w:tcPr>
            <w:tcW w:w="1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2"/>
              </w:rPr>
              <w:t>Act of 2002</w:t>
            </w:r>
          </w:p>
        </w:tc>
        <w:tc>
          <w:tcPr>
            <w:tcW w:w="48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0000FF"/>
                <w:w w:val="95"/>
              </w:rPr>
              <w:t>Certification of Principal Financial Officer pursuant to Exchange Act Rules 13a-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0"/>
              </w:rPr>
              <w:t>14(a) and 15d-14(a), as adopted pursuant to Section 302 of the Sarbanes-Oxley</w:t>
            </w:r>
          </w:p>
        </w:tc>
        <w:tc>
          <w:tcPr>
            <w:tcW w:w="20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2"/>
              </w:rPr>
              <w:t>Act of 2002</w:t>
            </w:r>
          </w:p>
        </w:tc>
        <w:tc>
          <w:tcPr>
            <w:tcW w:w="48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0000FF"/>
                <w:w w:val="95"/>
              </w:rPr>
              <w:t>Certification of Principal Executive Officer pursuant to 18 U.S.C. Section 1350,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c>
          <w:tcPr>
            <w:tcW w:w="24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0000FF"/>
                <w:w w:val="96"/>
              </w:rPr>
              <w:t>Certification of Principal Financial Officer pursuant to 18 U.S.C. Section 1350,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c>
          <w:tcPr>
            <w:tcW w:w="30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8"/>
                <w:szCs w:val="18"/>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11"/>
          </w:tcPr>
          <w:p>
            <w:pPr>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Inline XBRL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Inline XBRL Extension Definition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Inline XBRL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0"/>
                <w:szCs w:val="20"/>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Inline XBRL Extension Presentation 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00" w:right="4260" w:hanging="748"/>
        <w:spacing w:after="0" w:line="22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6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9" w:lineRule="exact"/>
        <w:rPr>
          <w:sz w:val="20"/>
          <w:szCs w:val="20"/>
          <w:color w:val="auto"/>
        </w:rPr>
      </w:pPr>
    </w:p>
    <w:p>
      <w:pPr>
        <w:ind w:left="720" w:hanging="69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720" w:right="120" w:hanging="694"/>
        <w:spacing w:after="0" w:line="200" w:lineRule="auto"/>
        <w:tabs>
          <w:tab w:leader="none" w:pos="720" w:val="left"/>
        </w:tabs>
        <w:numPr>
          <w:ilvl w:val="0"/>
          <w:numId w:val="19"/>
        </w:numPr>
        <w:rPr>
          <w:rFonts w:ascii="Arial" w:cs="Arial" w:eastAsia="Arial" w:hAnsi="Arial"/>
          <w:sz w:val="32"/>
          <w:szCs w:val="32"/>
          <w:color w:val="auto"/>
          <w:vertAlign w:val="subscript"/>
        </w:rPr>
      </w:pPr>
      <w:r>
        <w:rPr>
          <w:rFonts w:ascii="Arial" w:cs="Arial" w:eastAsia="Arial" w:hAnsi="Arial"/>
          <w:sz w:val="16"/>
          <w:szCs w:val="16"/>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Charles C. Bracher</w:t>
      </w:r>
    </w:p>
    <w:p>
      <w:pPr>
        <w:ind w:left="7100"/>
        <w:spacing w:after="0" w:line="219" w:lineRule="auto"/>
        <w:rPr>
          <w:sz w:val="20"/>
          <w:szCs w:val="20"/>
          <w:color w:val="auto"/>
        </w:rPr>
      </w:pPr>
      <w:r>
        <w:rPr>
          <w:rFonts w:ascii="Arial" w:cs="Arial" w:eastAsia="Arial" w:hAnsi="Arial"/>
          <w:sz w:val="18"/>
          <w:szCs w:val="18"/>
          <w:color w:val="auto"/>
        </w:rPr>
        <w:t>Chief Financial Officer</w:t>
      </w:r>
    </w:p>
    <w:p>
      <w:pPr>
        <w:ind w:left="71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Lindsay E. Gray</w:t>
      </w:r>
    </w:p>
    <w:p>
      <w:pPr>
        <w:ind w:left="7100"/>
        <w:spacing w:after="0" w:line="219" w:lineRule="auto"/>
        <w:rPr>
          <w:sz w:val="20"/>
          <w:szCs w:val="20"/>
          <w:color w:val="auto"/>
        </w:rPr>
      </w:pPr>
      <w:r>
        <w:rPr>
          <w:rFonts w:ascii="Arial" w:cs="Arial" w:eastAsia="Arial" w:hAnsi="Arial"/>
          <w:sz w:val="18"/>
          <w:szCs w:val="18"/>
          <w:color w:val="auto"/>
        </w:rPr>
        <w:t>Vice President and Corporate Controller</w:t>
      </w:r>
    </w:p>
    <w:p>
      <w:pPr>
        <w:ind w:left="71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1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9, 2022</w:t>
            </w:r>
          </w:p>
        </w:tc>
        <w:tc>
          <w:tcPr>
            <w:tcW w:w="5640" w:type="dxa"/>
            <w:vAlign w:val="bottom"/>
            <w:gridSpan w:val="2"/>
          </w:tcPr>
          <w:p>
            <w:pPr>
              <w:ind w:left="2320"/>
              <w:spacing w:after="0"/>
              <w:rPr>
                <w:sz w:val="20"/>
                <w:szCs w:val="20"/>
                <w:color w:val="auto"/>
              </w:rPr>
            </w:pPr>
            <w:r>
              <w:rPr>
                <w:rFonts w:ascii="Arial" w:cs="Arial" w:eastAsia="Arial" w:hAnsi="Arial"/>
                <w:sz w:val="18"/>
                <w:szCs w:val="18"/>
                <w:color w:val="auto"/>
              </w:rPr>
              <w:t>By: /s/ Eric J. Lindberg, Jr.</w:t>
            </w:r>
          </w:p>
        </w:tc>
      </w:tr>
      <w:tr>
        <w:trPr>
          <w:trHeight w:val="222"/>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9, 2022</w:t>
            </w:r>
          </w:p>
        </w:tc>
        <w:tc>
          <w:tcPr>
            <w:tcW w:w="5640" w:type="dxa"/>
            <w:vAlign w:val="bottom"/>
            <w:gridSpan w:val="2"/>
          </w:tcPr>
          <w:p>
            <w:pPr>
              <w:ind w:left="2320"/>
              <w:spacing w:after="0"/>
              <w:rPr>
                <w:sz w:val="20"/>
                <w:szCs w:val="20"/>
                <w:color w:val="auto"/>
              </w:rPr>
            </w:pPr>
            <w:r>
              <w:rPr>
                <w:rFonts w:ascii="Arial" w:cs="Arial" w:eastAsia="Arial" w:hAnsi="Arial"/>
                <w:sz w:val="18"/>
                <w:szCs w:val="18"/>
                <w:color w:val="auto"/>
              </w:rPr>
              <w:t>By: /s/ Charles C. Bracher</w:t>
            </w:r>
          </w:p>
        </w:tc>
      </w:tr>
      <w:tr>
        <w:trPr>
          <w:trHeight w:val="222"/>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October 1, 2022 as filed with the Securities and Exchange Commission on the date hereof (the "Report"), I, Eric J. Lindberg, Jr., certify pursuant to 18 U.S.C. § 1350, as adopted pursuant to § 906 of the Sarbanes-Oxley Act of 2002, that:</w:t>
      </w:r>
    </w:p>
    <w:p>
      <w:pPr>
        <w:spacing w:after="0" w:line="116" w:lineRule="exact"/>
        <w:rPr>
          <w:sz w:val="20"/>
          <w:szCs w:val="20"/>
          <w:color w:val="auto"/>
        </w:rPr>
      </w:pPr>
    </w:p>
    <w:p>
      <w:pPr>
        <w:ind w:left="1060" w:hanging="36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9, 2022</w:t>
            </w:r>
          </w:p>
        </w:tc>
        <w:tc>
          <w:tcPr>
            <w:tcW w:w="5300" w:type="dxa"/>
            <w:vAlign w:val="bottom"/>
            <w:gridSpan w:val="2"/>
          </w:tcPr>
          <w:p>
            <w:pPr>
              <w:ind w:left="1980"/>
              <w:spacing w:after="0"/>
              <w:rPr>
                <w:sz w:val="20"/>
                <w:szCs w:val="20"/>
                <w:color w:val="auto"/>
              </w:rPr>
            </w:pPr>
            <w:r>
              <w:rPr>
                <w:rFonts w:ascii="Arial" w:cs="Arial" w:eastAsia="Arial" w:hAnsi="Arial"/>
                <w:sz w:val="18"/>
                <w:szCs w:val="18"/>
                <w:color w:val="auto"/>
              </w:rPr>
              <w:t>By: /s/ Eric J. Lindberg, Jr.</w:t>
            </w:r>
          </w:p>
        </w:tc>
      </w:tr>
      <w:tr>
        <w:trPr>
          <w:trHeight w:val="222"/>
        </w:trPr>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October 1, 2022 as filed with the Securities and Exchange Commission on the date hereof (the "Report"), I, Charles C. Bracher, certify pursuant to 18 U.S.C. § 1350, as adopted pursuant to § 906 of the Sarbanes-Oxley Act of 2002, that:</w:t>
      </w:r>
    </w:p>
    <w:p>
      <w:pPr>
        <w:spacing w:after="0" w:line="116" w:lineRule="exact"/>
        <w:rPr>
          <w:sz w:val="20"/>
          <w:szCs w:val="20"/>
          <w:color w:val="auto"/>
        </w:rPr>
      </w:pPr>
    </w:p>
    <w:p>
      <w:pPr>
        <w:ind w:left="1060" w:hanging="364"/>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2022</w:t>
            </w:r>
          </w:p>
        </w:tc>
        <w:tc>
          <w:tcPr>
            <w:tcW w:w="5320" w:type="dxa"/>
            <w:vAlign w:val="bottom"/>
            <w:gridSpan w:val="2"/>
          </w:tcPr>
          <w:p>
            <w:pPr>
              <w:ind w:left="2000"/>
              <w:spacing w:after="0"/>
              <w:rPr>
                <w:sz w:val="20"/>
                <w:szCs w:val="20"/>
                <w:color w:val="auto"/>
              </w:rPr>
            </w:pPr>
            <w:r>
              <w:rPr>
                <w:rFonts w:ascii="Arial" w:cs="Arial" w:eastAsia="Arial" w:hAnsi="Arial"/>
                <w:sz w:val="18"/>
                <w:szCs w:val="18"/>
                <w:color w:val="auto"/>
              </w:rPr>
              <w:t>By: /s/ Charles C. Bracher</w:t>
            </w:r>
          </w:p>
        </w:tc>
      </w:tr>
      <w:tr>
        <w:trPr>
          <w:trHeight w:val="222"/>
        </w:trPr>
        <w:tc>
          <w:tcPr>
            <w:tcW w:w="3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3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1"/>
      <w:numFmt w:val="decimal"/>
      <w:start w:val="10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3" Type="http://schemas.openxmlformats.org/officeDocument/2006/relationships/hyperlink" Target="https://www.sec.gov/Archives/edgar/data/1771515/000177151522000082/exhibit31.htm" TargetMode="External"/><Relationship Id="rId54" Type="http://schemas.openxmlformats.org/officeDocument/2006/relationships/hyperlink" Target="http://www.sec.gov/Archives/edgar/data/0001771515/000177151522000045/go4-6x22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2022-11-09T15:25:52Z</dcterms:created>
  <dcterms:modified xsi:type="dcterms:W3CDTF">2022-11-09T15:25:52Z</dcterms:modified>
</cp:coreProperties>
</file>