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1933575</wp:posOffset>
            </wp:positionH>
            <wp:positionV relativeFrom="paragraph">
              <wp:posOffset>50800</wp:posOffset>
            </wp:positionV>
            <wp:extent cx="327469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1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1933575</wp:posOffset>
            </wp:positionH>
            <wp:positionV relativeFrom="paragraph">
              <wp:posOffset>186055</wp:posOffset>
            </wp:positionV>
            <wp:extent cx="327469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6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63" w:lineRule="exact"/>
        <w:rPr>
          <w:sz w:val="24"/>
          <w:szCs w:val="24"/>
          <w:color w:val="auto"/>
        </w:rPr>
      </w:pPr>
    </w:p>
    <w:p>
      <w:pPr>
        <w:ind w:left="400" w:hanging="334"/>
        <w:spacing w:after="0"/>
        <w:tabs>
          <w:tab w:leader="none" w:pos="40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w:t>
      </w:r>
    </w:p>
    <w:p>
      <w:pPr>
        <w:spacing w:after="0" w:line="34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July 3, 2021</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31" w:lineRule="exact"/>
        <w:rPr>
          <w:sz w:val="24"/>
          <w:szCs w:val="24"/>
          <w:color w:val="auto"/>
        </w:rPr>
      </w:pPr>
    </w:p>
    <w:p>
      <w:pPr>
        <w:ind w:left="400" w:hanging="334"/>
        <w:spacing w:after="0"/>
        <w:tabs>
          <w:tab w:leader="none" w:pos="400" w:val="left"/>
        </w:tabs>
        <w:numPr>
          <w:ilvl w:val="0"/>
          <w:numId w:val="2"/>
        </w:numPr>
        <w:rPr>
          <w:rFonts w:ascii="MS PGothic" w:cs="MS PGothic" w:eastAsia="MS PGothic" w:hAnsi="MS PGothic"/>
          <w:sz w:val="16"/>
          <w:szCs w:val="16"/>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333" w:lineRule="exact"/>
        <w:rPr>
          <w:sz w:val="24"/>
          <w:szCs w:val="24"/>
          <w:color w:val="auto"/>
        </w:rPr>
      </w:pPr>
    </w:p>
    <w:p>
      <w:pPr>
        <w:ind w:left="4080"/>
        <w:spacing w:after="0"/>
        <w:tabs>
          <w:tab w:leader="none" w:pos="70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001-38950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1933575</wp:posOffset>
            </wp:positionH>
            <wp:positionV relativeFrom="paragraph">
              <wp:posOffset>57150</wp:posOffset>
            </wp:positionV>
            <wp:extent cx="327469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96"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Grocery Outlet Holding Corp.</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1933575</wp:posOffset>
            </wp:positionH>
            <wp:positionV relativeFrom="paragraph">
              <wp:posOffset>55880</wp:posOffset>
            </wp:positionV>
            <wp:extent cx="32746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19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3700" w:type="dxa"/>
            <w:vAlign w:val="bottom"/>
            <w:gridSpan w:val="2"/>
          </w:tcPr>
          <w:p>
            <w:pPr>
              <w:jc w:val="center"/>
              <w:ind w:left="814"/>
              <w:spacing w:after="0"/>
              <w:rPr>
                <w:sz w:val="20"/>
                <w:szCs w:val="20"/>
                <w:color w:val="auto"/>
              </w:rPr>
            </w:pPr>
            <w:r>
              <w:rPr>
                <w:rFonts w:ascii="Arial" w:cs="Arial" w:eastAsia="Arial" w:hAnsi="Arial"/>
                <w:sz w:val="18"/>
                <w:szCs w:val="18"/>
                <w:b w:val="1"/>
                <w:bCs w:val="1"/>
                <w:color w:val="auto"/>
                <w:w w:val="91"/>
              </w:rPr>
              <w:t>Delaware</w:t>
            </w: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680" w:type="dxa"/>
            <w:vAlign w:val="bottom"/>
            <w:gridSpan w:val="2"/>
          </w:tcPr>
          <w:p>
            <w:pPr>
              <w:jc w:val="right"/>
              <w:ind w:right="753"/>
              <w:spacing w:after="0"/>
              <w:rPr>
                <w:sz w:val="20"/>
                <w:szCs w:val="20"/>
                <w:color w:val="auto"/>
              </w:rPr>
            </w:pPr>
            <w:r>
              <w:rPr>
                <w:rFonts w:ascii="Arial" w:cs="Arial" w:eastAsia="Arial" w:hAnsi="Arial"/>
                <w:sz w:val="18"/>
                <w:szCs w:val="18"/>
                <w:b w:val="1"/>
                <w:bCs w:val="1"/>
                <w:color w:val="auto"/>
              </w:rPr>
              <w:t>47-1874201</w:t>
            </w:r>
          </w:p>
        </w:tc>
      </w:tr>
      <w:tr>
        <w:trPr>
          <w:trHeight w:val="180"/>
        </w:trPr>
        <w:tc>
          <w:tcPr>
            <w:tcW w:w="3700" w:type="dxa"/>
            <w:vAlign w:val="bottom"/>
            <w:gridSpan w:val="2"/>
          </w:tcPr>
          <w:p>
            <w:pPr>
              <w:jc w:val="center"/>
              <w:ind w:left="814"/>
              <w:spacing w:after="0" w:line="181" w:lineRule="exact"/>
              <w:rPr>
                <w:sz w:val="20"/>
                <w:szCs w:val="20"/>
                <w:color w:val="auto"/>
              </w:rPr>
            </w:pPr>
            <w:r>
              <w:rPr>
                <w:rFonts w:ascii="Arial" w:cs="Arial" w:eastAsia="Arial" w:hAnsi="Arial"/>
                <w:sz w:val="18"/>
                <w:szCs w:val="18"/>
                <w:b w:val="1"/>
                <w:bCs w:val="1"/>
                <w:color w:val="auto"/>
                <w:w w:val="90"/>
              </w:rPr>
              <w:t>(State or other jurisdiction of</w:t>
            </w: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40" w:type="dxa"/>
            <w:vAlign w:val="bottom"/>
          </w:tcPr>
          <w:p>
            <w:pPr>
              <w:ind w:left="1100"/>
              <w:spacing w:after="0" w:line="181" w:lineRule="exact"/>
              <w:rPr>
                <w:sz w:val="20"/>
                <w:szCs w:val="20"/>
                <w:color w:val="auto"/>
              </w:rPr>
            </w:pPr>
            <w:r>
              <w:rPr>
                <w:rFonts w:ascii="Arial" w:cs="Arial" w:eastAsia="Arial" w:hAnsi="Arial"/>
                <w:sz w:val="18"/>
                <w:szCs w:val="18"/>
                <w:b w:val="1"/>
                <w:bCs w:val="1"/>
                <w:color w:val="auto"/>
              </w:rPr>
              <w:t>(I.R.S. Employer</w:t>
            </w:r>
          </w:p>
        </w:tc>
      </w:tr>
      <w:tr>
        <w:trPr>
          <w:trHeight w:val="234"/>
        </w:trPr>
        <w:tc>
          <w:tcPr>
            <w:tcW w:w="3700" w:type="dxa"/>
            <w:vAlign w:val="bottom"/>
            <w:gridSpan w:val="2"/>
          </w:tcPr>
          <w:p>
            <w:pPr>
              <w:jc w:val="center"/>
              <w:ind w:left="814"/>
              <w:spacing w:after="0"/>
              <w:rPr>
                <w:sz w:val="20"/>
                <w:szCs w:val="20"/>
                <w:color w:val="auto"/>
              </w:rPr>
            </w:pPr>
            <w:r>
              <w:rPr>
                <w:rFonts w:ascii="Arial" w:cs="Arial" w:eastAsia="Arial" w:hAnsi="Arial"/>
                <w:sz w:val="18"/>
                <w:szCs w:val="18"/>
                <w:b w:val="1"/>
                <w:bCs w:val="1"/>
                <w:color w:val="auto"/>
                <w:w w:val="91"/>
              </w:rPr>
              <w:t>incorporation or organization)</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40" w:type="dxa"/>
            <w:vAlign w:val="bottom"/>
          </w:tcPr>
          <w:p>
            <w:pPr>
              <w:jc w:val="center"/>
              <w:ind w:left="393"/>
              <w:spacing w:after="0"/>
              <w:rPr>
                <w:sz w:val="20"/>
                <w:szCs w:val="20"/>
                <w:color w:val="auto"/>
              </w:rPr>
            </w:pPr>
            <w:r>
              <w:rPr>
                <w:rFonts w:ascii="Arial" w:cs="Arial" w:eastAsia="Arial" w:hAnsi="Arial"/>
                <w:sz w:val="18"/>
                <w:szCs w:val="18"/>
                <w:b w:val="1"/>
                <w:bCs w:val="1"/>
                <w:color w:val="auto"/>
                <w:w w:val="92"/>
              </w:rPr>
              <w:t>Identification No.)</w:t>
            </w:r>
          </w:p>
        </w:tc>
      </w:tr>
      <w:tr>
        <w:trPr>
          <w:trHeight w:val="332"/>
        </w:trPr>
        <w:tc>
          <w:tcPr>
            <w:tcW w:w="7560" w:type="dxa"/>
            <w:vAlign w:val="bottom"/>
            <w:gridSpan w:val="7"/>
          </w:tcPr>
          <w:p>
            <w:pPr>
              <w:jc w:val="center"/>
              <w:ind w:right="2960"/>
              <w:spacing w:after="0"/>
              <w:rPr>
                <w:sz w:val="20"/>
                <w:szCs w:val="20"/>
                <w:color w:val="auto"/>
              </w:rPr>
            </w:pPr>
            <w:r>
              <w:rPr>
                <w:rFonts w:ascii="Arial" w:cs="Arial" w:eastAsia="Arial" w:hAnsi="Arial"/>
                <w:sz w:val="18"/>
                <w:szCs w:val="18"/>
                <w:b w:val="1"/>
                <w:bCs w:val="1"/>
                <w:color w:val="auto"/>
                <w:w w:val="92"/>
              </w:rPr>
              <w:t>5650 Hollis Street, Emeryville, California</w:t>
            </w:r>
          </w:p>
        </w:tc>
        <w:tc>
          <w:tcPr>
            <w:tcW w:w="3680" w:type="dxa"/>
            <w:vAlign w:val="bottom"/>
            <w:gridSpan w:val="2"/>
          </w:tcPr>
          <w:p>
            <w:pPr>
              <w:jc w:val="right"/>
              <w:ind w:right="973"/>
              <w:spacing w:after="0"/>
              <w:rPr>
                <w:sz w:val="20"/>
                <w:szCs w:val="20"/>
                <w:color w:val="auto"/>
              </w:rPr>
            </w:pPr>
            <w:r>
              <w:rPr>
                <w:rFonts w:ascii="Arial" w:cs="Arial" w:eastAsia="Arial" w:hAnsi="Arial"/>
                <w:sz w:val="18"/>
                <w:szCs w:val="18"/>
                <w:b w:val="1"/>
                <w:bCs w:val="1"/>
                <w:color w:val="auto"/>
              </w:rPr>
              <w:t>94608</w:t>
            </w:r>
          </w:p>
        </w:tc>
      </w:tr>
      <w:tr>
        <w:trPr>
          <w:trHeight w:val="210"/>
        </w:trPr>
        <w:tc>
          <w:tcPr>
            <w:tcW w:w="3700" w:type="dxa"/>
            <w:vAlign w:val="bottom"/>
            <w:gridSpan w:val="2"/>
          </w:tcPr>
          <w:p>
            <w:pPr>
              <w:jc w:val="center"/>
              <w:ind w:left="814"/>
              <w:spacing w:after="0"/>
              <w:rPr>
                <w:sz w:val="20"/>
                <w:szCs w:val="20"/>
                <w:color w:val="auto"/>
              </w:rPr>
            </w:pPr>
            <w:r>
              <w:rPr>
                <w:rFonts w:ascii="Arial" w:cs="Arial" w:eastAsia="Arial" w:hAnsi="Arial"/>
                <w:sz w:val="16"/>
                <w:szCs w:val="16"/>
                <w:b w:val="1"/>
                <w:bCs w:val="1"/>
                <w:color w:val="auto"/>
                <w:w w:val="89"/>
              </w:rPr>
              <w:t>(Address of principal executive offices)</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40" w:type="dxa"/>
            <w:vAlign w:val="bottom"/>
          </w:tcPr>
          <w:p>
            <w:pPr>
              <w:jc w:val="center"/>
              <w:ind w:left="393"/>
              <w:spacing w:after="0"/>
              <w:rPr>
                <w:sz w:val="20"/>
                <w:szCs w:val="20"/>
                <w:color w:val="auto"/>
              </w:rPr>
            </w:pPr>
            <w:r>
              <w:rPr>
                <w:rFonts w:ascii="Arial" w:cs="Arial" w:eastAsia="Arial" w:hAnsi="Arial"/>
                <w:sz w:val="16"/>
                <w:szCs w:val="16"/>
                <w:b w:val="1"/>
                <w:bCs w:val="1"/>
                <w:color w:val="auto"/>
                <w:w w:val="96"/>
              </w:rPr>
              <w:t>(Zip Code)</w:t>
            </w:r>
          </w:p>
        </w:tc>
      </w:tr>
      <w:tr>
        <w:trPr>
          <w:trHeight w:val="235"/>
        </w:trPr>
        <w:tc>
          <w:tcPr>
            <w:tcW w:w="30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160" w:type="dxa"/>
            <w:vAlign w:val="bottom"/>
            <w:gridSpan w:val="3"/>
          </w:tcPr>
          <w:p>
            <w:pPr>
              <w:jc w:val="center"/>
              <w:ind w:left="596"/>
              <w:spacing w:after="0"/>
              <w:rPr>
                <w:sz w:val="20"/>
                <w:szCs w:val="20"/>
                <w:color w:val="auto"/>
              </w:rPr>
            </w:pPr>
            <w:r>
              <w:rPr>
                <w:rFonts w:ascii="Arial" w:cs="Arial" w:eastAsia="Arial" w:hAnsi="Arial"/>
                <w:sz w:val="18"/>
                <w:szCs w:val="18"/>
                <w:b w:val="1"/>
                <w:bCs w:val="1"/>
                <w:color w:val="auto"/>
                <w:w w:val="90"/>
              </w:rPr>
              <w:t>(510) 845-1999</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40" w:type="dxa"/>
            <w:vAlign w:val="bottom"/>
          </w:tcPr>
          <w:p>
            <w:pPr>
              <w:spacing w:after="0"/>
              <w:rPr>
                <w:sz w:val="20"/>
                <w:szCs w:val="20"/>
                <w:color w:val="auto"/>
              </w:rPr>
            </w:pPr>
          </w:p>
        </w:tc>
      </w:tr>
      <w:tr>
        <w:trPr>
          <w:trHeight w:val="210"/>
        </w:trPr>
        <w:tc>
          <w:tcPr>
            <w:tcW w:w="30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60" w:type="dxa"/>
            <w:vAlign w:val="bottom"/>
            <w:gridSpan w:val="5"/>
          </w:tcPr>
          <w:p>
            <w:pPr>
              <w:jc w:val="center"/>
              <w:spacing w:after="0"/>
              <w:rPr>
                <w:sz w:val="20"/>
                <w:szCs w:val="20"/>
                <w:color w:val="auto"/>
              </w:rPr>
            </w:pPr>
            <w:r>
              <w:rPr>
                <w:rFonts w:ascii="Arial" w:cs="Arial" w:eastAsia="Arial" w:hAnsi="Arial"/>
                <w:sz w:val="16"/>
                <w:szCs w:val="16"/>
                <w:b w:val="1"/>
                <w:bCs w:val="1"/>
                <w:color w:val="auto"/>
                <w:w w:val="90"/>
              </w:rPr>
              <w:t>(Registrant’s telephone number, including area code)</w:t>
            </w:r>
          </w:p>
        </w:tc>
        <w:tc>
          <w:tcPr>
            <w:tcW w:w="640" w:type="dxa"/>
            <w:vAlign w:val="bottom"/>
          </w:tcPr>
          <w:p>
            <w:pPr>
              <w:spacing w:after="0"/>
              <w:rPr>
                <w:sz w:val="18"/>
                <w:szCs w:val="18"/>
                <w:color w:val="auto"/>
              </w:rPr>
            </w:pPr>
          </w:p>
        </w:tc>
        <w:tc>
          <w:tcPr>
            <w:tcW w:w="3040" w:type="dxa"/>
            <w:vAlign w:val="bottom"/>
          </w:tcPr>
          <w:p>
            <w:pPr>
              <w:spacing w:after="0"/>
              <w:rPr>
                <w:sz w:val="18"/>
                <w:szCs w:val="18"/>
                <w:color w:val="auto"/>
              </w:rPr>
            </w:pPr>
          </w:p>
        </w:tc>
      </w:tr>
      <w:tr>
        <w:trPr>
          <w:trHeight w:val="168"/>
        </w:trPr>
        <w:tc>
          <w:tcPr>
            <w:tcW w:w="304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3040" w:type="dxa"/>
            <w:vAlign w:val="bottom"/>
          </w:tcPr>
          <w:p>
            <w:pPr>
              <w:spacing w:after="0"/>
              <w:rPr>
                <w:sz w:val="14"/>
                <w:szCs w:val="14"/>
                <w:color w:val="auto"/>
              </w:rPr>
            </w:pPr>
          </w:p>
        </w:tc>
      </w:tr>
      <w:tr>
        <w:trPr>
          <w:trHeight w:val="528"/>
        </w:trPr>
        <w:tc>
          <w:tcPr>
            <w:tcW w:w="30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60" w:type="dxa"/>
            <w:vAlign w:val="bottom"/>
            <w:gridSpan w:val="5"/>
          </w:tcPr>
          <w:p>
            <w:pPr>
              <w:jc w:val="center"/>
              <w:spacing w:after="0"/>
              <w:rPr>
                <w:sz w:val="20"/>
                <w:szCs w:val="20"/>
                <w:color w:val="auto"/>
              </w:rPr>
            </w:pPr>
            <w:r>
              <w:rPr>
                <w:rFonts w:ascii="Arial" w:cs="Arial" w:eastAsia="Arial" w:hAnsi="Arial"/>
                <w:sz w:val="16"/>
                <w:szCs w:val="16"/>
                <w:color w:val="auto"/>
                <w:w w:val="92"/>
              </w:rPr>
              <w:t>Securities registered pursuant to Section 12(b) of the Act:</w:t>
            </w:r>
          </w:p>
        </w:tc>
        <w:tc>
          <w:tcPr>
            <w:tcW w:w="640" w:type="dxa"/>
            <w:vAlign w:val="bottom"/>
          </w:tcPr>
          <w:p>
            <w:pPr>
              <w:spacing w:after="0"/>
              <w:rPr>
                <w:sz w:val="24"/>
                <w:szCs w:val="24"/>
                <w:color w:val="auto"/>
              </w:rPr>
            </w:pPr>
          </w:p>
        </w:tc>
        <w:tc>
          <w:tcPr>
            <w:tcW w:w="3040" w:type="dxa"/>
            <w:vAlign w:val="bottom"/>
          </w:tcPr>
          <w:p>
            <w:pPr>
              <w:spacing w:after="0"/>
              <w:rPr>
                <w:sz w:val="24"/>
                <w:szCs w:val="24"/>
                <w:color w:val="auto"/>
              </w:rPr>
            </w:pPr>
          </w:p>
        </w:tc>
      </w:tr>
      <w:tr>
        <w:trPr>
          <w:trHeight w:val="232"/>
        </w:trPr>
        <w:tc>
          <w:tcPr>
            <w:tcW w:w="3700" w:type="dxa"/>
            <w:vAlign w:val="bottom"/>
            <w:tcBorders>
              <w:bottom w:val="single" w:sz="8" w:color="auto"/>
            </w:tcBorders>
            <w:gridSpan w:val="2"/>
          </w:tcPr>
          <w:p>
            <w:pPr>
              <w:jc w:val="center"/>
              <w:ind w:left="454"/>
              <w:spacing w:after="0"/>
              <w:rPr>
                <w:sz w:val="20"/>
                <w:szCs w:val="20"/>
                <w:color w:val="auto"/>
              </w:rPr>
            </w:pPr>
            <w:r>
              <w:rPr>
                <w:rFonts w:ascii="Arial" w:cs="Arial" w:eastAsia="Arial" w:hAnsi="Arial"/>
                <w:sz w:val="16"/>
                <w:szCs w:val="16"/>
                <w:b w:val="1"/>
                <w:bCs w:val="1"/>
                <w:color w:val="auto"/>
                <w:w w:val="87"/>
              </w:rPr>
              <w:t>Title of each class</w:t>
            </w:r>
          </w:p>
        </w:tc>
        <w:tc>
          <w:tcPr>
            <w:tcW w:w="5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5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Trading Symbol</w:t>
            </w:r>
          </w:p>
        </w:tc>
        <w:tc>
          <w:tcPr>
            <w:tcW w:w="12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3680" w:type="dxa"/>
            <w:vAlign w:val="bottom"/>
            <w:tcBorders>
              <w:bottom w:val="single" w:sz="8" w:color="auto"/>
            </w:tcBorders>
            <w:gridSpan w:val="2"/>
          </w:tcPr>
          <w:p>
            <w:pPr>
              <w:jc w:val="center"/>
              <w:ind w:right="493"/>
              <w:spacing w:after="0"/>
              <w:rPr>
                <w:sz w:val="20"/>
                <w:szCs w:val="20"/>
                <w:color w:val="auto"/>
              </w:rPr>
            </w:pPr>
            <w:r>
              <w:rPr>
                <w:rFonts w:ascii="Arial" w:cs="Arial" w:eastAsia="Arial" w:hAnsi="Arial"/>
                <w:sz w:val="16"/>
                <w:szCs w:val="16"/>
                <w:b w:val="1"/>
                <w:bCs w:val="1"/>
                <w:color w:val="auto"/>
                <w:w w:val="89"/>
              </w:rPr>
              <w:t>Name of each exchange on which registered</w:t>
            </w:r>
          </w:p>
        </w:tc>
      </w:tr>
      <w:tr>
        <w:trPr>
          <w:trHeight w:val="207"/>
        </w:trPr>
        <w:tc>
          <w:tcPr>
            <w:tcW w:w="3700" w:type="dxa"/>
            <w:vAlign w:val="bottom"/>
            <w:gridSpan w:val="2"/>
          </w:tcPr>
          <w:p>
            <w:pPr>
              <w:jc w:val="center"/>
              <w:ind w:left="454"/>
              <w:spacing w:after="0"/>
              <w:rPr>
                <w:sz w:val="20"/>
                <w:szCs w:val="20"/>
                <w:color w:val="auto"/>
              </w:rPr>
            </w:pPr>
            <w:r>
              <w:rPr>
                <w:rFonts w:ascii="Arial" w:cs="Arial" w:eastAsia="Arial" w:hAnsi="Arial"/>
                <w:sz w:val="16"/>
                <w:szCs w:val="16"/>
                <w:color w:val="auto"/>
                <w:w w:val="90"/>
              </w:rPr>
              <w:t>Common Stock, par value $0.001 per share</w:t>
            </w: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0" w:type="dxa"/>
            <w:vAlign w:val="bottom"/>
            <w:gridSpan w:val="3"/>
          </w:tcPr>
          <w:p>
            <w:pPr>
              <w:jc w:val="center"/>
              <w:ind w:right="700"/>
              <w:spacing w:after="0"/>
              <w:rPr>
                <w:sz w:val="20"/>
                <w:szCs w:val="20"/>
                <w:color w:val="auto"/>
              </w:rPr>
            </w:pPr>
            <w:r>
              <w:rPr>
                <w:rFonts w:ascii="Arial" w:cs="Arial" w:eastAsia="Arial" w:hAnsi="Arial"/>
                <w:sz w:val="16"/>
                <w:szCs w:val="16"/>
                <w:color w:val="auto"/>
                <w:w w:val="88"/>
              </w:rPr>
              <w:t>GO</w:t>
            </w:r>
          </w:p>
        </w:tc>
        <w:tc>
          <w:tcPr>
            <w:tcW w:w="3680" w:type="dxa"/>
            <w:vAlign w:val="bottom"/>
            <w:gridSpan w:val="2"/>
          </w:tcPr>
          <w:p>
            <w:pPr>
              <w:jc w:val="center"/>
              <w:ind w:right="493"/>
              <w:spacing w:after="0"/>
              <w:rPr>
                <w:sz w:val="20"/>
                <w:szCs w:val="20"/>
                <w:color w:val="auto"/>
              </w:rPr>
            </w:pPr>
            <w:r>
              <w:rPr>
                <w:rFonts w:ascii="Arial" w:cs="Arial" w:eastAsia="Arial" w:hAnsi="Arial"/>
                <w:sz w:val="16"/>
                <w:szCs w:val="16"/>
                <w:color w:val="auto"/>
                <w:w w:val="91"/>
              </w:rPr>
              <w:t>Nasdaq Global Select Market</w:t>
            </w:r>
          </w:p>
        </w:tc>
      </w:tr>
    </w:tbl>
    <w:p>
      <w:pPr>
        <w:spacing w:after="0" w:line="200" w:lineRule="exact"/>
        <w:rPr>
          <w:sz w:val="24"/>
          <w:szCs w:val="24"/>
          <w:color w:val="auto"/>
        </w:rPr>
      </w:pPr>
    </w:p>
    <w:p>
      <w:pPr>
        <w:spacing w:after="0" w:line="242" w:lineRule="exact"/>
        <w:rPr>
          <w:sz w:val="24"/>
          <w:szCs w:val="24"/>
          <w:color w:val="auto"/>
        </w:rPr>
      </w:pPr>
    </w:p>
    <w:p>
      <w:pPr>
        <w:jc w:val="both"/>
        <w:spacing w:after="0" w:line="20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75" w:lineRule="exact"/>
        <w:rPr>
          <w:sz w:val="24"/>
          <w:szCs w:val="24"/>
          <w:color w:val="auto"/>
        </w:rPr>
      </w:pPr>
    </w:p>
    <w:p>
      <w:pPr>
        <w:jc w:val="both"/>
        <w:spacing w:after="0" w:line="207"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73" w:lineRule="exact"/>
        <w:rPr>
          <w:sz w:val="24"/>
          <w:szCs w:val="24"/>
          <w:color w:val="auto"/>
        </w:rPr>
      </w:pPr>
    </w:p>
    <w:p>
      <w:pPr>
        <w:jc w:val="both"/>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15" w:lineRule="exact"/>
        <w:rPr>
          <w:sz w:val="24"/>
          <w:szCs w:val="24"/>
          <w:color w:val="auto"/>
        </w:rPr>
      </w:pPr>
    </w:p>
    <w:tbl>
      <w:tblPr>
        <w:tblLayout w:type="fixed"/>
        <w:tblInd w:w="60" w:type="dxa"/>
        <w:tblCellMar>
          <w:top w:w="0" w:type="dxa"/>
          <w:left w:w="0" w:type="dxa"/>
          <w:bottom w:w="0" w:type="dxa"/>
          <w:right w:w="0" w:type="dxa"/>
        </w:tblCellMar>
      </w:tblPr>
      <w:tr>
        <w:trPr>
          <w:trHeight w:val="292"/>
        </w:trPr>
        <w:tc>
          <w:tcPr>
            <w:tcW w:w="336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2160" w:type="dxa"/>
            <w:vAlign w:val="bottom"/>
          </w:tcPr>
          <w:p>
            <w:pPr>
              <w:ind w:left="1920"/>
              <w:spacing w:after="0" w:line="161" w:lineRule="exact"/>
              <w:rPr>
                <w:sz w:val="20"/>
                <w:szCs w:val="20"/>
                <w:color w:val="auto"/>
              </w:rPr>
            </w:pPr>
            <w:r>
              <w:rPr>
                <w:rFonts w:ascii="MS PGothic" w:cs="MS PGothic" w:eastAsia="MS PGothic" w:hAnsi="MS PGothic"/>
                <w:sz w:val="16"/>
                <w:szCs w:val="16"/>
                <w:color w:val="auto"/>
              </w:rPr>
              <w:t>☒</w:t>
            </w:r>
          </w:p>
        </w:tc>
        <w:tc>
          <w:tcPr>
            <w:tcW w:w="3640" w:type="dxa"/>
            <w:vAlign w:val="bottom"/>
          </w:tcPr>
          <w:p>
            <w:pPr>
              <w:ind w:left="100"/>
              <w:spacing w:after="0"/>
              <w:rPr>
                <w:sz w:val="20"/>
                <w:szCs w:val="20"/>
                <w:color w:val="auto"/>
              </w:rPr>
            </w:pPr>
            <w:r>
              <w:rPr>
                <w:rFonts w:ascii="Arial" w:cs="Arial" w:eastAsia="Arial" w:hAnsi="Arial"/>
                <w:sz w:val="16"/>
                <w:szCs w:val="16"/>
                <w:color w:val="auto"/>
              </w:rPr>
              <w:t>Accelerated filer</w:t>
            </w:r>
          </w:p>
        </w:tc>
        <w:tc>
          <w:tcPr>
            <w:tcW w:w="1900" w:type="dxa"/>
            <w:vAlign w:val="bottom"/>
          </w:tcPr>
          <w:p>
            <w:pPr>
              <w:ind w:left="17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97"/>
        </w:trPr>
        <w:tc>
          <w:tcPr>
            <w:tcW w:w="3360" w:type="dxa"/>
            <w:vAlign w:val="bottom"/>
          </w:tcPr>
          <w:p>
            <w:pPr>
              <w:spacing w:after="0"/>
              <w:rPr>
                <w:sz w:val="20"/>
                <w:szCs w:val="20"/>
                <w:color w:val="auto"/>
              </w:rPr>
            </w:pPr>
            <w:r>
              <w:rPr>
                <w:rFonts w:ascii="Arial" w:cs="Arial" w:eastAsia="Arial" w:hAnsi="Arial"/>
                <w:sz w:val="16"/>
                <w:szCs w:val="16"/>
                <w:color w:val="auto"/>
              </w:rPr>
              <w:t>Non-accelerated filer</w:t>
            </w:r>
          </w:p>
        </w:tc>
        <w:tc>
          <w:tcPr>
            <w:tcW w:w="2160" w:type="dxa"/>
            <w:vAlign w:val="bottom"/>
          </w:tcPr>
          <w:p>
            <w:pPr>
              <w:ind w:left="1920"/>
              <w:spacing w:after="0" w:line="161" w:lineRule="exact"/>
              <w:rPr>
                <w:sz w:val="20"/>
                <w:szCs w:val="20"/>
                <w:color w:val="auto"/>
              </w:rPr>
            </w:pPr>
            <w:r>
              <w:rPr>
                <w:rFonts w:ascii="MS PGothic" w:cs="MS PGothic" w:eastAsia="MS PGothic" w:hAnsi="MS PGothic"/>
                <w:sz w:val="16"/>
                <w:szCs w:val="16"/>
                <w:color w:val="auto"/>
              </w:rPr>
              <w:t>☐</w:t>
            </w:r>
          </w:p>
        </w:tc>
        <w:tc>
          <w:tcPr>
            <w:tcW w:w="3640" w:type="dxa"/>
            <w:vAlign w:val="bottom"/>
          </w:tcPr>
          <w:p>
            <w:pPr>
              <w:ind w:left="100"/>
              <w:spacing w:after="0"/>
              <w:rPr>
                <w:sz w:val="20"/>
                <w:szCs w:val="20"/>
                <w:color w:val="auto"/>
              </w:rPr>
            </w:pPr>
            <w:r>
              <w:rPr>
                <w:rFonts w:ascii="Arial" w:cs="Arial" w:eastAsia="Arial" w:hAnsi="Arial"/>
                <w:sz w:val="16"/>
                <w:szCs w:val="16"/>
                <w:color w:val="auto"/>
              </w:rPr>
              <w:t>Smaller reporting company</w:t>
            </w:r>
          </w:p>
        </w:tc>
        <w:tc>
          <w:tcPr>
            <w:tcW w:w="1900" w:type="dxa"/>
            <w:vAlign w:val="bottom"/>
          </w:tcPr>
          <w:p>
            <w:pPr>
              <w:ind w:left="17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97"/>
        </w:trPr>
        <w:tc>
          <w:tcPr>
            <w:tcW w:w="33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3640" w:type="dxa"/>
            <w:vAlign w:val="bottom"/>
          </w:tcPr>
          <w:p>
            <w:pPr>
              <w:ind w:left="100"/>
              <w:spacing w:after="0"/>
              <w:rPr>
                <w:sz w:val="20"/>
                <w:szCs w:val="20"/>
                <w:color w:val="auto"/>
              </w:rPr>
            </w:pPr>
            <w:r>
              <w:rPr>
                <w:rFonts w:ascii="Arial" w:cs="Arial" w:eastAsia="Arial" w:hAnsi="Arial"/>
                <w:sz w:val="16"/>
                <w:szCs w:val="16"/>
                <w:color w:val="auto"/>
              </w:rPr>
              <w:t>Emerging growth company</w:t>
            </w:r>
          </w:p>
        </w:tc>
        <w:tc>
          <w:tcPr>
            <w:tcW w:w="1900" w:type="dxa"/>
            <w:vAlign w:val="bottom"/>
          </w:tcPr>
          <w:p>
            <w:pPr>
              <w:ind w:left="176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81" w:lineRule="exact"/>
        <w:rPr>
          <w:sz w:val="24"/>
          <w:szCs w:val="24"/>
          <w:color w:val="auto"/>
        </w:rPr>
      </w:pPr>
    </w:p>
    <w:p>
      <w:pPr>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44" w:lineRule="exact"/>
        <w:rPr>
          <w:sz w:val="24"/>
          <w:szCs w:val="24"/>
          <w:color w:val="auto"/>
        </w:rPr>
      </w:pPr>
    </w:p>
    <w:p>
      <w:pPr>
        <w:ind w:right="2740"/>
        <w:spacing w:after="0" w:line="267"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August 5, 2021, the registrant had 95,920,474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814705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99060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124460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63" w:right="339" w:bottom="1440" w:gutter="0" w:footer="0" w:header="0"/>
        </w:sectPr>
      </w:pPr>
    </w:p>
    <w:bookmarkStart w:id="1" w:name="page2"/>
    <w:bookmarkEnd w:id="1"/>
    <w:p>
      <w:pPr>
        <w:jc w:val="center"/>
        <w:ind w:right="-199"/>
        <w:spacing w:after="0"/>
        <w:rPr>
          <w:sz w:val="20"/>
          <w:szCs w:val="20"/>
          <w:color w:val="auto"/>
        </w:rPr>
      </w:pPr>
      <w:r>
        <w:rPr>
          <w:rFonts w:ascii="Arial" w:cs="Arial" w:eastAsia="Arial" w:hAnsi="Arial"/>
          <w:sz w:val="20"/>
          <w:szCs w:val="20"/>
          <w:b w:val="1"/>
          <w:bCs w:val="1"/>
          <w:color w:val="auto"/>
        </w:rPr>
        <w:t>GROCERY OUTLET HOLDING CORP.</w:t>
      </w:r>
    </w:p>
    <w:p>
      <w:pPr>
        <w:spacing w:after="0" w:line="22" w:lineRule="exact"/>
        <w:rPr>
          <w:sz w:val="20"/>
          <w:szCs w:val="20"/>
          <w:color w:val="auto"/>
        </w:rPr>
      </w:pPr>
    </w:p>
    <w:p>
      <w:pPr>
        <w:jc w:val="center"/>
        <w:ind w:right="-199"/>
        <w:spacing w:after="0"/>
        <w:rPr>
          <w:sz w:val="20"/>
          <w:szCs w:val="20"/>
          <w:color w:val="auto"/>
        </w:rPr>
      </w:pPr>
      <w:r>
        <w:rPr>
          <w:rFonts w:ascii="Arial" w:cs="Arial" w:eastAsia="Arial" w:hAnsi="Arial"/>
          <w:sz w:val="20"/>
          <w:szCs w:val="20"/>
          <w:b w:val="1"/>
          <w:bCs w:val="1"/>
          <w:color w:val="auto"/>
        </w:rPr>
        <w:t>FORM 10-Q</w:t>
      </w:r>
    </w:p>
    <w:p>
      <w:pPr>
        <w:spacing w:after="0" w:line="194" w:lineRule="exact"/>
        <w:rPr>
          <w:sz w:val="20"/>
          <w:szCs w:val="20"/>
          <w:color w:val="auto"/>
        </w:rPr>
      </w:pPr>
    </w:p>
    <w:p>
      <w:pPr>
        <w:jc w:val="center"/>
        <w:ind w:right="-199"/>
        <w:spacing w:after="0"/>
        <w:rPr>
          <w:sz w:val="20"/>
          <w:szCs w:val="20"/>
          <w:color w:val="auto"/>
        </w:rPr>
      </w:pPr>
      <w:r>
        <w:rPr>
          <w:rFonts w:ascii="Arial" w:cs="Arial" w:eastAsia="Arial" w:hAnsi="Arial"/>
          <w:sz w:val="20"/>
          <w:szCs w:val="20"/>
          <w:b w:val="1"/>
          <w:bCs w:val="1"/>
          <w:color w:val="auto"/>
        </w:rPr>
        <w:t>TABLE OF CONTENTS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0" w:type="dxa"/>
            <w:vAlign w:val="bottom"/>
            <w:gridSpan w:val="3"/>
          </w:tcPr>
          <w:p>
            <w:pPr>
              <w:ind w:left="3280"/>
              <w:spacing w:after="0"/>
              <w:rPr>
                <w:sz w:val="20"/>
                <w:szCs w:val="20"/>
                <w:color w:val="auto"/>
              </w:rPr>
            </w:pPr>
            <w:r>
              <w:rPr>
                <w:rFonts w:ascii="Arial" w:cs="Arial" w:eastAsia="Arial" w:hAnsi="Arial"/>
                <w:sz w:val="16"/>
                <w:szCs w:val="16"/>
                <w:b w:val="1"/>
                <w:bCs w:val="1"/>
                <w:color w:val="auto"/>
                <w:w w:val="78"/>
              </w:rPr>
              <w:t>Page</w:t>
            </w:r>
          </w:p>
        </w:tc>
      </w:tr>
      <w:tr>
        <w:trPr>
          <w:trHeight w:val="195"/>
        </w:trPr>
        <w:tc>
          <w:tcPr>
            <w:tcW w:w="7400" w:type="dxa"/>
            <w:vAlign w:val="bottom"/>
            <w:gridSpan w:val="22"/>
          </w:tcPr>
          <w:p>
            <w:pPr>
              <w:spacing w:after="0" w:line="195" w:lineRule="exact"/>
              <w:rPr>
                <w:rFonts w:ascii="Arial" w:cs="Arial" w:eastAsia="Arial" w:hAnsi="Arial"/>
                <w:sz w:val="18"/>
                <w:szCs w:val="18"/>
                <w:color w:val="3051F2"/>
              </w:rPr>
            </w:pPr>
            <w:hyperlink w:anchor="page2">
              <w:r>
                <w:rPr>
                  <w:rFonts w:ascii="Arial" w:cs="Arial" w:eastAsia="Arial" w:hAnsi="Arial"/>
                  <w:sz w:val="18"/>
                  <w:szCs w:val="18"/>
                  <w:color w:val="3051F2"/>
                </w:rPr>
                <w:t>Special Note Regarding Forward-Looking Statements</w:t>
              </w:r>
            </w:hyperlink>
          </w:p>
        </w:tc>
        <w:tc>
          <w:tcPr>
            <w:tcW w:w="3520" w:type="dxa"/>
            <w:vAlign w:val="bottom"/>
            <w:gridSpan w:val="2"/>
          </w:tcPr>
          <w:p>
            <w:pPr>
              <w:jc w:val="center"/>
              <w:ind w:left="3279"/>
              <w:spacing w:after="0"/>
              <w:rPr>
                <w:rFonts w:ascii="Arial" w:cs="Arial" w:eastAsia="Arial" w:hAnsi="Arial"/>
                <w:sz w:val="16"/>
                <w:szCs w:val="16"/>
                <w:color w:val="3051F2"/>
                <w:w w:val="89"/>
              </w:rPr>
            </w:pPr>
            <w:hyperlink w:anchor="page2">
              <w:r>
                <w:rPr>
                  <w:rFonts w:ascii="Arial" w:cs="Arial" w:eastAsia="Arial" w:hAnsi="Arial"/>
                  <w:sz w:val="16"/>
                  <w:szCs w:val="16"/>
                  <w:color w:val="3051F2"/>
                  <w:w w:val="89"/>
                </w:rPr>
                <w:t>2</w:t>
              </w:r>
            </w:hyperlink>
          </w:p>
        </w:tc>
        <w:tc>
          <w:tcPr>
            <w:tcW w:w="80" w:type="dxa"/>
            <w:vAlign w:val="bottom"/>
          </w:tcPr>
          <w:p>
            <w:pPr>
              <w:spacing w:after="0"/>
              <w:rPr>
                <w:sz w:val="16"/>
                <w:szCs w:val="16"/>
                <w:color w:val="auto"/>
              </w:rPr>
            </w:pPr>
          </w:p>
        </w:tc>
      </w:tr>
      <w:tr>
        <w:trPr>
          <w:trHeight w:val="520"/>
        </w:trPr>
        <w:tc>
          <w:tcPr>
            <w:tcW w:w="940" w:type="dxa"/>
            <w:vAlign w:val="bottom"/>
            <w:tcBorders>
              <w:top w:val="single" w:sz="8" w:color="3051F2"/>
            </w:tcBorders>
          </w:tcPr>
          <w:p>
            <w:pPr>
              <w:spacing w:after="0"/>
              <w:rPr>
                <w:sz w:val="24"/>
                <w:szCs w:val="24"/>
                <w:color w:val="auto"/>
              </w:rPr>
            </w:pPr>
          </w:p>
        </w:tc>
        <w:tc>
          <w:tcPr>
            <w:tcW w:w="600" w:type="dxa"/>
            <w:vAlign w:val="bottom"/>
            <w:tcBorders>
              <w:top w:val="single" w:sz="8" w:color="3051F2"/>
            </w:tcBorders>
          </w:tcPr>
          <w:p>
            <w:pPr>
              <w:spacing w:after="0"/>
              <w:rPr>
                <w:sz w:val="24"/>
                <w:szCs w:val="24"/>
                <w:color w:val="auto"/>
              </w:rPr>
            </w:pPr>
          </w:p>
        </w:tc>
        <w:tc>
          <w:tcPr>
            <w:tcW w:w="100" w:type="dxa"/>
            <w:vAlign w:val="bottom"/>
            <w:tcBorders>
              <w:top w:val="single" w:sz="8" w:color="3051F2"/>
            </w:tcBorders>
          </w:tcPr>
          <w:p>
            <w:pPr>
              <w:spacing w:after="0"/>
              <w:rPr>
                <w:sz w:val="24"/>
                <w:szCs w:val="24"/>
                <w:color w:val="auto"/>
              </w:rPr>
            </w:pPr>
          </w:p>
        </w:tc>
        <w:tc>
          <w:tcPr>
            <w:tcW w:w="200" w:type="dxa"/>
            <w:vAlign w:val="bottom"/>
            <w:tcBorders>
              <w:top w:val="single" w:sz="8" w:color="3051F2"/>
            </w:tcBorders>
          </w:tcPr>
          <w:p>
            <w:pPr>
              <w:spacing w:after="0"/>
              <w:rPr>
                <w:sz w:val="24"/>
                <w:szCs w:val="24"/>
                <w:color w:val="auto"/>
              </w:rPr>
            </w:pPr>
          </w:p>
        </w:tc>
        <w:tc>
          <w:tcPr>
            <w:tcW w:w="420" w:type="dxa"/>
            <w:vAlign w:val="bottom"/>
            <w:tcBorders>
              <w:top w:val="single" w:sz="8" w:color="3051F2"/>
            </w:tcBorders>
          </w:tcPr>
          <w:p>
            <w:pPr>
              <w:spacing w:after="0"/>
              <w:rPr>
                <w:sz w:val="24"/>
                <w:szCs w:val="24"/>
                <w:color w:val="auto"/>
              </w:rPr>
            </w:pPr>
          </w:p>
        </w:tc>
        <w:tc>
          <w:tcPr>
            <w:tcW w:w="240" w:type="dxa"/>
            <w:vAlign w:val="bottom"/>
            <w:tcBorders>
              <w:top w:val="single" w:sz="8" w:color="3051F2"/>
            </w:tcBorders>
          </w:tcPr>
          <w:p>
            <w:pPr>
              <w:spacing w:after="0"/>
              <w:rPr>
                <w:sz w:val="24"/>
                <w:szCs w:val="24"/>
                <w:color w:val="auto"/>
              </w:rPr>
            </w:pPr>
          </w:p>
        </w:tc>
        <w:tc>
          <w:tcPr>
            <w:tcW w:w="160" w:type="dxa"/>
            <w:vAlign w:val="bottom"/>
            <w:tcBorders>
              <w:top w:val="single" w:sz="8" w:color="3051F2"/>
            </w:tcBorders>
          </w:tcPr>
          <w:p>
            <w:pPr>
              <w:spacing w:after="0"/>
              <w:rPr>
                <w:sz w:val="24"/>
                <w:szCs w:val="24"/>
                <w:color w:val="auto"/>
              </w:rPr>
            </w:pPr>
          </w:p>
        </w:tc>
        <w:tc>
          <w:tcPr>
            <w:tcW w:w="40" w:type="dxa"/>
            <w:vAlign w:val="bottom"/>
            <w:tcBorders>
              <w:top w:val="single" w:sz="8" w:color="3051F2"/>
            </w:tcBorders>
          </w:tcPr>
          <w:p>
            <w:pPr>
              <w:spacing w:after="0"/>
              <w:rPr>
                <w:sz w:val="24"/>
                <w:szCs w:val="24"/>
                <w:color w:val="auto"/>
              </w:rPr>
            </w:pPr>
          </w:p>
        </w:tc>
        <w:tc>
          <w:tcPr>
            <w:tcW w:w="560" w:type="dxa"/>
            <w:vAlign w:val="bottom"/>
            <w:tcBorders>
              <w:top w:val="single" w:sz="8" w:color="3051F2"/>
            </w:tcBorders>
          </w:tcPr>
          <w:p>
            <w:pPr>
              <w:spacing w:after="0"/>
              <w:rPr>
                <w:sz w:val="24"/>
                <w:szCs w:val="24"/>
                <w:color w:val="auto"/>
              </w:rPr>
            </w:pPr>
          </w:p>
        </w:tc>
        <w:tc>
          <w:tcPr>
            <w:tcW w:w="80" w:type="dxa"/>
            <w:vAlign w:val="bottom"/>
            <w:tcBorders>
              <w:top w:val="single" w:sz="8" w:color="3051F2"/>
            </w:tcBorders>
          </w:tcPr>
          <w:p>
            <w:pPr>
              <w:spacing w:after="0"/>
              <w:rPr>
                <w:sz w:val="24"/>
                <w:szCs w:val="24"/>
                <w:color w:val="auto"/>
              </w:rPr>
            </w:pPr>
          </w:p>
        </w:tc>
        <w:tc>
          <w:tcPr>
            <w:tcW w:w="20" w:type="dxa"/>
            <w:vAlign w:val="bottom"/>
            <w:tcBorders>
              <w:top w:val="single" w:sz="8" w:color="3051F2"/>
            </w:tcBorders>
          </w:tcPr>
          <w:p>
            <w:pPr>
              <w:spacing w:after="0"/>
              <w:rPr>
                <w:sz w:val="24"/>
                <w:szCs w:val="24"/>
                <w:color w:val="auto"/>
              </w:rPr>
            </w:pPr>
          </w:p>
        </w:tc>
        <w:tc>
          <w:tcPr>
            <w:tcW w:w="200" w:type="dxa"/>
            <w:vAlign w:val="bottom"/>
            <w:tcBorders>
              <w:top w:val="single" w:sz="8" w:color="3051F2"/>
            </w:tcBorders>
          </w:tcPr>
          <w:p>
            <w:pPr>
              <w:spacing w:after="0"/>
              <w:rPr>
                <w:sz w:val="24"/>
                <w:szCs w:val="24"/>
                <w:color w:val="auto"/>
              </w:rPr>
            </w:pPr>
          </w:p>
        </w:tc>
        <w:tc>
          <w:tcPr>
            <w:tcW w:w="320" w:type="dxa"/>
            <w:vAlign w:val="bottom"/>
            <w:tcBorders>
              <w:top w:val="single" w:sz="8" w:color="3051F2"/>
            </w:tcBorders>
          </w:tcPr>
          <w:p>
            <w:pPr>
              <w:spacing w:after="0"/>
              <w:rPr>
                <w:sz w:val="24"/>
                <w:szCs w:val="24"/>
                <w:color w:val="auto"/>
              </w:rPr>
            </w:pPr>
          </w:p>
        </w:tc>
        <w:tc>
          <w:tcPr>
            <w:tcW w:w="20" w:type="dxa"/>
            <w:vAlign w:val="bottom"/>
            <w:tcBorders>
              <w:top w:val="single" w:sz="8" w:color="3051F2"/>
            </w:tcBorders>
          </w:tcPr>
          <w:p>
            <w:pPr>
              <w:spacing w:after="0"/>
              <w:rPr>
                <w:sz w:val="24"/>
                <w:szCs w:val="24"/>
                <w:color w:val="auto"/>
              </w:rPr>
            </w:pPr>
          </w:p>
        </w:tc>
        <w:tc>
          <w:tcPr>
            <w:tcW w:w="120" w:type="dxa"/>
            <w:vAlign w:val="bottom"/>
          </w:tcPr>
          <w:p>
            <w:pPr>
              <w:spacing w:after="0"/>
              <w:rPr>
                <w:sz w:val="24"/>
                <w:szCs w:val="24"/>
                <w:color w:val="auto"/>
              </w:rPr>
            </w:pPr>
          </w:p>
        </w:tc>
        <w:tc>
          <w:tcPr>
            <w:tcW w:w="3380" w:type="dxa"/>
            <w:vAlign w:val="bottom"/>
            <w:gridSpan w:val="7"/>
          </w:tcPr>
          <w:p>
            <w:pPr>
              <w:jc w:val="center"/>
              <w:ind w:right="40"/>
              <w:spacing w:after="0"/>
              <w:rPr>
                <w:rFonts w:ascii="Arial" w:cs="Arial" w:eastAsia="Arial" w:hAnsi="Arial"/>
                <w:sz w:val="18"/>
                <w:szCs w:val="18"/>
                <w:b w:val="1"/>
                <w:bCs w:val="1"/>
                <w:color w:val="auto"/>
              </w:rPr>
            </w:pPr>
            <w:hyperlink w:anchor="page3">
              <w:r>
                <w:rPr>
                  <w:rFonts w:ascii="Arial" w:cs="Arial" w:eastAsia="Arial" w:hAnsi="Arial"/>
                  <w:sz w:val="18"/>
                  <w:szCs w:val="18"/>
                  <w:b w:val="1"/>
                  <w:bCs w:val="1"/>
                  <w:color w:val="auto"/>
                </w:rPr>
                <w:t>PART I. FINANCIAL INFORMATION</w:t>
              </w:r>
            </w:hyperlink>
          </w:p>
        </w:tc>
        <w:tc>
          <w:tcPr>
            <w:tcW w:w="3400" w:type="dxa"/>
            <w:vAlign w:val="bottom"/>
          </w:tcPr>
          <w:p>
            <w:pPr>
              <w:spacing w:after="0"/>
              <w:rPr>
                <w:sz w:val="24"/>
                <w:szCs w:val="24"/>
                <w:color w:val="auto"/>
              </w:rPr>
            </w:pPr>
          </w:p>
        </w:tc>
        <w:tc>
          <w:tcPr>
            <w:tcW w:w="120" w:type="dxa"/>
            <w:vAlign w:val="bottom"/>
            <w:tcBorders>
              <w:top w:val="single" w:sz="8" w:color="3051F2"/>
            </w:tcBorders>
          </w:tcPr>
          <w:p>
            <w:pPr>
              <w:spacing w:after="0"/>
              <w:rPr>
                <w:sz w:val="24"/>
                <w:szCs w:val="24"/>
                <w:color w:val="auto"/>
              </w:rPr>
            </w:pPr>
          </w:p>
        </w:tc>
        <w:tc>
          <w:tcPr>
            <w:tcW w:w="80" w:type="dxa"/>
            <w:vAlign w:val="bottom"/>
          </w:tcPr>
          <w:p>
            <w:pPr>
              <w:spacing w:after="0"/>
              <w:rPr>
                <w:sz w:val="24"/>
                <w:szCs w:val="24"/>
                <w:color w:val="auto"/>
              </w:rPr>
            </w:pPr>
          </w:p>
        </w:tc>
      </w:tr>
      <w:tr>
        <w:trPr>
          <w:trHeight w:val="459"/>
        </w:trPr>
        <w:tc>
          <w:tcPr>
            <w:tcW w:w="940" w:type="dxa"/>
            <w:vAlign w:val="bottom"/>
          </w:tcPr>
          <w:p>
            <w:pPr>
              <w:spacing w:after="0"/>
              <w:rPr>
                <w:rFonts w:ascii="Arial" w:cs="Arial" w:eastAsia="Arial" w:hAnsi="Arial"/>
                <w:sz w:val="18"/>
                <w:szCs w:val="18"/>
                <w:color w:val="auto"/>
              </w:rPr>
            </w:pPr>
            <w:hyperlink w:anchor="page4">
              <w:r>
                <w:rPr>
                  <w:rFonts w:ascii="Arial" w:cs="Arial" w:eastAsia="Arial" w:hAnsi="Arial"/>
                  <w:sz w:val="18"/>
                  <w:szCs w:val="18"/>
                  <w:color w:val="auto"/>
                </w:rPr>
                <w:t xml:space="preserve">Item </w:t>
              </w:r>
            </w:hyperlink>
            <w:r>
              <w:rPr>
                <w:rFonts w:ascii="Arial" w:cs="Arial" w:eastAsia="Arial" w:hAnsi="Arial"/>
                <w:sz w:val="18"/>
                <w:szCs w:val="18"/>
                <w:color w:val="auto"/>
              </w:rPr>
              <w:t>1.</w:t>
            </w:r>
          </w:p>
        </w:tc>
        <w:tc>
          <w:tcPr>
            <w:tcW w:w="2420" w:type="dxa"/>
            <w:vAlign w:val="bottom"/>
            <w:tcBorders>
              <w:bottom w:val="single" w:sz="8" w:color="3051F2"/>
            </w:tcBorders>
            <w:gridSpan w:val="10"/>
          </w:tcPr>
          <w:p>
            <w:pPr>
              <w:spacing w:after="0"/>
              <w:rPr>
                <w:rFonts w:ascii="Arial" w:cs="Arial" w:eastAsia="Arial" w:hAnsi="Arial"/>
                <w:sz w:val="18"/>
                <w:szCs w:val="18"/>
                <w:color w:val="3051F2"/>
                <w:w w:val="89"/>
              </w:rPr>
            </w:pPr>
            <w:hyperlink w:anchor="page4">
              <w:r>
                <w:rPr>
                  <w:rFonts w:ascii="Arial" w:cs="Arial" w:eastAsia="Arial" w:hAnsi="Arial"/>
                  <w:sz w:val="18"/>
                  <w:szCs w:val="18"/>
                  <w:color w:val="3051F2"/>
                  <w:w w:val="89"/>
                </w:rPr>
                <w:t>Financial Statements (Unaudited)</w:t>
              </w:r>
            </w:hyperlink>
          </w:p>
        </w:tc>
        <w:tc>
          <w:tcPr>
            <w:tcW w:w="4040" w:type="dxa"/>
            <w:vAlign w:val="bottom"/>
            <w:gridSpan w:val="11"/>
          </w:tcPr>
          <w:p>
            <w:pPr>
              <w:spacing w:after="0"/>
              <w:rPr>
                <w:sz w:val="24"/>
                <w:szCs w:val="24"/>
                <w:color w:val="auto"/>
              </w:rPr>
            </w:pPr>
          </w:p>
        </w:tc>
        <w:tc>
          <w:tcPr>
            <w:tcW w:w="3400" w:type="dxa"/>
            <w:vAlign w:val="bottom"/>
          </w:tcPr>
          <w:p>
            <w:pPr>
              <w:spacing w:after="0"/>
              <w:rPr>
                <w:sz w:val="24"/>
                <w:szCs w:val="24"/>
                <w:color w:val="auto"/>
              </w:rPr>
            </w:pPr>
          </w:p>
        </w:tc>
        <w:tc>
          <w:tcPr>
            <w:tcW w:w="120" w:type="dxa"/>
            <w:vAlign w:val="bottom"/>
            <w:tcBorders>
              <w:bottom w:val="single" w:sz="8" w:color="3051F2"/>
            </w:tcBorders>
          </w:tcPr>
          <w:p>
            <w:pPr>
              <w:jc w:val="center"/>
              <w:spacing w:after="0"/>
              <w:rPr>
                <w:rFonts w:ascii="Arial" w:cs="Arial" w:eastAsia="Arial" w:hAnsi="Arial"/>
                <w:sz w:val="16"/>
                <w:szCs w:val="16"/>
                <w:color w:val="3051F2"/>
                <w:w w:val="89"/>
              </w:rPr>
            </w:pPr>
            <w:hyperlink w:anchor="page4">
              <w:r>
                <w:rPr>
                  <w:rFonts w:ascii="Arial" w:cs="Arial" w:eastAsia="Arial" w:hAnsi="Arial"/>
                  <w:sz w:val="16"/>
                  <w:szCs w:val="16"/>
                  <w:color w:val="3051F2"/>
                  <w:w w:val="89"/>
                </w:rPr>
                <w:t>3</w:t>
              </w:r>
            </w:hyperlink>
          </w:p>
        </w:tc>
        <w:tc>
          <w:tcPr>
            <w:tcW w:w="80" w:type="dxa"/>
            <w:vAlign w:val="bottom"/>
          </w:tcPr>
          <w:p>
            <w:pPr>
              <w:spacing w:after="0"/>
              <w:rPr>
                <w:sz w:val="24"/>
                <w:szCs w:val="24"/>
                <w:color w:val="auto"/>
              </w:rPr>
            </w:pPr>
          </w:p>
        </w:tc>
      </w:tr>
      <w:tr>
        <w:trPr>
          <w:trHeight w:val="210"/>
        </w:trPr>
        <w:tc>
          <w:tcPr>
            <w:tcW w:w="940" w:type="dxa"/>
            <w:vAlign w:val="bottom"/>
          </w:tcPr>
          <w:p>
            <w:pPr>
              <w:spacing w:after="0"/>
              <w:rPr>
                <w:sz w:val="18"/>
                <w:szCs w:val="18"/>
                <w:color w:val="auto"/>
              </w:rPr>
            </w:pPr>
          </w:p>
        </w:tc>
        <w:tc>
          <w:tcPr>
            <w:tcW w:w="2940" w:type="dxa"/>
            <w:vAlign w:val="bottom"/>
            <w:tcBorders>
              <w:bottom w:val="single" w:sz="8" w:color="3051F2"/>
            </w:tcBorders>
            <w:gridSpan w:val="12"/>
          </w:tcPr>
          <w:p>
            <w:pPr>
              <w:spacing w:after="0"/>
              <w:rPr>
                <w:rFonts w:ascii="Arial" w:cs="Arial" w:eastAsia="Arial" w:hAnsi="Arial"/>
                <w:sz w:val="18"/>
                <w:szCs w:val="18"/>
                <w:color w:val="3051F2"/>
                <w:w w:val="87"/>
              </w:rPr>
            </w:pPr>
            <w:hyperlink w:anchor="page4">
              <w:r>
                <w:rPr>
                  <w:rFonts w:ascii="Arial" w:cs="Arial" w:eastAsia="Arial" w:hAnsi="Arial"/>
                  <w:sz w:val="18"/>
                  <w:szCs w:val="18"/>
                  <w:color w:val="3051F2"/>
                  <w:w w:val="87"/>
                </w:rPr>
                <w:t>Condensed Consolidated Balance Sheets</w:t>
              </w:r>
            </w:hyperlink>
          </w:p>
        </w:tc>
        <w:tc>
          <w:tcPr>
            <w:tcW w:w="3520" w:type="dxa"/>
            <w:vAlign w:val="bottom"/>
            <w:gridSpan w:val="9"/>
          </w:tcPr>
          <w:p>
            <w:pPr>
              <w:spacing w:after="0"/>
              <w:rPr>
                <w:sz w:val="18"/>
                <w:szCs w:val="18"/>
                <w:color w:val="auto"/>
              </w:rPr>
            </w:pPr>
          </w:p>
        </w:tc>
        <w:tc>
          <w:tcPr>
            <w:tcW w:w="3400" w:type="dxa"/>
            <w:vAlign w:val="bottom"/>
          </w:tcPr>
          <w:p>
            <w:pPr>
              <w:spacing w:after="0"/>
              <w:rPr>
                <w:sz w:val="18"/>
                <w:szCs w:val="18"/>
                <w:color w:val="auto"/>
              </w:rPr>
            </w:pPr>
          </w:p>
        </w:tc>
        <w:tc>
          <w:tcPr>
            <w:tcW w:w="120" w:type="dxa"/>
            <w:vAlign w:val="bottom"/>
            <w:tcBorders>
              <w:bottom w:val="single" w:sz="8" w:color="3051F2"/>
            </w:tcBorders>
          </w:tcPr>
          <w:p>
            <w:pPr>
              <w:jc w:val="center"/>
              <w:spacing w:after="0"/>
              <w:rPr>
                <w:rFonts w:ascii="Arial" w:cs="Arial" w:eastAsia="Arial" w:hAnsi="Arial"/>
                <w:sz w:val="16"/>
                <w:szCs w:val="16"/>
                <w:color w:val="3051F2"/>
                <w:w w:val="89"/>
              </w:rPr>
            </w:pPr>
            <w:hyperlink w:anchor="page4">
              <w:r>
                <w:rPr>
                  <w:rFonts w:ascii="Arial" w:cs="Arial" w:eastAsia="Arial" w:hAnsi="Arial"/>
                  <w:sz w:val="16"/>
                  <w:szCs w:val="16"/>
                  <w:color w:val="3051F2"/>
                  <w:w w:val="89"/>
                </w:rPr>
                <w:t>3</w:t>
              </w:r>
            </w:hyperlink>
          </w:p>
        </w:tc>
        <w:tc>
          <w:tcPr>
            <w:tcW w:w="80" w:type="dxa"/>
            <w:vAlign w:val="bottom"/>
          </w:tcPr>
          <w:p>
            <w:pPr>
              <w:spacing w:after="0"/>
              <w:rPr>
                <w:sz w:val="18"/>
                <w:szCs w:val="18"/>
                <w:color w:val="auto"/>
              </w:rPr>
            </w:pPr>
          </w:p>
        </w:tc>
      </w:tr>
      <w:tr>
        <w:trPr>
          <w:trHeight w:val="209"/>
        </w:trPr>
        <w:tc>
          <w:tcPr>
            <w:tcW w:w="940" w:type="dxa"/>
            <w:vAlign w:val="bottom"/>
          </w:tcPr>
          <w:p>
            <w:pPr>
              <w:spacing w:after="0"/>
              <w:rPr>
                <w:sz w:val="18"/>
                <w:szCs w:val="18"/>
                <w:color w:val="auto"/>
              </w:rPr>
            </w:pPr>
          </w:p>
        </w:tc>
        <w:tc>
          <w:tcPr>
            <w:tcW w:w="5720" w:type="dxa"/>
            <w:vAlign w:val="bottom"/>
            <w:tcBorders>
              <w:bottom w:val="single" w:sz="8" w:color="3051F2"/>
            </w:tcBorders>
            <w:gridSpan w:val="20"/>
          </w:tcPr>
          <w:p>
            <w:pPr>
              <w:spacing w:after="0"/>
              <w:rPr>
                <w:rFonts w:ascii="Arial" w:cs="Arial" w:eastAsia="Arial" w:hAnsi="Arial"/>
                <w:sz w:val="18"/>
                <w:szCs w:val="18"/>
                <w:color w:val="3051F2"/>
                <w:w w:val="88"/>
              </w:rPr>
            </w:pPr>
            <w:hyperlink w:anchor="page4">
              <w:r>
                <w:rPr>
                  <w:rFonts w:ascii="Arial" w:cs="Arial" w:eastAsia="Arial" w:hAnsi="Arial"/>
                  <w:sz w:val="18"/>
                  <w:szCs w:val="18"/>
                  <w:color w:val="3051F2"/>
                  <w:w w:val="88"/>
                </w:rPr>
                <w:t>Condensed Consolidated Statements of Operations and Comprehensive Income</w:t>
              </w:r>
            </w:hyperlink>
          </w:p>
        </w:tc>
        <w:tc>
          <w:tcPr>
            <w:tcW w:w="74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20" w:type="dxa"/>
            <w:vAlign w:val="bottom"/>
            <w:tcBorders>
              <w:bottom w:val="single" w:sz="8" w:color="3051F2"/>
            </w:tcBorders>
          </w:tcPr>
          <w:p>
            <w:pPr>
              <w:jc w:val="center"/>
              <w:spacing w:after="0"/>
              <w:rPr>
                <w:rFonts w:ascii="Arial" w:cs="Arial" w:eastAsia="Arial" w:hAnsi="Arial"/>
                <w:sz w:val="16"/>
                <w:szCs w:val="16"/>
                <w:color w:val="3051F2"/>
                <w:w w:val="89"/>
              </w:rPr>
            </w:pPr>
            <w:hyperlink w:anchor="page4">
              <w:r>
                <w:rPr>
                  <w:rFonts w:ascii="Arial" w:cs="Arial" w:eastAsia="Arial" w:hAnsi="Arial"/>
                  <w:sz w:val="16"/>
                  <w:szCs w:val="16"/>
                  <w:color w:val="3051F2"/>
                  <w:w w:val="89"/>
                </w:rPr>
                <w:t>4</w:t>
              </w:r>
            </w:hyperlink>
          </w:p>
        </w:tc>
        <w:tc>
          <w:tcPr>
            <w:tcW w:w="80" w:type="dxa"/>
            <w:vAlign w:val="bottom"/>
          </w:tcPr>
          <w:p>
            <w:pPr>
              <w:spacing w:after="0"/>
              <w:rPr>
                <w:sz w:val="18"/>
                <w:szCs w:val="18"/>
                <w:color w:val="auto"/>
              </w:rPr>
            </w:pPr>
          </w:p>
        </w:tc>
      </w:tr>
      <w:tr>
        <w:trPr>
          <w:trHeight w:val="209"/>
        </w:trPr>
        <w:tc>
          <w:tcPr>
            <w:tcW w:w="940" w:type="dxa"/>
            <w:vAlign w:val="bottom"/>
          </w:tcPr>
          <w:p>
            <w:pPr>
              <w:spacing w:after="0"/>
              <w:rPr>
                <w:sz w:val="18"/>
                <w:szCs w:val="18"/>
                <w:color w:val="auto"/>
              </w:rPr>
            </w:pPr>
          </w:p>
        </w:tc>
        <w:tc>
          <w:tcPr>
            <w:tcW w:w="6460" w:type="dxa"/>
            <w:vAlign w:val="bottom"/>
            <w:gridSpan w:val="21"/>
          </w:tcPr>
          <w:p>
            <w:pPr>
              <w:spacing w:after="0"/>
              <w:rPr>
                <w:rFonts w:ascii="Arial" w:cs="Arial" w:eastAsia="Arial" w:hAnsi="Arial"/>
                <w:sz w:val="18"/>
                <w:szCs w:val="18"/>
                <w:color w:val="3051F2"/>
              </w:rPr>
            </w:pPr>
            <w:hyperlink w:anchor="page5">
              <w:r>
                <w:rPr>
                  <w:rFonts w:ascii="Arial" w:cs="Arial" w:eastAsia="Arial" w:hAnsi="Arial"/>
                  <w:sz w:val="18"/>
                  <w:szCs w:val="18"/>
                  <w:color w:val="3051F2"/>
                </w:rPr>
                <w:t>Condensed Consolidated Statements of Stockholders’ Equity</w:t>
              </w:r>
            </w:hyperlink>
          </w:p>
        </w:tc>
        <w:tc>
          <w:tcPr>
            <w:tcW w:w="3520" w:type="dxa"/>
            <w:vAlign w:val="bottom"/>
            <w:gridSpan w:val="2"/>
          </w:tcPr>
          <w:p>
            <w:pPr>
              <w:jc w:val="center"/>
              <w:ind w:left="3279"/>
              <w:spacing w:after="0"/>
              <w:rPr>
                <w:rFonts w:ascii="Arial" w:cs="Arial" w:eastAsia="Arial" w:hAnsi="Arial"/>
                <w:sz w:val="16"/>
                <w:szCs w:val="16"/>
                <w:color w:val="3051F2"/>
                <w:w w:val="89"/>
              </w:rPr>
            </w:pPr>
            <w:hyperlink w:anchor="page5">
              <w:r>
                <w:rPr>
                  <w:rFonts w:ascii="Arial" w:cs="Arial" w:eastAsia="Arial" w:hAnsi="Arial"/>
                  <w:sz w:val="16"/>
                  <w:szCs w:val="16"/>
                  <w:color w:val="3051F2"/>
                  <w:w w:val="89"/>
                </w:rPr>
                <w:t>5</w:t>
              </w:r>
            </w:hyperlink>
          </w:p>
        </w:tc>
        <w:tc>
          <w:tcPr>
            <w:tcW w:w="80" w:type="dxa"/>
            <w:vAlign w:val="bottom"/>
          </w:tcPr>
          <w:p>
            <w:pPr>
              <w:spacing w:after="0"/>
              <w:rPr>
                <w:sz w:val="18"/>
                <w:szCs w:val="18"/>
                <w:color w:val="auto"/>
              </w:rPr>
            </w:pPr>
          </w:p>
        </w:tc>
      </w:tr>
      <w:tr>
        <w:trPr>
          <w:trHeight w:val="210"/>
        </w:trPr>
        <w:tc>
          <w:tcPr>
            <w:tcW w:w="940" w:type="dxa"/>
            <w:vAlign w:val="bottom"/>
          </w:tcPr>
          <w:p>
            <w:pPr>
              <w:spacing w:after="0"/>
              <w:rPr>
                <w:sz w:val="18"/>
                <w:szCs w:val="18"/>
                <w:color w:val="auto"/>
              </w:rPr>
            </w:pPr>
          </w:p>
        </w:tc>
        <w:tc>
          <w:tcPr>
            <w:tcW w:w="3720" w:type="dxa"/>
            <w:vAlign w:val="bottom"/>
            <w:tcBorders>
              <w:top w:val="single" w:sz="8" w:color="3051F2"/>
              <w:bottom w:val="single" w:sz="8" w:color="3051F2"/>
            </w:tcBorders>
            <w:gridSpan w:val="15"/>
          </w:tcPr>
          <w:p>
            <w:pPr>
              <w:spacing w:after="0"/>
              <w:rPr>
                <w:rFonts w:ascii="Arial" w:cs="Arial" w:eastAsia="Arial" w:hAnsi="Arial"/>
                <w:sz w:val="18"/>
                <w:szCs w:val="18"/>
                <w:color w:val="3051F2"/>
                <w:w w:val="88"/>
              </w:rPr>
            </w:pPr>
            <w:hyperlink w:anchor="page7">
              <w:r>
                <w:rPr>
                  <w:rFonts w:ascii="Arial" w:cs="Arial" w:eastAsia="Arial" w:hAnsi="Arial"/>
                  <w:sz w:val="18"/>
                  <w:szCs w:val="18"/>
                  <w:color w:val="3051F2"/>
                  <w:w w:val="88"/>
                </w:rPr>
                <w:t>Condensed Consolidated Statements of Cash Flows</w:t>
              </w:r>
            </w:hyperlink>
          </w:p>
        </w:tc>
        <w:tc>
          <w:tcPr>
            <w:tcW w:w="660" w:type="dxa"/>
            <w:vAlign w:val="bottom"/>
            <w:tcBorders>
              <w:top w:val="single" w:sz="8" w:color="3051F2"/>
            </w:tcBorders>
            <w:gridSpan w:val="4"/>
          </w:tcPr>
          <w:p>
            <w:pPr>
              <w:spacing w:after="0"/>
              <w:rPr>
                <w:sz w:val="18"/>
                <w:szCs w:val="18"/>
                <w:color w:val="auto"/>
              </w:rPr>
            </w:pPr>
          </w:p>
        </w:tc>
        <w:tc>
          <w:tcPr>
            <w:tcW w:w="2080" w:type="dxa"/>
            <w:vAlign w:val="bottom"/>
            <w:gridSpan w:val="2"/>
          </w:tcPr>
          <w:p>
            <w:pPr>
              <w:spacing w:after="0"/>
              <w:rPr>
                <w:sz w:val="18"/>
                <w:szCs w:val="18"/>
                <w:color w:val="auto"/>
              </w:rPr>
            </w:pPr>
          </w:p>
        </w:tc>
        <w:tc>
          <w:tcPr>
            <w:tcW w:w="3400" w:type="dxa"/>
            <w:vAlign w:val="bottom"/>
          </w:tcPr>
          <w:p>
            <w:pPr>
              <w:spacing w:after="0"/>
              <w:rPr>
                <w:sz w:val="18"/>
                <w:szCs w:val="18"/>
                <w:color w:val="auto"/>
              </w:rPr>
            </w:pPr>
          </w:p>
        </w:tc>
        <w:tc>
          <w:tcPr>
            <w:tcW w:w="120" w:type="dxa"/>
            <w:vAlign w:val="bottom"/>
            <w:tcBorders>
              <w:top w:val="single" w:sz="8" w:color="3051F2"/>
              <w:bottom w:val="single" w:sz="8" w:color="3051F2"/>
            </w:tcBorders>
          </w:tcPr>
          <w:p>
            <w:pPr>
              <w:jc w:val="center"/>
              <w:spacing w:after="0"/>
              <w:rPr>
                <w:rFonts w:ascii="Arial" w:cs="Arial" w:eastAsia="Arial" w:hAnsi="Arial"/>
                <w:sz w:val="16"/>
                <w:szCs w:val="16"/>
                <w:color w:val="3051F2"/>
                <w:w w:val="89"/>
              </w:rPr>
            </w:pPr>
            <w:hyperlink w:anchor="page7">
              <w:r>
                <w:rPr>
                  <w:rFonts w:ascii="Arial" w:cs="Arial" w:eastAsia="Arial" w:hAnsi="Arial"/>
                  <w:sz w:val="16"/>
                  <w:szCs w:val="16"/>
                  <w:color w:val="3051F2"/>
                  <w:w w:val="89"/>
                </w:rPr>
                <w:t>7</w:t>
              </w:r>
            </w:hyperlink>
          </w:p>
        </w:tc>
        <w:tc>
          <w:tcPr>
            <w:tcW w:w="80" w:type="dxa"/>
            <w:vAlign w:val="bottom"/>
          </w:tcPr>
          <w:p>
            <w:pPr>
              <w:spacing w:after="0"/>
              <w:rPr>
                <w:sz w:val="18"/>
                <w:szCs w:val="18"/>
                <w:color w:val="auto"/>
              </w:rPr>
            </w:pPr>
          </w:p>
        </w:tc>
      </w:tr>
      <w:tr>
        <w:trPr>
          <w:trHeight w:val="209"/>
        </w:trPr>
        <w:tc>
          <w:tcPr>
            <w:tcW w:w="940" w:type="dxa"/>
            <w:vAlign w:val="bottom"/>
          </w:tcPr>
          <w:p>
            <w:pPr>
              <w:spacing w:after="0"/>
              <w:rPr>
                <w:sz w:val="18"/>
                <w:szCs w:val="18"/>
                <w:color w:val="auto"/>
              </w:rPr>
            </w:pPr>
          </w:p>
        </w:tc>
        <w:tc>
          <w:tcPr>
            <w:tcW w:w="4000" w:type="dxa"/>
            <w:vAlign w:val="bottom"/>
            <w:tcBorders>
              <w:bottom w:val="single" w:sz="8" w:color="3051F2"/>
            </w:tcBorders>
            <w:gridSpan w:val="16"/>
          </w:tcPr>
          <w:p>
            <w:pPr>
              <w:spacing w:after="0"/>
              <w:rPr>
                <w:rFonts w:ascii="Arial" w:cs="Arial" w:eastAsia="Arial" w:hAnsi="Arial"/>
                <w:sz w:val="18"/>
                <w:szCs w:val="18"/>
                <w:color w:val="3051F2"/>
                <w:w w:val="88"/>
              </w:rPr>
            </w:pPr>
            <w:hyperlink w:anchor="page8">
              <w:r>
                <w:rPr>
                  <w:rFonts w:ascii="Arial" w:cs="Arial" w:eastAsia="Arial" w:hAnsi="Arial"/>
                  <w:sz w:val="18"/>
                  <w:szCs w:val="18"/>
                  <w:color w:val="3051F2"/>
                  <w:w w:val="88"/>
                </w:rPr>
                <w:t>Notes to Condensed Consolidated Financial Statements</w:t>
              </w:r>
            </w:hyperlink>
          </w:p>
        </w:tc>
        <w:tc>
          <w:tcPr>
            <w:tcW w:w="2460" w:type="dxa"/>
            <w:vAlign w:val="bottom"/>
            <w:gridSpan w:val="5"/>
          </w:tcPr>
          <w:p>
            <w:pPr>
              <w:spacing w:after="0"/>
              <w:rPr>
                <w:sz w:val="18"/>
                <w:szCs w:val="18"/>
                <w:color w:val="auto"/>
              </w:rPr>
            </w:pPr>
          </w:p>
        </w:tc>
        <w:tc>
          <w:tcPr>
            <w:tcW w:w="3400" w:type="dxa"/>
            <w:vAlign w:val="bottom"/>
          </w:tcPr>
          <w:p>
            <w:pPr>
              <w:spacing w:after="0"/>
              <w:rPr>
                <w:sz w:val="18"/>
                <w:szCs w:val="18"/>
                <w:color w:val="auto"/>
              </w:rPr>
            </w:pPr>
          </w:p>
        </w:tc>
        <w:tc>
          <w:tcPr>
            <w:tcW w:w="120" w:type="dxa"/>
            <w:vAlign w:val="bottom"/>
            <w:tcBorders>
              <w:bottom w:val="single" w:sz="8" w:color="3051F2"/>
            </w:tcBorders>
          </w:tcPr>
          <w:p>
            <w:pPr>
              <w:jc w:val="center"/>
              <w:spacing w:after="0"/>
              <w:rPr>
                <w:rFonts w:ascii="Arial" w:cs="Arial" w:eastAsia="Arial" w:hAnsi="Arial"/>
                <w:sz w:val="16"/>
                <w:szCs w:val="16"/>
                <w:color w:val="3051F2"/>
                <w:w w:val="89"/>
              </w:rPr>
            </w:pPr>
            <w:hyperlink w:anchor="page8">
              <w:r>
                <w:rPr>
                  <w:rFonts w:ascii="Arial" w:cs="Arial" w:eastAsia="Arial" w:hAnsi="Arial"/>
                  <w:sz w:val="16"/>
                  <w:szCs w:val="16"/>
                  <w:color w:val="3051F2"/>
                  <w:w w:val="89"/>
                </w:rPr>
                <w:t>8</w:t>
              </w:r>
            </w:hyperlink>
          </w:p>
        </w:tc>
        <w:tc>
          <w:tcPr>
            <w:tcW w:w="80" w:type="dxa"/>
            <w:vAlign w:val="bottom"/>
          </w:tcPr>
          <w:p>
            <w:pPr>
              <w:spacing w:after="0"/>
              <w:rPr>
                <w:sz w:val="18"/>
                <w:szCs w:val="18"/>
                <w:color w:val="auto"/>
              </w:rPr>
            </w:pPr>
          </w:p>
        </w:tc>
      </w:tr>
      <w:tr>
        <w:trPr>
          <w:trHeight w:val="210"/>
        </w:trPr>
        <w:tc>
          <w:tcPr>
            <w:tcW w:w="940" w:type="dxa"/>
            <w:vAlign w:val="bottom"/>
          </w:tcPr>
          <w:p>
            <w:pPr>
              <w:spacing w:after="0"/>
              <w:rPr>
                <w:rFonts w:ascii="Arial" w:cs="Arial" w:eastAsia="Arial" w:hAnsi="Arial"/>
                <w:sz w:val="18"/>
                <w:szCs w:val="18"/>
                <w:color w:val="auto"/>
              </w:rPr>
            </w:pPr>
            <w:hyperlink w:anchor="page19">
              <w:r>
                <w:rPr>
                  <w:rFonts w:ascii="Arial" w:cs="Arial" w:eastAsia="Arial" w:hAnsi="Arial"/>
                  <w:sz w:val="18"/>
                  <w:szCs w:val="18"/>
                  <w:color w:val="auto"/>
                </w:rPr>
                <w:t xml:space="preserve">Item </w:t>
              </w:r>
            </w:hyperlink>
            <w:r>
              <w:rPr>
                <w:rFonts w:ascii="Arial" w:cs="Arial" w:eastAsia="Arial" w:hAnsi="Arial"/>
                <w:sz w:val="18"/>
                <w:szCs w:val="18"/>
                <w:color w:val="auto"/>
              </w:rPr>
              <w:t>2.</w:t>
            </w:r>
          </w:p>
        </w:tc>
        <w:tc>
          <w:tcPr>
            <w:tcW w:w="6460" w:type="dxa"/>
            <w:vAlign w:val="bottom"/>
            <w:gridSpan w:val="21"/>
          </w:tcPr>
          <w:p>
            <w:pPr>
              <w:spacing w:after="0"/>
              <w:rPr>
                <w:rFonts w:ascii="Arial" w:cs="Arial" w:eastAsia="Arial" w:hAnsi="Arial"/>
                <w:sz w:val="18"/>
                <w:szCs w:val="18"/>
                <w:color w:val="3051F2"/>
                <w:w w:val="90"/>
              </w:rPr>
            </w:pPr>
            <w:hyperlink w:anchor="page19">
              <w:r>
                <w:rPr>
                  <w:rFonts w:ascii="Arial" w:cs="Arial" w:eastAsia="Arial" w:hAnsi="Arial"/>
                  <w:sz w:val="18"/>
                  <w:szCs w:val="18"/>
                  <w:color w:val="3051F2"/>
                  <w:w w:val="90"/>
                </w:rPr>
                <w:t>Management’s Discussion and Analysis of Financial Condition and Results of Operations</w:t>
              </w:r>
            </w:hyperlink>
          </w:p>
        </w:tc>
        <w:tc>
          <w:tcPr>
            <w:tcW w:w="3400" w:type="dxa"/>
            <w:vAlign w:val="bottom"/>
          </w:tcPr>
          <w:p>
            <w:pPr>
              <w:spacing w:after="0"/>
              <w:rPr>
                <w:sz w:val="18"/>
                <w:szCs w:val="18"/>
                <w:color w:val="auto"/>
              </w:rPr>
            </w:pPr>
          </w:p>
        </w:tc>
        <w:tc>
          <w:tcPr>
            <w:tcW w:w="200" w:type="dxa"/>
            <w:vAlign w:val="bottom"/>
            <w:gridSpan w:val="2"/>
          </w:tcPr>
          <w:p>
            <w:pPr>
              <w:jc w:val="center"/>
              <w:ind w:right="80"/>
              <w:spacing w:after="0"/>
              <w:rPr>
                <w:rFonts w:ascii="Arial" w:cs="Arial" w:eastAsia="Arial" w:hAnsi="Arial"/>
                <w:sz w:val="15"/>
                <w:szCs w:val="15"/>
                <w:color w:val="3051F2"/>
                <w:w w:val="71"/>
              </w:rPr>
            </w:pPr>
            <w:hyperlink w:anchor="page19">
              <w:r>
                <w:rPr>
                  <w:rFonts w:ascii="Arial" w:cs="Arial" w:eastAsia="Arial" w:hAnsi="Arial"/>
                  <w:sz w:val="15"/>
                  <w:szCs w:val="15"/>
                  <w:color w:val="3051F2"/>
                  <w:w w:val="71"/>
                </w:rPr>
                <w:t>19</w:t>
              </w:r>
            </w:hyperlink>
          </w:p>
        </w:tc>
      </w:tr>
      <w:tr>
        <w:trPr>
          <w:trHeight w:val="20"/>
        </w:trPr>
        <w:tc>
          <w:tcPr>
            <w:tcW w:w="940" w:type="dxa"/>
            <w:vAlign w:val="bottom"/>
          </w:tcPr>
          <w:p>
            <w:pPr>
              <w:spacing w:after="0" w:line="20" w:lineRule="exact"/>
              <w:rPr>
                <w:sz w:val="1"/>
                <w:szCs w:val="1"/>
                <w:color w:val="auto"/>
              </w:rPr>
            </w:pPr>
          </w:p>
        </w:tc>
        <w:tc>
          <w:tcPr>
            <w:tcW w:w="600" w:type="dxa"/>
            <w:vAlign w:val="bottom"/>
            <w:shd w:val="clear" w:color="auto" w:fill="3051F2"/>
          </w:tcPr>
          <w:p>
            <w:pPr>
              <w:spacing w:after="0" w:line="20" w:lineRule="exact"/>
              <w:rPr>
                <w:sz w:val="1"/>
                <w:szCs w:val="1"/>
                <w:color w:val="auto"/>
              </w:rPr>
            </w:pPr>
          </w:p>
        </w:tc>
        <w:tc>
          <w:tcPr>
            <w:tcW w:w="100" w:type="dxa"/>
            <w:vAlign w:val="bottom"/>
            <w:shd w:val="clear" w:color="auto" w:fill="3051F2"/>
          </w:tcPr>
          <w:p>
            <w:pPr>
              <w:spacing w:after="0" w:line="20" w:lineRule="exact"/>
              <w:rPr>
                <w:sz w:val="1"/>
                <w:szCs w:val="1"/>
                <w:color w:val="auto"/>
              </w:rPr>
            </w:pPr>
          </w:p>
        </w:tc>
        <w:tc>
          <w:tcPr>
            <w:tcW w:w="200" w:type="dxa"/>
            <w:vAlign w:val="bottom"/>
            <w:tcBorders>
              <w:left w:val="single" w:sz="8" w:color="3051F2"/>
            </w:tcBorders>
            <w:shd w:val="clear" w:color="auto" w:fill="3051F2"/>
          </w:tcPr>
          <w:p>
            <w:pPr>
              <w:spacing w:after="0" w:line="20" w:lineRule="exact"/>
              <w:rPr>
                <w:sz w:val="1"/>
                <w:szCs w:val="1"/>
                <w:color w:val="auto"/>
              </w:rPr>
            </w:pPr>
          </w:p>
        </w:tc>
        <w:tc>
          <w:tcPr>
            <w:tcW w:w="420" w:type="dxa"/>
            <w:vAlign w:val="bottom"/>
            <w:shd w:val="clear" w:color="auto" w:fill="3051F2"/>
          </w:tcPr>
          <w:p>
            <w:pPr>
              <w:spacing w:after="0" w:line="20" w:lineRule="exact"/>
              <w:rPr>
                <w:sz w:val="1"/>
                <w:szCs w:val="1"/>
                <w:color w:val="auto"/>
              </w:rPr>
            </w:pPr>
          </w:p>
        </w:tc>
        <w:tc>
          <w:tcPr>
            <w:tcW w:w="240" w:type="dxa"/>
            <w:vAlign w:val="bottom"/>
            <w:tcBorders>
              <w:left w:val="single" w:sz="8" w:color="3051F2"/>
            </w:tcBorders>
            <w:shd w:val="clear" w:color="auto" w:fill="3051F2"/>
          </w:tcPr>
          <w:p>
            <w:pPr>
              <w:spacing w:after="0" w:line="20" w:lineRule="exact"/>
              <w:rPr>
                <w:sz w:val="1"/>
                <w:szCs w:val="1"/>
                <w:color w:val="auto"/>
              </w:rPr>
            </w:pPr>
          </w:p>
        </w:tc>
        <w:tc>
          <w:tcPr>
            <w:tcW w:w="160" w:type="dxa"/>
            <w:vAlign w:val="bottom"/>
            <w:shd w:val="clear" w:color="auto" w:fill="3051F2"/>
          </w:tcPr>
          <w:p>
            <w:pPr>
              <w:spacing w:after="0" w:line="20" w:lineRule="exact"/>
              <w:rPr>
                <w:sz w:val="1"/>
                <w:szCs w:val="1"/>
                <w:color w:val="auto"/>
              </w:rPr>
            </w:pPr>
          </w:p>
        </w:tc>
        <w:tc>
          <w:tcPr>
            <w:tcW w:w="40" w:type="dxa"/>
            <w:vAlign w:val="bottom"/>
            <w:shd w:val="clear" w:color="auto" w:fill="3051F2"/>
          </w:tcPr>
          <w:p>
            <w:pPr>
              <w:spacing w:after="0" w:line="20" w:lineRule="exact"/>
              <w:rPr>
                <w:sz w:val="1"/>
                <w:szCs w:val="1"/>
                <w:color w:val="auto"/>
              </w:rPr>
            </w:pPr>
          </w:p>
        </w:tc>
        <w:tc>
          <w:tcPr>
            <w:tcW w:w="560" w:type="dxa"/>
            <w:vAlign w:val="bottom"/>
            <w:shd w:val="clear" w:color="auto" w:fill="3051F2"/>
          </w:tcPr>
          <w:p>
            <w:pPr>
              <w:spacing w:after="0" w:line="20" w:lineRule="exact"/>
              <w:rPr>
                <w:sz w:val="1"/>
                <w:szCs w:val="1"/>
                <w:color w:val="auto"/>
              </w:rPr>
            </w:pPr>
          </w:p>
        </w:tc>
        <w:tc>
          <w:tcPr>
            <w:tcW w:w="80" w:type="dxa"/>
            <w:vAlign w:val="bottom"/>
            <w:tcBorders>
              <w:left w:val="single" w:sz="8" w:color="3051F2"/>
            </w:tcBorders>
            <w:shd w:val="clear" w:color="auto" w:fill="3051F2"/>
          </w:tcPr>
          <w:p>
            <w:pPr>
              <w:spacing w:after="0" w:line="20" w:lineRule="exact"/>
              <w:rPr>
                <w:sz w:val="1"/>
                <w:szCs w:val="1"/>
                <w:color w:val="auto"/>
              </w:rPr>
            </w:pPr>
          </w:p>
        </w:tc>
        <w:tc>
          <w:tcPr>
            <w:tcW w:w="20" w:type="dxa"/>
            <w:vAlign w:val="bottom"/>
            <w:shd w:val="clear" w:color="auto" w:fill="3051F2"/>
          </w:tcPr>
          <w:p>
            <w:pPr>
              <w:spacing w:after="0" w:line="20" w:lineRule="exact"/>
              <w:rPr>
                <w:sz w:val="1"/>
                <w:szCs w:val="1"/>
                <w:color w:val="auto"/>
              </w:rPr>
            </w:pPr>
          </w:p>
        </w:tc>
        <w:tc>
          <w:tcPr>
            <w:tcW w:w="200" w:type="dxa"/>
            <w:vAlign w:val="bottom"/>
            <w:shd w:val="clear" w:color="auto" w:fill="3051F2"/>
          </w:tcPr>
          <w:p>
            <w:pPr>
              <w:spacing w:after="0" w:line="20" w:lineRule="exact"/>
              <w:rPr>
                <w:sz w:val="1"/>
                <w:szCs w:val="1"/>
                <w:color w:val="auto"/>
              </w:rPr>
            </w:pPr>
          </w:p>
        </w:tc>
        <w:tc>
          <w:tcPr>
            <w:tcW w:w="320" w:type="dxa"/>
            <w:vAlign w:val="bottom"/>
            <w:shd w:val="clear" w:color="auto" w:fill="3051F2"/>
          </w:tcPr>
          <w:p>
            <w:pPr>
              <w:spacing w:after="0" w:line="20" w:lineRule="exact"/>
              <w:rPr>
                <w:sz w:val="1"/>
                <w:szCs w:val="1"/>
                <w:color w:val="auto"/>
              </w:rPr>
            </w:pPr>
          </w:p>
        </w:tc>
        <w:tc>
          <w:tcPr>
            <w:tcW w:w="20" w:type="dxa"/>
            <w:vAlign w:val="bottom"/>
            <w:shd w:val="clear" w:color="auto" w:fill="3051F2"/>
          </w:tcPr>
          <w:p>
            <w:pPr>
              <w:spacing w:after="0" w:line="20" w:lineRule="exact"/>
              <w:rPr>
                <w:sz w:val="1"/>
                <w:szCs w:val="1"/>
                <w:color w:val="auto"/>
              </w:rPr>
            </w:pPr>
          </w:p>
        </w:tc>
        <w:tc>
          <w:tcPr>
            <w:tcW w:w="120" w:type="dxa"/>
            <w:vAlign w:val="bottom"/>
            <w:shd w:val="clear" w:color="auto" w:fill="3051F2"/>
          </w:tcPr>
          <w:p>
            <w:pPr>
              <w:spacing w:after="0" w:line="20" w:lineRule="exact"/>
              <w:rPr>
                <w:sz w:val="1"/>
                <w:szCs w:val="1"/>
                <w:color w:val="auto"/>
              </w:rPr>
            </w:pPr>
          </w:p>
        </w:tc>
        <w:tc>
          <w:tcPr>
            <w:tcW w:w="640" w:type="dxa"/>
            <w:vAlign w:val="bottom"/>
            <w:shd w:val="clear" w:color="auto" w:fill="3051F2"/>
          </w:tcPr>
          <w:p>
            <w:pPr>
              <w:spacing w:after="0" w:line="20" w:lineRule="exact"/>
              <w:rPr>
                <w:sz w:val="1"/>
                <w:szCs w:val="1"/>
                <w:color w:val="auto"/>
              </w:rPr>
            </w:pPr>
          </w:p>
        </w:tc>
        <w:tc>
          <w:tcPr>
            <w:tcW w:w="280" w:type="dxa"/>
            <w:vAlign w:val="bottom"/>
            <w:shd w:val="clear" w:color="auto" w:fill="3051F2"/>
          </w:tcPr>
          <w:p>
            <w:pPr>
              <w:spacing w:after="0" w:line="20" w:lineRule="exact"/>
              <w:rPr>
                <w:sz w:val="1"/>
                <w:szCs w:val="1"/>
                <w:color w:val="auto"/>
              </w:rPr>
            </w:pPr>
          </w:p>
        </w:tc>
        <w:tc>
          <w:tcPr>
            <w:tcW w:w="240" w:type="dxa"/>
            <w:vAlign w:val="bottom"/>
            <w:shd w:val="clear" w:color="auto" w:fill="3051F2"/>
          </w:tcPr>
          <w:p>
            <w:pPr>
              <w:spacing w:after="0" w:line="20" w:lineRule="exact"/>
              <w:rPr>
                <w:sz w:val="1"/>
                <w:szCs w:val="1"/>
                <w:color w:val="auto"/>
              </w:rPr>
            </w:pPr>
          </w:p>
        </w:tc>
        <w:tc>
          <w:tcPr>
            <w:tcW w:w="100" w:type="dxa"/>
            <w:vAlign w:val="bottom"/>
            <w:shd w:val="clear" w:color="auto" w:fill="3051F2"/>
          </w:tcPr>
          <w:p>
            <w:pPr>
              <w:spacing w:after="0" w:line="20" w:lineRule="exact"/>
              <w:rPr>
                <w:sz w:val="1"/>
                <w:szCs w:val="1"/>
                <w:color w:val="auto"/>
              </w:rPr>
            </w:pPr>
          </w:p>
        </w:tc>
        <w:tc>
          <w:tcPr>
            <w:tcW w:w="40" w:type="dxa"/>
            <w:vAlign w:val="bottom"/>
            <w:shd w:val="clear" w:color="auto" w:fill="3051F2"/>
          </w:tcPr>
          <w:p>
            <w:pPr>
              <w:spacing w:after="0" w:line="20" w:lineRule="exact"/>
              <w:rPr>
                <w:sz w:val="1"/>
                <w:szCs w:val="1"/>
                <w:color w:val="auto"/>
              </w:rPr>
            </w:pPr>
          </w:p>
        </w:tc>
        <w:tc>
          <w:tcPr>
            <w:tcW w:w="1340" w:type="dxa"/>
            <w:vAlign w:val="bottom"/>
            <w:shd w:val="clear" w:color="auto" w:fill="3051F2"/>
          </w:tcPr>
          <w:p>
            <w:pPr>
              <w:spacing w:after="0" w:line="20" w:lineRule="exact"/>
              <w:rPr>
                <w:sz w:val="1"/>
                <w:szCs w:val="1"/>
                <w:color w:val="auto"/>
              </w:rPr>
            </w:pPr>
          </w:p>
        </w:tc>
        <w:tc>
          <w:tcPr>
            <w:tcW w:w="740" w:type="dxa"/>
            <w:vAlign w:val="bottom"/>
            <w:shd w:val="clear" w:color="auto" w:fill="3051F2"/>
          </w:tcPr>
          <w:p>
            <w:pPr>
              <w:spacing w:after="0" w:line="20" w:lineRule="exact"/>
              <w:rPr>
                <w:sz w:val="1"/>
                <w:szCs w:val="1"/>
                <w:color w:val="auto"/>
              </w:rPr>
            </w:pPr>
          </w:p>
        </w:tc>
        <w:tc>
          <w:tcPr>
            <w:tcW w:w="3400" w:type="dxa"/>
            <w:vAlign w:val="bottom"/>
            <w:tcBorders>
              <w:right w:val="single" w:sz="8" w:color="3051F2"/>
            </w:tcBorders>
          </w:tcPr>
          <w:p>
            <w:pPr>
              <w:spacing w:after="0" w:line="20" w:lineRule="exact"/>
              <w:rPr>
                <w:sz w:val="1"/>
                <w:szCs w:val="1"/>
                <w:color w:val="auto"/>
              </w:rPr>
            </w:pPr>
          </w:p>
        </w:tc>
        <w:tc>
          <w:tcPr>
            <w:tcW w:w="120" w:type="dxa"/>
            <w:vAlign w:val="bottom"/>
            <w:tcBorders>
              <w:right w:val="single" w:sz="8" w:color="3051F2"/>
            </w:tcBorders>
            <w:shd w:val="clear" w:color="auto" w:fill="3051F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9"/>
        </w:trPr>
        <w:tc>
          <w:tcPr>
            <w:tcW w:w="940" w:type="dxa"/>
            <w:vAlign w:val="bottom"/>
          </w:tcPr>
          <w:p>
            <w:pPr>
              <w:spacing w:after="0"/>
              <w:rPr>
                <w:sz w:val="18"/>
                <w:szCs w:val="18"/>
                <w:color w:val="auto"/>
              </w:rPr>
            </w:pPr>
          </w:p>
        </w:tc>
        <w:tc>
          <w:tcPr>
            <w:tcW w:w="6460" w:type="dxa"/>
            <w:vAlign w:val="bottom"/>
            <w:gridSpan w:val="21"/>
          </w:tcPr>
          <w:p>
            <w:pPr>
              <w:spacing w:after="0"/>
              <w:rPr>
                <w:rFonts w:ascii="Arial" w:cs="Arial" w:eastAsia="Arial" w:hAnsi="Arial"/>
                <w:sz w:val="18"/>
                <w:szCs w:val="18"/>
                <w:color w:val="3051F2"/>
              </w:rPr>
            </w:pPr>
            <w:hyperlink w:anchor="page20">
              <w:r>
                <w:rPr>
                  <w:rFonts w:ascii="Arial" w:cs="Arial" w:eastAsia="Arial" w:hAnsi="Arial"/>
                  <w:sz w:val="18"/>
                  <w:szCs w:val="18"/>
                  <w:color w:val="3051F2"/>
                </w:rPr>
                <w:t>Overview</w:t>
              </w:r>
            </w:hyperlink>
          </w:p>
        </w:tc>
        <w:tc>
          <w:tcPr>
            <w:tcW w:w="3400" w:type="dxa"/>
            <w:vAlign w:val="bottom"/>
          </w:tcPr>
          <w:p>
            <w:pPr>
              <w:spacing w:after="0"/>
              <w:rPr>
                <w:sz w:val="18"/>
                <w:szCs w:val="18"/>
                <w:color w:val="auto"/>
              </w:rPr>
            </w:pPr>
          </w:p>
        </w:tc>
        <w:tc>
          <w:tcPr>
            <w:tcW w:w="200" w:type="dxa"/>
            <w:vAlign w:val="bottom"/>
            <w:gridSpan w:val="2"/>
          </w:tcPr>
          <w:p>
            <w:pPr>
              <w:jc w:val="center"/>
              <w:ind w:right="80"/>
              <w:spacing w:after="0"/>
              <w:rPr>
                <w:rFonts w:ascii="Arial" w:cs="Arial" w:eastAsia="Arial" w:hAnsi="Arial"/>
                <w:sz w:val="15"/>
                <w:szCs w:val="15"/>
                <w:color w:val="3051F2"/>
                <w:w w:val="71"/>
              </w:rPr>
            </w:pPr>
            <w:hyperlink w:anchor="page20">
              <w:r>
                <w:rPr>
                  <w:rFonts w:ascii="Arial" w:cs="Arial" w:eastAsia="Arial" w:hAnsi="Arial"/>
                  <w:sz w:val="15"/>
                  <w:szCs w:val="15"/>
                  <w:color w:val="3051F2"/>
                  <w:w w:val="71"/>
                </w:rPr>
                <w:t>19</w:t>
              </w:r>
            </w:hyperlink>
          </w:p>
        </w:tc>
      </w:tr>
      <w:tr>
        <w:trPr>
          <w:trHeight w:val="20"/>
        </w:trPr>
        <w:tc>
          <w:tcPr>
            <w:tcW w:w="940" w:type="dxa"/>
            <w:vAlign w:val="bottom"/>
          </w:tcPr>
          <w:p>
            <w:pPr>
              <w:spacing w:after="0" w:line="20" w:lineRule="exact"/>
              <w:rPr>
                <w:sz w:val="1"/>
                <w:szCs w:val="1"/>
                <w:color w:val="auto"/>
              </w:rPr>
            </w:pPr>
          </w:p>
        </w:tc>
        <w:tc>
          <w:tcPr>
            <w:tcW w:w="600" w:type="dxa"/>
            <w:vAlign w:val="bottom"/>
            <w:shd w:val="clear" w:color="auto" w:fill="3051F2"/>
          </w:tcPr>
          <w:p>
            <w:pPr>
              <w:spacing w:after="0" w:line="20" w:lineRule="exact"/>
              <w:rPr>
                <w:sz w:val="1"/>
                <w:szCs w:val="1"/>
                <w:color w:val="auto"/>
              </w:rPr>
            </w:pPr>
          </w:p>
        </w:tc>
        <w:tc>
          <w:tcPr>
            <w:tcW w:w="100" w:type="dxa"/>
            <w:vAlign w:val="bottom"/>
            <w:shd w:val="clear" w:color="auto" w:fill="3051F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3400" w:type="dxa"/>
            <w:vAlign w:val="bottom"/>
            <w:tcBorders>
              <w:right w:val="single" w:sz="8" w:color="3051F2"/>
            </w:tcBorders>
          </w:tcPr>
          <w:p>
            <w:pPr>
              <w:spacing w:after="0" w:line="20" w:lineRule="exact"/>
              <w:rPr>
                <w:sz w:val="1"/>
                <w:szCs w:val="1"/>
                <w:color w:val="auto"/>
              </w:rPr>
            </w:pPr>
          </w:p>
        </w:tc>
        <w:tc>
          <w:tcPr>
            <w:tcW w:w="120" w:type="dxa"/>
            <w:vAlign w:val="bottom"/>
            <w:tcBorders>
              <w:right w:val="single" w:sz="8" w:color="3051F2"/>
            </w:tcBorders>
            <w:shd w:val="clear" w:color="auto" w:fill="3051F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9"/>
        </w:trPr>
        <w:tc>
          <w:tcPr>
            <w:tcW w:w="940" w:type="dxa"/>
            <w:vAlign w:val="bottom"/>
          </w:tcPr>
          <w:p>
            <w:pPr>
              <w:spacing w:after="0"/>
              <w:rPr>
                <w:sz w:val="18"/>
                <w:szCs w:val="18"/>
                <w:color w:val="auto"/>
              </w:rPr>
            </w:pPr>
          </w:p>
        </w:tc>
        <w:tc>
          <w:tcPr>
            <w:tcW w:w="1560" w:type="dxa"/>
            <w:vAlign w:val="bottom"/>
            <w:gridSpan w:val="5"/>
          </w:tcPr>
          <w:p>
            <w:pPr>
              <w:spacing w:after="0"/>
              <w:rPr>
                <w:rFonts w:ascii="Arial" w:cs="Arial" w:eastAsia="Arial" w:hAnsi="Arial"/>
                <w:sz w:val="18"/>
                <w:szCs w:val="18"/>
                <w:color w:val="3051F2"/>
                <w:w w:val="88"/>
              </w:rPr>
            </w:pPr>
            <w:hyperlink w:anchor="page22">
              <w:r>
                <w:rPr>
                  <w:rFonts w:ascii="Arial" w:cs="Arial" w:eastAsia="Arial" w:hAnsi="Arial"/>
                  <w:sz w:val="18"/>
                  <w:szCs w:val="18"/>
                  <w:color w:val="3051F2"/>
                  <w:w w:val="88"/>
                </w:rPr>
                <w:t>Results of Operations</w:t>
              </w:r>
            </w:hyperlink>
          </w:p>
        </w:tc>
        <w:tc>
          <w:tcPr>
            <w:tcW w:w="4900" w:type="dxa"/>
            <w:vAlign w:val="bottom"/>
            <w:gridSpan w:val="16"/>
          </w:tcPr>
          <w:p>
            <w:pPr>
              <w:spacing w:after="0"/>
              <w:rPr>
                <w:sz w:val="18"/>
                <w:szCs w:val="18"/>
                <w:color w:val="auto"/>
              </w:rPr>
            </w:pPr>
          </w:p>
        </w:tc>
        <w:tc>
          <w:tcPr>
            <w:tcW w:w="3400" w:type="dxa"/>
            <w:vAlign w:val="bottom"/>
          </w:tcPr>
          <w:p>
            <w:pPr>
              <w:spacing w:after="0"/>
              <w:rPr>
                <w:sz w:val="18"/>
                <w:szCs w:val="18"/>
                <w:color w:val="auto"/>
              </w:rPr>
            </w:pPr>
          </w:p>
        </w:tc>
        <w:tc>
          <w:tcPr>
            <w:tcW w:w="200" w:type="dxa"/>
            <w:vAlign w:val="bottom"/>
            <w:gridSpan w:val="2"/>
          </w:tcPr>
          <w:p>
            <w:pPr>
              <w:jc w:val="center"/>
              <w:ind w:right="80"/>
              <w:spacing w:after="0"/>
              <w:rPr>
                <w:rFonts w:ascii="Arial" w:cs="Arial" w:eastAsia="Arial" w:hAnsi="Arial"/>
                <w:sz w:val="15"/>
                <w:szCs w:val="15"/>
                <w:color w:val="3051F2"/>
                <w:w w:val="71"/>
              </w:rPr>
            </w:pPr>
            <w:hyperlink w:anchor="page22">
              <w:r>
                <w:rPr>
                  <w:rFonts w:ascii="Arial" w:cs="Arial" w:eastAsia="Arial" w:hAnsi="Arial"/>
                  <w:sz w:val="15"/>
                  <w:szCs w:val="15"/>
                  <w:color w:val="3051F2"/>
                  <w:w w:val="71"/>
                </w:rPr>
                <w:t>22</w:t>
              </w:r>
            </w:hyperlink>
          </w:p>
        </w:tc>
      </w:tr>
      <w:tr>
        <w:trPr>
          <w:trHeight w:val="20"/>
        </w:trPr>
        <w:tc>
          <w:tcPr>
            <w:tcW w:w="940" w:type="dxa"/>
            <w:vAlign w:val="bottom"/>
          </w:tcPr>
          <w:p>
            <w:pPr>
              <w:spacing w:after="0" w:line="20" w:lineRule="exact"/>
              <w:rPr>
                <w:sz w:val="1"/>
                <w:szCs w:val="1"/>
                <w:color w:val="auto"/>
              </w:rPr>
            </w:pPr>
          </w:p>
        </w:tc>
        <w:tc>
          <w:tcPr>
            <w:tcW w:w="600" w:type="dxa"/>
            <w:vAlign w:val="bottom"/>
            <w:shd w:val="clear" w:color="auto" w:fill="3051F2"/>
          </w:tcPr>
          <w:p>
            <w:pPr>
              <w:spacing w:after="0" w:line="20" w:lineRule="exact"/>
              <w:rPr>
                <w:sz w:val="1"/>
                <w:szCs w:val="1"/>
                <w:color w:val="auto"/>
              </w:rPr>
            </w:pPr>
          </w:p>
        </w:tc>
        <w:tc>
          <w:tcPr>
            <w:tcW w:w="100" w:type="dxa"/>
            <w:vAlign w:val="bottom"/>
            <w:shd w:val="clear" w:color="auto" w:fill="3051F2"/>
          </w:tcPr>
          <w:p>
            <w:pPr>
              <w:spacing w:after="0" w:line="20" w:lineRule="exact"/>
              <w:rPr>
                <w:sz w:val="1"/>
                <w:szCs w:val="1"/>
                <w:color w:val="auto"/>
              </w:rPr>
            </w:pPr>
          </w:p>
        </w:tc>
        <w:tc>
          <w:tcPr>
            <w:tcW w:w="200" w:type="dxa"/>
            <w:vAlign w:val="bottom"/>
            <w:tcBorders>
              <w:left w:val="single" w:sz="8" w:color="3051F2"/>
            </w:tcBorders>
            <w:shd w:val="clear" w:color="auto" w:fill="3051F2"/>
          </w:tcPr>
          <w:p>
            <w:pPr>
              <w:spacing w:after="0" w:line="20" w:lineRule="exact"/>
              <w:rPr>
                <w:sz w:val="1"/>
                <w:szCs w:val="1"/>
                <w:color w:val="auto"/>
              </w:rPr>
            </w:pPr>
          </w:p>
        </w:tc>
        <w:tc>
          <w:tcPr>
            <w:tcW w:w="420" w:type="dxa"/>
            <w:vAlign w:val="bottom"/>
            <w:shd w:val="clear" w:color="auto" w:fill="3051F2"/>
          </w:tcPr>
          <w:p>
            <w:pPr>
              <w:spacing w:after="0" w:line="20" w:lineRule="exact"/>
              <w:rPr>
                <w:sz w:val="1"/>
                <w:szCs w:val="1"/>
                <w:color w:val="auto"/>
              </w:rPr>
            </w:pPr>
          </w:p>
        </w:tc>
        <w:tc>
          <w:tcPr>
            <w:tcW w:w="240" w:type="dxa"/>
            <w:vAlign w:val="bottom"/>
            <w:tcBorders>
              <w:left w:val="single" w:sz="8" w:color="3051F2"/>
            </w:tcBorders>
            <w:shd w:val="clear" w:color="auto" w:fill="3051F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0" w:type="dxa"/>
            <w:vAlign w:val="bottom"/>
            <w:tcBorders>
              <w:right w:val="single" w:sz="8" w:color="3051F2"/>
            </w:tcBorders>
          </w:tcPr>
          <w:p>
            <w:pPr>
              <w:spacing w:after="0" w:line="20" w:lineRule="exact"/>
              <w:rPr>
                <w:sz w:val="1"/>
                <w:szCs w:val="1"/>
                <w:color w:val="auto"/>
              </w:rPr>
            </w:pPr>
          </w:p>
        </w:tc>
        <w:tc>
          <w:tcPr>
            <w:tcW w:w="120" w:type="dxa"/>
            <w:vAlign w:val="bottom"/>
            <w:tcBorders>
              <w:right w:val="single" w:sz="8" w:color="3051F2"/>
            </w:tcBorders>
            <w:shd w:val="clear" w:color="auto" w:fill="3051F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9"/>
        </w:trPr>
        <w:tc>
          <w:tcPr>
            <w:tcW w:w="940" w:type="dxa"/>
            <w:vAlign w:val="bottom"/>
          </w:tcPr>
          <w:p>
            <w:pPr>
              <w:spacing w:after="0"/>
              <w:rPr>
                <w:sz w:val="18"/>
                <w:szCs w:val="18"/>
                <w:color w:val="auto"/>
              </w:rPr>
            </w:pPr>
          </w:p>
        </w:tc>
        <w:tc>
          <w:tcPr>
            <w:tcW w:w="2320" w:type="dxa"/>
            <w:vAlign w:val="bottom"/>
            <w:gridSpan w:val="8"/>
          </w:tcPr>
          <w:p>
            <w:pPr>
              <w:spacing w:after="0"/>
              <w:rPr>
                <w:rFonts w:ascii="Arial" w:cs="Arial" w:eastAsia="Arial" w:hAnsi="Arial"/>
                <w:sz w:val="18"/>
                <w:szCs w:val="18"/>
                <w:color w:val="3051F2"/>
                <w:w w:val="90"/>
              </w:rPr>
            </w:pPr>
            <w:hyperlink w:anchor="page30">
              <w:r>
                <w:rPr>
                  <w:rFonts w:ascii="Arial" w:cs="Arial" w:eastAsia="Arial" w:hAnsi="Arial"/>
                  <w:sz w:val="18"/>
                  <w:szCs w:val="18"/>
                  <w:color w:val="3051F2"/>
                  <w:w w:val="90"/>
                </w:rPr>
                <w:t>Liquidity and Capital Resources</w:t>
              </w:r>
            </w:hyperlink>
          </w:p>
        </w:tc>
        <w:tc>
          <w:tcPr>
            <w:tcW w:w="4140" w:type="dxa"/>
            <w:vAlign w:val="bottom"/>
            <w:gridSpan w:val="13"/>
          </w:tcPr>
          <w:p>
            <w:pPr>
              <w:spacing w:after="0"/>
              <w:rPr>
                <w:sz w:val="18"/>
                <w:szCs w:val="18"/>
                <w:color w:val="auto"/>
              </w:rPr>
            </w:pPr>
          </w:p>
        </w:tc>
        <w:tc>
          <w:tcPr>
            <w:tcW w:w="3400" w:type="dxa"/>
            <w:vAlign w:val="bottom"/>
          </w:tcPr>
          <w:p>
            <w:pPr>
              <w:spacing w:after="0"/>
              <w:rPr>
                <w:sz w:val="18"/>
                <w:szCs w:val="18"/>
                <w:color w:val="auto"/>
              </w:rPr>
            </w:pPr>
          </w:p>
        </w:tc>
        <w:tc>
          <w:tcPr>
            <w:tcW w:w="200" w:type="dxa"/>
            <w:vAlign w:val="bottom"/>
            <w:gridSpan w:val="2"/>
          </w:tcPr>
          <w:p>
            <w:pPr>
              <w:jc w:val="center"/>
              <w:ind w:right="80"/>
              <w:spacing w:after="0"/>
              <w:rPr>
                <w:rFonts w:ascii="Arial" w:cs="Arial" w:eastAsia="Arial" w:hAnsi="Arial"/>
                <w:sz w:val="15"/>
                <w:szCs w:val="15"/>
                <w:color w:val="3051F2"/>
                <w:w w:val="71"/>
              </w:rPr>
            </w:pPr>
            <w:hyperlink w:anchor="page30">
              <w:r>
                <w:rPr>
                  <w:rFonts w:ascii="Arial" w:cs="Arial" w:eastAsia="Arial" w:hAnsi="Arial"/>
                  <w:sz w:val="15"/>
                  <w:szCs w:val="15"/>
                  <w:color w:val="3051F2"/>
                  <w:w w:val="71"/>
                </w:rPr>
                <w:t>30</w:t>
              </w:r>
            </w:hyperlink>
          </w:p>
        </w:tc>
      </w:tr>
      <w:tr>
        <w:trPr>
          <w:trHeight w:val="20"/>
        </w:trPr>
        <w:tc>
          <w:tcPr>
            <w:tcW w:w="940" w:type="dxa"/>
            <w:vAlign w:val="bottom"/>
          </w:tcPr>
          <w:p>
            <w:pPr>
              <w:spacing w:after="0" w:line="20" w:lineRule="exact"/>
              <w:rPr>
                <w:sz w:val="1"/>
                <w:szCs w:val="1"/>
                <w:color w:val="auto"/>
              </w:rPr>
            </w:pPr>
          </w:p>
        </w:tc>
        <w:tc>
          <w:tcPr>
            <w:tcW w:w="600" w:type="dxa"/>
            <w:vAlign w:val="bottom"/>
            <w:shd w:val="clear" w:color="auto" w:fill="3051F2"/>
          </w:tcPr>
          <w:p>
            <w:pPr>
              <w:spacing w:after="0" w:line="20" w:lineRule="exact"/>
              <w:rPr>
                <w:sz w:val="1"/>
                <w:szCs w:val="1"/>
                <w:color w:val="auto"/>
              </w:rPr>
            </w:pPr>
          </w:p>
        </w:tc>
        <w:tc>
          <w:tcPr>
            <w:tcW w:w="100" w:type="dxa"/>
            <w:vAlign w:val="bottom"/>
            <w:shd w:val="clear" w:color="auto" w:fill="3051F2"/>
          </w:tcPr>
          <w:p>
            <w:pPr>
              <w:spacing w:after="0" w:line="20" w:lineRule="exact"/>
              <w:rPr>
                <w:sz w:val="1"/>
                <w:szCs w:val="1"/>
                <w:color w:val="auto"/>
              </w:rPr>
            </w:pPr>
          </w:p>
        </w:tc>
        <w:tc>
          <w:tcPr>
            <w:tcW w:w="200" w:type="dxa"/>
            <w:vAlign w:val="bottom"/>
            <w:tcBorders>
              <w:left w:val="single" w:sz="8" w:color="3051F2"/>
            </w:tcBorders>
            <w:shd w:val="clear" w:color="auto" w:fill="3051F2"/>
          </w:tcPr>
          <w:p>
            <w:pPr>
              <w:spacing w:after="0" w:line="20" w:lineRule="exact"/>
              <w:rPr>
                <w:sz w:val="1"/>
                <w:szCs w:val="1"/>
                <w:color w:val="auto"/>
              </w:rPr>
            </w:pPr>
          </w:p>
        </w:tc>
        <w:tc>
          <w:tcPr>
            <w:tcW w:w="420" w:type="dxa"/>
            <w:vAlign w:val="bottom"/>
            <w:shd w:val="clear" w:color="auto" w:fill="3051F2"/>
          </w:tcPr>
          <w:p>
            <w:pPr>
              <w:spacing w:after="0" w:line="20" w:lineRule="exact"/>
              <w:rPr>
                <w:sz w:val="1"/>
                <w:szCs w:val="1"/>
                <w:color w:val="auto"/>
              </w:rPr>
            </w:pPr>
          </w:p>
        </w:tc>
        <w:tc>
          <w:tcPr>
            <w:tcW w:w="240" w:type="dxa"/>
            <w:vAlign w:val="bottom"/>
            <w:tcBorders>
              <w:left w:val="single" w:sz="8" w:color="3051F2"/>
            </w:tcBorders>
            <w:shd w:val="clear" w:color="auto" w:fill="3051F2"/>
          </w:tcPr>
          <w:p>
            <w:pPr>
              <w:spacing w:after="0" w:line="20" w:lineRule="exact"/>
              <w:rPr>
                <w:sz w:val="1"/>
                <w:szCs w:val="1"/>
                <w:color w:val="auto"/>
              </w:rPr>
            </w:pPr>
          </w:p>
        </w:tc>
        <w:tc>
          <w:tcPr>
            <w:tcW w:w="160" w:type="dxa"/>
            <w:vAlign w:val="bottom"/>
            <w:shd w:val="clear" w:color="auto" w:fill="3051F2"/>
          </w:tcPr>
          <w:p>
            <w:pPr>
              <w:spacing w:after="0" w:line="20" w:lineRule="exact"/>
              <w:rPr>
                <w:sz w:val="1"/>
                <w:szCs w:val="1"/>
                <w:color w:val="auto"/>
              </w:rPr>
            </w:pPr>
          </w:p>
        </w:tc>
        <w:tc>
          <w:tcPr>
            <w:tcW w:w="40" w:type="dxa"/>
            <w:vAlign w:val="bottom"/>
            <w:shd w:val="clear" w:color="auto" w:fill="3051F2"/>
          </w:tcPr>
          <w:p>
            <w:pPr>
              <w:spacing w:after="0" w:line="20" w:lineRule="exact"/>
              <w:rPr>
                <w:sz w:val="1"/>
                <w:szCs w:val="1"/>
                <w:color w:val="auto"/>
              </w:rPr>
            </w:pPr>
          </w:p>
        </w:tc>
        <w:tc>
          <w:tcPr>
            <w:tcW w:w="560" w:type="dxa"/>
            <w:vAlign w:val="bottom"/>
            <w:shd w:val="clear" w:color="auto" w:fill="3051F2"/>
          </w:tcPr>
          <w:p>
            <w:pPr>
              <w:spacing w:after="0" w:line="20" w:lineRule="exact"/>
              <w:rPr>
                <w:sz w:val="1"/>
                <w:szCs w:val="1"/>
                <w:color w:val="auto"/>
              </w:rPr>
            </w:pPr>
          </w:p>
        </w:tc>
        <w:tc>
          <w:tcPr>
            <w:tcW w:w="80" w:type="dxa"/>
            <w:vAlign w:val="bottom"/>
            <w:tcBorders>
              <w:left w:val="single" w:sz="8" w:color="3051F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0" w:type="dxa"/>
            <w:vAlign w:val="bottom"/>
            <w:tcBorders>
              <w:right w:val="single" w:sz="8" w:color="3051F2"/>
            </w:tcBorders>
          </w:tcPr>
          <w:p>
            <w:pPr>
              <w:spacing w:after="0" w:line="20" w:lineRule="exact"/>
              <w:rPr>
                <w:sz w:val="1"/>
                <w:szCs w:val="1"/>
                <w:color w:val="auto"/>
              </w:rPr>
            </w:pPr>
          </w:p>
        </w:tc>
        <w:tc>
          <w:tcPr>
            <w:tcW w:w="120" w:type="dxa"/>
            <w:vAlign w:val="bottom"/>
            <w:tcBorders>
              <w:right w:val="single" w:sz="8" w:color="3051F2"/>
            </w:tcBorders>
            <w:shd w:val="clear" w:color="auto" w:fill="3051F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9"/>
        </w:trPr>
        <w:tc>
          <w:tcPr>
            <w:tcW w:w="940" w:type="dxa"/>
            <w:vAlign w:val="bottom"/>
          </w:tcPr>
          <w:p>
            <w:pPr>
              <w:spacing w:after="0"/>
              <w:rPr>
                <w:sz w:val="18"/>
                <w:szCs w:val="18"/>
                <w:color w:val="auto"/>
              </w:rPr>
            </w:pPr>
          </w:p>
        </w:tc>
        <w:tc>
          <w:tcPr>
            <w:tcW w:w="2400" w:type="dxa"/>
            <w:vAlign w:val="bottom"/>
            <w:gridSpan w:val="9"/>
          </w:tcPr>
          <w:p>
            <w:pPr>
              <w:spacing w:after="0"/>
              <w:rPr>
                <w:rFonts w:ascii="Arial" w:cs="Arial" w:eastAsia="Arial" w:hAnsi="Arial"/>
                <w:sz w:val="18"/>
                <w:szCs w:val="18"/>
                <w:color w:val="3051F2"/>
                <w:w w:val="89"/>
              </w:rPr>
            </w:pPr>
            <w:hyperlink w:anchor="page33">
              <w:r>
                <w:rPr>
                  <w:rFonts w:ascii="Arial" w:cs="Arial" w:eastAsia="Arial" w:hAnsi="Arial"/>
                  <w:sz w:val="18"/>
                  <w:szCs w:val="18"/>
                  <w:color w:val="3051F2"/>
                  <w:w w:val="89"/>
                </w:rPr>
                <w:t>Off-Balance Sheet Arrangements</w:t>
              </w:r>
            </w:hyperlink>
          </w:p>
        </w:tc>
        <w:tc>
          <w:tcPr>
            <w:tcW w:w="4060" w:type="dxa"/>
            <w:vAlign w:val="bottom"/>
            <w:gridSpan w:val="12"/>
          </w:tcPr>
          <w:p>
            <w:pPr>
              <w:spacing w:after="0"/>
              <w:rPr>
                <w:sz w:val="18"/>
                <w:szCs w:val="18"/>
                <w:color w:val="auto"/>
              </w:rPr>
            </w:pPr>
          </w:p>
        </w:tc>
        <w:tc>
          <w:tcPr>
            <w:tcW w:w="3400" w:type="dxa"/>
            <w:vAlign w:val="bottom"/>
          </w:tcPr>
          <w:p>
            <w:pPr>
              <w:spacing w:after="0"/>
              <w:rPr>
                <w:sz w:val="18"/>
                <w:szCs w:val="18"/>
                <w:color w:val="auto"/>
              </w:rPr>
            </w:pPr>
          </w:p>
        </w:tc>
        <w:tc>
          <w:tcPr>
            <w:tcW w:w="200" w:type="dxa"/>
            <w:vAlign w:val="bottom"/>
            <w:gridSpan w:val="2"/>
          </w:tcPr>
          <w:p>
            <w:pPr>
              <w:jc w:val="center"/>
              <w:ind w:right="80"/>
              <w:spacing w:after="0"/>
              <w:rPr>
                <w:rFonts w:ascii="Arial" w:cs="Arial" w:eastAsia="Arial" w:hAnsi="Arial"/>
                <w:sz w:val="15"/>
                <w:szCs w:val="15"/>
                <w:color w:val="3051F2"/>
                <w:w w:val="71"/>
              </w:rPr>
            </w:pPr>
            <w:hyperlink w:anchor="page33">
              <w:r>
                <w:rPr>
                  <w:rFonts w:ascii="Arial" w:cs="Arial" w:eastAsia="Arial" w:hAnsi="Arial"/>
                  <w:sz w:val="15"/>
                  <w:szCs w:val="15"/>
                  <w:color w:val="3051F2"/>
                  <w:w w:val="71"/>
                </w:rPr>
                <w:t>33</w:t>
              </w:r>
            </w:hyperlink>
          </w:p>
        </w:tc>
      </w:tr>
      <w:tr>
        <w:trPr>
          <w:trHeight w:val="20"/>
        </w:trPr>
        <w:tc>
          <w:tcPr>
            <w:tcW w:w="940" w:type="dxa"/>
            <w:vAlign w:val="bottom"/>
          </w:tcPr>
          <w:p>
            <w:pPr>
              <w:spacing w:after="0" w:line="20" w:lineRule="exact"/>
              <w:rPr>
                <w:sz w:val="1"/>
                <w:szCs w:val="1"/>
                <w:color w:val="auto"/>
              </w:rPr>
            </w:pPr>
          </w:p>
        </w:tc>
        <w:tc>
          <w:tcPr>
            <w:tcW w:w="600" w:type="dxa"/>
            <w:vAlign w:val="bottom"/>
            <w:shd w:val="clear" w:color="auto" w:fill="3051F2"/>
          </w:tcPr>
          <w:p>
            <w:pPr>
              <w:spacing w:after="0" w:line="20" w:lineRule="exact"/>
              <w:rPr>
                <w:sz w:val="1"/>
                <w:szCs w:val="1"/>
                <w:color w:val="auto"/>
              </w:rPr>
            </w:pPr>
          </w:p>
        </w:tc>
        <w:tc>
          <w:tcPr>
            <w:tcW w:w="100" w:type="dxa"/>
            <w:vAlign w:val="bottom"/>
            <w:shd w:val="clear" w:color="auto" w:fill="3051F2"/>
          </w:tcPr>
          <w:p>
            <w:pPr>
              <w:spacing w:after="0" w:line="20" w:lineRule="exact"/>
              <w:rPr>
                <w:sz w:val="1"/>
                <w:szCs w:val="1"/>
                <w:color w:val="auto"/>
              </w:rPr>
            </w:pPr>
          </w:p>
        </w:tc>
        <w:tc>
          <w:tcPr>
            <w:tcW w:w="200" w:type="dxa"/>
            <w:vAlign w:val="bottom"/>
            <w:tcBorders>
              <w:left w:val="single" w:sz="8" w:color="3051F2"/>
            </w:tcBorders>
            <w:shd w:val="clear" w:color="auto" w:fill="3051F2"/>
          </w:tcPr>
          <w:p>
            <w:pPr>
              <w:spacing w:after="0" w:line="20" w:lineRule="exact"/>
              <w:rPr>
                <w:sz w:val="1"/>
                <w:szCs w:val="1"/>
                <w:color w:val="auto"/>
              </w:rPr>
            </w:pPr>
          </w:p>
        </w:tc>
        <w:tc>
          <w:tcPr>
            <w:tcW w:w="420" w:type="dxa"/>
            <w:vAlign w:val="bottom"/>
            <w:shd w:val="clear" w:color="auto" w:fill="3051F2"/>
          </w:tcPr>
          <w:p>
            <w:pPr>
              <w:spacing w:after="0" w:line="20" w:lineRule="exact"/>
              <w:rPr>
                <w:sz w:val="1"/>
                <w:szCs w:val="1"/>
                <w:color w:val="auto"/>
              </w:rPr>
            </w:pPr>
          </w:p>
        </w:tc>
        <w:tc>
          <w:tcPr>
            <w:tcW w:w="240" w:type="dxa"/>
            <w:vAlign w:val="bottom"/>
            <w:tcBorders>
              <w:left w:val="single" w:sz="8" w:color="3051F2"/>
            </w:tcBorders>
            <w:shd w:val="clear" w:color="auto" w:fill="3051F2"/>
          </w:tcPr>
          <w:p>
            <w:pPr>
              <w:spacing w:after="0" w:line="20" w:lineRule="exact"/>
              <w:rPr>
                <w:sz w:val="1"/>
                <w:szCs w:val="1"/>
                <w:color w:val="auto"/>
              </w:rPr>
            </w:pPr>
          </w:p>
        </w:tc>
        <w:tc>
          <w:tcPr>
            <w:tcW w:w="160" w:type="dxa"/>
            <w:vAlign w:val="bottom"/>
            <w:shd w:val="clear" w:color="auto" w:fill="3051F2"/>
          </w:tcPr>
          <w:p>
            <w:pPr>
              <w:spacing w:after="0" w:line="20" w:lineRule="exact"/>
              <w:rPr>
                <w:sz w:val="1"/>
                <w:szCs w:val="1"/>
                <w:color w:val="auto"/>
              </w:rPr>
            </w:pPr>
          </w:p>
        </w:tc>
        <w:tc>
          <w:tcPr>
            <w:tcW w:w="40" w:type="dxa"/>
            <w:vAlign w:val="bottom"/>
            <w:shd w:val="clear" w:color="auto" w:fill="3051F2"/>
          </w:tcPr>
          <w:p>
            <w:pPr>
              <w:spacing w:after="0" w:line="20" w:lineRule="exact"/>
              <w:rPr>
                <w:sz w:val="1"/>
                <w:szCs w:val="1"/>
                <w:color w:val="auto"/>
              </w:rPr>
            </w:pPr>
          </w:p>
        </w:tc>
        <w:tc>
          <w:tcPr>
            <w:tcW w:w="560" w:type="dxa"/>
            <w:vAlign w:val="bottom"/>
            <w:shd w:val="clear" w:color="auto" w:fill="3051F2"/>
          </w:tcPr>
          <w:p>
            <w:pPr>
              <w:spacing w:after="0" w:line="20" w:lineRule="exact"/>
              <w:rPr>
                <w:sz w:val="1"/>
                <w:szCs w:val="1"/>
                <w:color w:val="auto"/>
              </w:rPr>
            </w:pPr>
          </w:p>
        </w:tc>
        <w:tc>
          <w:tcPr>
            <w:tcW w:w="80" w:type="dxa"/>
            <w:vAlign w:val="bottom"/>
            <w:tcBorders>
              <w:left w:val="single" w:sz="8" w:color="3051F2"/>
            </w:tcBorders>
            <w:shd w:val="clear" w:color="auto" w:fill="3051F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0" w:type="dxa"/>
            <w:vAlign w:val="bottom"/>
            <w:tcBorders>
              <w:right w:val="single" w:sz="8" w:color="3051F2"/>
            </w:tcBorders>
          </w:tcPr>
          <w:p>
            <w:pPr>
              <w:spacing w:after="0" w:line="20" w:lineRule="exact"/>
              <w:rPr>
                <w:sz w:val="1"/>
                <w:szCs w:val="1"/>
                <w:color w:val="auto"/>
              </w:rPr>
            </w:pPr>
          </w:p>
        </w:tc>
        <w:tc>
          <w:tcPr>
            <w:tcW w:w="120" w:type="dxa"/>
            <w:vAlign w:val="bottom"/>
            <w:tcBorders>
              <w:right w:val="single" w:sz="8" w:color="3051F2"/>
            </w:tcBorders>
            <w:shd w:val="clear" w:color="auto" w:fill="3051F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940" w:type="dxa"/>
            <w:vAlign w:val="bottom"/>
          </w:tcPr>
          <w:p>
            <w:pPr>
              <w:spacing w:after="0"/>
              <w:rPr>
                <w:sz w:val="18"/>
                <w:szCs w:val="18"/>
                <w:color w:val="auto"/>
              </w:rPr>
            </w:pPr>
          </w:p>
        </w:tc>
        <w:tc>
          <w:tcPr>
            <w:tcW w:w="2400" w:type="dxa"/>
            <w:vAlign w:val="bottom"/>
            <w:gridSpan w:val="9"/>
          </w:tcPr>
          <w:p>
            <w:pPr>
              <w:spacing w:after="0"/>
              <w:rPr>
                <w:rFonts w:ascii="Arial" w:cs="Arial" w:eastAsia="Arial" w:hAnsi="Arial"/>
                <w:sz w:val="18"/>
                <w:szCs w:val="18"/>
                <w:color w:val="3051F2"/>
              </w:rPr>
            </w:pPr>
            <w:hyperlink w:anchor="page34">
              <w:r>
                <w:rPr>
                  <w:rFonts w:ascii="Arial" w:cs="Arial" w:eastAsia="Arial" w:hAnsi="Arial"/>
                  <w:sz w:val="18"/>
                  <w:szCs w:val="18"/>
                  <w:color w:val="3051F2"/>
                </w:rPr>
                <w:t>Contractual Obligations</w:t>
              </w:r>
            </w:hyperlink>
          </w:p>
        </w:tc>
        <w:tc>
          <w:tcPr>
            <w:tcW w:w="4060" w:type="dxa"/>
            <w:vAlign w:val="bottom"/>
            <w:gridSpan w:val="12"/>
          </w:tcPr>
          <w:p>
            <w:pPr>
              <w:spacing w:after="0"/>
              <w:rPr>
                <w:sz w:val="18"/>
                <w:szCs w:val="18"/>
                <w:color w:val="auto"/>
              </w:rPr>
            </w:pPr>
          </w:p>
        </w:tc>
        <w:tc>
          <w:tcPr>
            <w:tcW w:w="3400" w:type="dxa"/>
            <w:vAlign w:val="bottom"/>
          </w:tcPr>
          <w:p>
            <w:pPr>
              <w:spacing w:after="0"/>
              <w:rPr>
                <w:sz w:val="18"/>
                <w:szCs w:val="18"/>
                <w:color w:val="auto"/>
              </w:rPr>
            </w:pPr>
          </w:p>
        </w:tc>
        <w:tc>
          <w:tcPr>
            <w:tcW w:w="200" w:type="dxa"/>
            <w:vAlign w:val="bottom"/>
            <w:gridSpan w:val="2"/>
          </w:tcPr>
          <w:p>
            <w:pPr>
              <w:jc w:val="center"/>
              <w:ind w:right="80"/>
              <w:spacing w:after="0"/>
              <w:rPr>
                <w:rFonts w:ascii="Arial" w:cs="Arial" w:eastAsia="Arial" w:hAnsi="Arial"/>
                <w:sz w:val="15"/>
                <w:szCs w:val="15"/>
                <w:color w:val="3051F2"/>
                <w:w w:val="71"/>
              </w:rPr>
            </w:pPr>
            <w:hyperlink w:anchor="page34">
              <w:r>
                <w:rPr>
                  <w:rFonts w:ascii="Arial" w:cs="Arial" w:eastAsia="Arial" w:hAnsi="Arial"/>
                  <w:sz w:val="15"/>
                  <w:szCs w:val="15"/>
                  <w:color w:val="3051F2"/>
                  <w:w w:val="71"/>
                </w:rPr>
                <w:t>33</w:t>
              </w:r>
            </w:hyperlink>
          </w:p>
        </w:tc>
      </w:tr>
      <w:tr>
        <w:trPr>
          <w:trHeight w:val="20"/>
        </w:trPr>
        <w:tc>
          <w:tcPr>
            <w:tcW w:w="940" w:type="dxa"/>
            <w:vAlign w:val="bottom"/>
          </w:tcPr>
          <w:p>
            <w:pPr>
              <w:spacing w:after="0" w:line="20" w:lineRule="exact"/>
              <w:rPr>
                <w:sz w:val="1"/>
                <w:szCs w:val="1"/>
                <w:color w:val="auto"/>
              </w:rPr>
            </w:pPr>
          </w:p>
        </w:tc>
        <w:tc>
          <w:tcPr>
            <w:tcW w:w="600" w:type="dxa"/>
            <w:vAlign w:val="bottom"/>
            <w:shd w:val="clear" w:color="auto" w:fill="3051F2"/>
          </w:tcPr>
          <w:p>
            <w:pPr>
              <w:spacing w:after="0" w:line="20" w:lineRule="exact"/>
              <w:rPr>
                <w:sz w:val="1"/>
                <w:szCs w:val="1"/>
                <w:color w:val="auto"/>
              </w:rPr>
            </w:pPr>
          </w:p>
        </w:tc>
        <w:tc>
          <w:tcPr>
            <w:tcW w:w="100" w:type="dxa"/>
            <w:vAlign w:val="bottom"/>
            <w:shd w:val="clear" w:color="auto" w:fill="3051F2"/>
          </w:tcPr>
          <w:p>
            <w:pPr>
              <w:spacing w:after="0" w:line="20" w:lineRule="exact"/>
              <w:rPr>
                <w:sz w:val="1"/>
                <w:szCs w:val="1"/>
                <w:color w:val="auto"/>
              </w:rPr>
            </w:pPr>
          </w:p>
        </w:tc>
        <w:tc>
          <w:tcPr>
            <w:tcW w:w="200" w:type="dxa"/>
            <w:vAlign w:val="bottom"/>
            <w:tcBorders>
              <w:left w:val="single" w:sz="8" w:color="3051F2"/>
            </w:tcBorders>
            <w:shd w:val="clear" w:color="auto" w:fill="3051F2"/>
          </w:tcPr>
          <w:p>
            <w:pPr>
              <w:spacing w:after="0" w:line="20" w:lineRule="exact"/>
              <w:rPr>
                <w:sz w:val="1"/>
                <w:szCs w:val="1"/>
                <w:color w:val="auto"/>
              </w:rPr>
            </w:pPr>
          </w:p>
        </w:tc>
        <w:tc>
          <w:tcPr>
            <w:tcW w:w="420" w:type="dxa"/>
            <w:vAlign w:val="bottom"/>
            <w:shd w:val="clear" w:color="auto" w:fill="3051F2"/>
          </w:tcPr>
          <w:p>
            <w:pPr>
              <w:spacing w:after="0" w:line="20" w:lineRule="exact"/>
              <w:rPr>
                <w:sz w:val="1"/>
                <w:szCs w:val="1"/>
                <w:color w:val="auto"/>
              </w:rPr>
            </w:pPr>
          </w:p>
        </w:tc>
        <w:tc>
          <w:tcPr>
            <w:tcW w:w="240" w:type="dxa"/>
            <w:vAlign w:val="bottom"/>
            <w:tcBorders>
              <w:left w:val="single" w:sz="8" w:color="3051F2"/>
            </w:tcBorders>
            <w:shd w:val="clear" w:color="auto" w:fill="3051F2"/>
          </w:tcPr>
          <w:p>
            <w:pPr>
              <w:spacing w:after="0" w:line="20" w:lineRule="exact"/>
              <w:rPr>
                <w:sz w:val="1"/>
                <w:szCs w:val="1"/>
                <w:color w:val="auto"/>
              </w:rPr>
            </w:pPr>
          </w:p>
        </w:tc>
        <w:tc>
          <w:tcPr>
            <w:tcW w:w="160" w:type="dxa"/>
            <w:vAlign w:val="bottom"/>
            <w:shd w:val="clear" w:color="auto" w:fill="3051F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0" w:type="dxa"/>
            <w:vAlign w:val="bottom"/>
            <w:tcBorders>
              <w:right w:val="single" w:sz="8" w:color="3051F2"/>
            </w:tcBorders>
          </w:tcPr>
          <w:p>
            <w:pPr>
              <w:spacing w:after="0" w:line="20" w:lineRule="exact"/>
              <w:rPr>
                <w:sz w:val="1"/>
                <w:szCs w:val="1"/>
                <w:color w:val="auto"/>
              </w:rPr>
            </w:pPr>
          </w:p>
        </w:tc>
        <w:tc>
          <w:tcPr>
            <w:tcW w:w="120" w:type="dxa"/>
            <w:vAlign w:val="bottom"/>
            <w:tcBorders>
              <w:right w:val="single" w:sz="8" w:color="3051F2"/>
            </w:tcBorders>
            <w:shd w:val="clear" w:color="auto" w:fill="3051F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9"/>
        </w:trPr>
        <w:tc>
          <w:tcPr>
            <w:tcW w:w="940" w:type="dxa"/>
            <w:vAlign w:val="bottom"/>
          </w:tcPr>
          <w:p>
            <w:pPr>
              <w:spacing w:after="0"/>
              <w:rPr>
                <w:sz w:val="18"/>
                <w:szCs w:val="18"/>
                <w:color w:val="auto"/>
              </w:rPr>
            </w:pPr>
          </w:p>
        </w:tc>
        <w:tc>
          <w:tcPr>
            <w:tcW w:w="6460" w:type="dxa"/>
            <w:vAlign w:val="bottom"/>
            <w:gridSpan w:val="21"/>
          </w:tcPr>
          <w:p>
            <w:pPr>
              <w:spacing w:after="0"/>
              <w:rPr>
                <w:rFonts w:ascii="Arial" w:cs="Arial" w:eastAsia="Arial" w:hAnsi="Arial"/>
                <w:sz w:val="18"/>
                <w:szCs w:val="18"/>
                <w:color w:val="3051F2"/>
              </w:rPr>
            </w:pPr>
            <w:hyperlink w:anchor="page34">
              <w:r>
                <w:rPr>
                  <w:rFonts w:ascii="Arial" w:cs="Arial" w:eastAsia="Arial" w:hAnsi="Arial"/>
                  <w:sz w:val="18"/>
                  <w:szCs w:val="18"/>
                  <w:color w:val="3051F2"/>
                </w:rPr>
                <w:t>Critical Accounting Policies and Estimates</w:t>
              </w:r>
            </w:hyperlink>
          </w:p>
        </w:tc>
        <w:tc>
          <w:tcPr>
            <w:tcW w:w="3600" w:type="dxa"/>
            <w:vAlign w:val="bottom"/>
            <w:gridSpan w:val="3"/>
          </w:tcPr>
          <w:p>
            <w:pPr>
              <w:jc w:val="center"/>
              <w:ind w:left="3199"/>
              <w:spacing w:after="0"/>
              <w:rPr>
                <w:rFonts w:ascii="Arial" w:cs="Arial" w:eastAsia="Arial" w:hAnsi="Arial"/>
                <w:sz w:val="16"/>
                <w:szCs w:val="16"/>
                <w:color w:val="3051F2"/>
                <w:w w:val="89"/>
              </w:rPr>
            </w:pPr>
            <w:hyperlink w:anchor="page34">
              <w:r>
                <w:rPr>
                  <w:rFonts w:ascii="Arial" w:cs="Arial" w:eastAsia="Arial" w:hAnsi="Arial"/>
                  <w:sz w:val="16"/>
                  <w:szCs w:val="16"/>
                  <w:color w:val="3051F2"/>
                  <w:w w:val="89"/>
                </w:rPr>
                <w:t>33</w:t>
              </w:r>
            </w:hyperlink>
          </w:p>
        </w:tc>
      </w:tr>
      <w:tr>
        <w:trPr>
          <w:trHeight w:val="20"/>
        </w:trPr>
        <w:tc>
          <w:tcPr>
            <w:tcW w:w="940" w:type="dxa"/>
            <w:vAlign w:val="bottom"/>
          </w:tcPr>
          <w:p>
            <w:pPr>
              <w:spacing w:after="0" w:line="20" w:lineRule="exact"/>
              <w:rPr>
                <w:sz w:val="1"/>
                <w:szCs w:val="1"/>
                <w:color w:val="auto"/>
              </w:rPr>
            </w:pPr>
          </w:p>
        </w:tc>
        <w:tc>
          <w:tcPr>
            <w:tcW w:w="600" w:type="dxa"/>
            <w:vAlign w:val="bottom"/>
            <w:shd w:val="clear" w:color="auto" w:fill="3051F2"/>
          </w:tcPr>
          <w:p>
            <w:pPr>
              <w:spacing w:after="0" w:line="20" w:lineRule="exact"/>
              <w:rPr>
                <w:sz w:val="1"/>
                <w:szCs w:val="1"/>
                <w:color w:val="auto"/>
              </w:rPr>
            </w:pPr>
          </w:p>
        </w:tc>
        <w:tc>
          <w:tcPr>
            <w:tcW w:w="100" w:type="dxa"/>
            <w:vAlign w:val="bottom"/>
            <w:shd w:val="clear" w:color="auto" w:fill="3051F2"/>
          </w:tcPr>
          <w:p>
            <w:pPr>
              <w:spacing w:after="0" w:line="20" w:lineRule="exact"/>
              <w:rPr>
                <w:sz w:val="1"/>
                <w:szCs w:val="1"/>
                <w:color w:val="auto"/>
              </w:rPr>
            </w:pPr>
          </w:p>
        </w:tc>
        <w:tc>
          <w:tcPr>
            <w:tcW w:w="200" w:type="dxa"/>
            <w:vAlign w:val="bottom"/>
            <w:tcBorders>
              <w:left w:val="single" w:sz="8" w:color="3051F2"/>
            </w:tcBorders>
            <w:shd w:val="clear" w:color="auto" w:fill="3051F2"/>
          </w:tcPr>
          <w:p>
            <w:pPr>
              <w:spacing w:after="0" w:line="20" w:lineRule="exact"/>
              <w:rPr>
                <w:sz w:val="1"/>
                <w:szCs w:val="1"/>
                <w:color w:val="auto"/>
              </w:rPr>
            </w:pPr>
          </w:p>
        </w:tc>
        <w:tc>
          <w:tcPr>
            <w:tcW w:w="420" w:type="dxa"/>
            <w:vAlign w:val="bottom"/>
            <w:shd w:val="clear" w:color="auto" w:fill="3051F2"/>
          </w:tcPr>
          <w:p>
            <w:pPr>
              <w:spacing w:after="0" w:line="20" w:lineRule="exact"/>
              <w:rPr>
                <w:sz w:val="1"/>
                <w:szCs w:val="1"/>
                <w:color w:val="auto"/>
              </w:rPr>
            </w:pPr>
          </w:p>
        </w:tc>
        <w:tc>
          <w:tcPr>
            <w:tcW w:w="240" w:type="dxa"/>
            <w:vAlign w:val="bottom"/>
            <w:tcBorders>
              <w:left w:val="single" w:sz="8" w:color="3051F2"/>
            </w:tcBorders>
            <w:shd w:val="clear" w:color="auto" w:fill="3051F2"/>
          </w:tcPr>
          <w:p>
            <w:pPr>
              <w:spacing w:after="0" w:line="20" w:lineRule="exact"/>
              <w:rPr>
                <w:sz w:val="1"/>
                <w:szCs w:val="1"/>
                <w:color w:val="auto"/>
              </w:rPr>
            </w:pPr>
          </w:p>
        </w:tc>
        <w:tc>
          <w:tcPr>
            <w:tcW w:w="160" w:type="dxa"/>
            <w:vAlign w:val="bottom"/>
            <w:shd w:val="clear" w:color="auto" w:fill="3051F2"/>
          </w:tcPr>
          <w:p>
            <w:pPr>
              <w:spacing w:after="0" w:line="20" w:lineRule="exact"/>
              <w:rPr>
                <w:sz w:val="1"/>
                <w:szCs w:val="1"/>
                <w:color w:val="auto"/>
              </w:rPr>
            </w:pPr>
          </w:p>
        </w:tc>
        <w:tc>
          <w:tcPr>
            <w:tcW w:w="40" w:type="dxa"/>
            <w:vAlign w:val="bottom"/>
            <w:shd w:val="clear" w:color="auto" w:fill="3051F2"/>
          </w:tcPr>
          <w:p>
            <w:pPr>
              <w:spacing w:after="0" w:line="20" w:lineRule="exact"/>
              <w:rPr>
                <w:sz w:val="1"/>
                <w:szCs w:val="1"/>
                <w:color w:val="auto"/>
              </w:rPr>
            </w:pPr>
          </w:p>
        </w:tc>
        <w:tc>
          <w:tcPr>
            <w:tcW w:w="560" w:type="dxa"/>
            <w:vAlign w:val="bottom"/>
            <w:shd w:val="clear" w:color="auto" w:fill="3051F2"/>
          </w:tcPr>
          <w:p>
            <w:pPr>
              <w:spacing w:after="0" w:line="20" w:lineRule="exact"/>
              <w:rPr>
                <w:sz w:val="1"/>
                <w:szCs w:val="1"/>
                <w:color w:val="auto"/>
              </w:rPr>
            </w:pPr>
          </w:p>
        </w:tc>
        <w:tc>
          <w:tcPr>
            <w:tcW w:w="80" w:type="dxa"/>
            <w:vAlign w:val="bottom"/>
            <w:tcBorders>
              <w:left w:val="single" w:sz="8" w:color="3051F2"/>
            </w:tcBorders>
            <w:shd w:val="clear" w:color="auto" w:fill="3051F2"/>
          </w:tcPr>
          <w:p>
            <w:pPr>
              <w:spacing w:after="0" w:line="20" w:lineRule="exact"/>
              <w:rPr>
                <w:sz w:val="1"/>
                <w:szCs w:val="1"/>
                <w:color w:val="auto"/>
              </w:rPr>
            </w:pPr>
          </w:p>
        </w:tc>
        <w:tc>
          <w:tcPr>
            <w:tcW w:w="20" w:type="dxa"/>
            <w:vAlign w:val="bottom"/>
            <w:shd w:val="clear" w:color="auto" w:fill="3051F2"/>
          </w:tcPr>
          <w:p>
            <w:pPr>
              <w:spacing w:after="0" w:line="20" w:lineRule="exact"/>
              <w:rPr>
                <w:sz w:val="1"/>
                <w:szCs w:val="1"/>
                <w:color w:val="auto"/>
              </w:rPr>
            </w:pPr>
          </w:p>
        </w:tc>
        <w:tc>
          <w:tcPr>
            <w:tcW w:w="200" w:type="dxa"/>
            <w:vAlign w:val="bottom"/>
            <w:shd w:val="clear" w:color="auto" w:fill="3051F2"/>
          </w:tcPr>
          <w:p>
            <w:pPr>
              <w:spacing w:after="0" w:line="20" w:lineRule="exact"/>
              <w:rPr>
                <w:sz w:val="1"/>
                <w:szCs w:val="1"/>
                <w:color w:val="auto"/>
              </w:rPr>
            </w:pPr>
          </w:p>
        </w:tc>
        <w:tc>
          <w:tcPr>
            <w:tcW w:w="320" w:type="dxa"/>
            <w:vAlign w:val="bottom"/>
            <w:shd w:val="clear" w:color="auto" w:fill="3051F2"/>
          </w:tcPr>
          <w:p>
            <w:pPr>
              <w:spacing w:after="0" w:line="20" w:lineRule="exact"/>
              <w:rPr>
                <w:sz w:val="1"/>
                <w:szCs w:val="1"/>
                <w:color w:val="auto"/>
              </w:rPr>
            </w:pPr>
          </w:p>
        </w:tc>
        <w:tc>
          <w:tcPr>
            <w:tcW w:w="20" w:type="dxa"/>
            <w:vAlign w:val="bottom"/>
            <w:shd w:val="clear" w:color="auto" w:fill="3051F2"/>
          </w:tcPr>
          <w:p>
            <w:pPr>
              <w:spacing w:after="0" w:line="20" w:lineRule="exact"/>
              <w:rPr>
                <w:sz w:val="1"/>
                <w:szCs w:val="1"/>
                <w:color w:val="auto"/>
              </w:rPr>
            </w:pPr>
          </w:p>
        </w:tc>
        <w:tc>
          <w:tcPr>
            <w:tcW w:w="120" w:type="dxa"/>
            <w:vAlign w:val="bottom"/>
            <w:shd w:val="clear" w:color="auto" w:fill="3051F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0" w:type="dxa"/>
            <w:vAlign w:val="bottom"/>
            <w:tcBorders>
              <w:right w:val="single" w:sz="8" w:color="3051F2"/>
            </w:tcBorders>
          </w:tcPr>
          <w:p>
            <w:pPr>
              <w:spacing w:after="0" w:line="20" w:lineRule="exact"/>
              <w:rPr>
                <w:sz w:val="1"/>
                <w:szCs w:val="1"/>
                <w:color w:val="auto"/>
              </w:rPr>
            </w:pPr>
          </w:p>
        </w:tc>
        <w:tc>
          <w:tcPr>
            <w:tcW w:w="120" w:type="dxa"/>
            <w:vAlign w:val="bottom"/>
            <w:tcBorders>
              <w:right w:val="single" w:sz="8" w:color="3051F2"/>
            </w:tcBorders>
            <w:shd w:val="clear" w:color="auto" w:fill="3051F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9"/>
        </w:trPr>
        <w:tc>
          <w:tcPr>
            <w:tcW w:w="940" w:type="dxa"/>
            <w:vAlign w:val="bottom"/>
          </w:tcPr>
          <w:p>
            <w:pPr>
              <w:spacing w:after="0"/>
              <w:rPr>
                <w:sz w:val="18"/>
                <w:szCs w:val="18"/>
                <w:color w:val="auto"/>
              </w:rPr>
            </w:pPr>
          </w:p>
        </w:tc>
        <w:tc>
          <w:tcPr>
            <w:tcW w:w="3080" w:type="dxa"/>
            <w:vAlign w:val="bottom"/>
            <w:gridSpan w:val="14"/>
          </w:tcPr>
          <w:p>
            <w:pPr>
              <w:spacing w:after="0"/>
              <w:rPr>
                <w:rFonts w:ascii="Arial" w:cs="Arial" w:eastAsia="Arial" w:hAnsi="Arial"/>
                <w:sz w:val="18"/>
                <w:szCs w:val="18"/>
                <w:color w:val="3051F2"/>
              </w:rPr>
            </w:pPr>
            <w:hyperlink w:anchor="page34">
              <w:r>
                <w:rPr>
                  <w:rFonts w:ascii="Arial" w:cs="Arial" w:eastAsia="Arial" w:hAnsi="Arial"/>
                  <w:sz w:val="18"/>
                  <w:szCs w:val="18"/>
                  <w:color w:val="3051F2"/>
                </w:rPr>
                <w:t>Recent Accounting Pronouncements</w:t>
              </w:r>
            </w:hyperlink>
          </w:p>
        </w:tc>
        <w:tc>
          <w:tcPr>
            <w:tcW w:w="3380" w:type="dxa"/>
            <w:vAlign w:val="bottom"/>
            <w:gridSpan w:val="7"/>
          </w:tcPr>
          <w:p>
            <w:pPr>
              <w:spacing w:after="0"/>
              <w:rPr>
                <w:sz w:val="18"/>
                <w:szCs w:val="18"/>
                <w:color w:val="auto"/>
              </w:rPr>
            </w:pPr>
          </w:p>
        </w:tc>
        <w:tc>
          <w:tcPr>
            <w:tcW w:w="3400" w:type="dxa"/>
            <w:vAlign w:val="bottom"/>
          </w:tcPr>
          <w:p>
            <w:pPr>
              <w:spacing w:after="0"/>
              <w:rPr>
                <w:sz w:val="18"/>
                <w:szCs w:val="18"/>
                <w:color w:val="auto"/>
              </w:rPr>
            </w:pPr>
          </w:p>
        </w:tc>
        <w:tc>
          <w:tcPr>
            <w:tcW w:w="200" w:type="dxa"/>
            <w:vAlign w:val="bottom"/>
            <w:gridSpan w:val="2"/>
          </w:tcPr>
          <w:p>
            <w:pPr>
              <w:jc w:val="center"/>
              <w:ind w:right="80"/>
              <w:spacing w:after="0"/>
              <w:rPr>
                <w:rFonts w:ascii="Arial" w:cs="Arial" w:eastAsia="Arial" w:hAnsi="Arial"/>
                <w:sz w:val="15"/>
                <w:szCs w:val="15"/>
                <w:color w:val="3051F2"/>
                <w:w w:val="71"/>
              </w:rPr>
            </w:pPr>
            <w:hyperlink w:anchor="page34">
              <w:r>
                <w:rPr>
                  <w:rFonts w:ascii="Arial" w:cs="Arial" w:eastAsia="Arial" w:hAnsi="Arial"/>
                  <w:sz w:val="15"/>
                  <w:szCs w:val="15"/>
                  <w:color w:val="3051F2"/>
                  <w:w w:val="71"/>
                </w:rPr>
                <w:t>33</w:t>
              </w:r>
            </w:hyperlink>
          </w:p>
        </w:tc>
      </w:tr>
      <w:tr>
        <w:trPr>
          <w:trHeight w:val="20"/>
        </w:trPr>
        <w:tc>
          <w:tcPr>
            <w:tcW w:w="940" w:type="dxa"/>
            <w:vAlign w:val="bottom"/>
          </w:tcPr>
          <w:p>
            <w:pPr>
              <w:spacing w:after="0" w:line="20" w:lineRule="exact"/>
              <w:rPr>
                <w:sz w:val="1"/>
                <w:szCs w:val="1"/>
                <w:color w:val="auto"/>
              </w:rPr>
            </w:pPr>
          </w:p>
        </w:tc>
        <w:tc>
          <w:tcPr>
            <w:tcW w:w="600" w:type="dxa"/>
            <w:vAlign w:val="bottom"/>
            <w:shd w:val="clear" w:color="auto" w:fill="3051F2"/>
          </w:tcPr>
          <w:p>
            <w:pPr>
              <w:spacing w:after="0" w:line="20" w:lineRule="exact"/>
              <w:rPr>
                <w:sz w:val="1"/>
                <w:szCs w:val="1"/>
                <w:color w:val="auto"/>
              </w:rPr>
            </w:pPr>
          </w:p>
        </w:tc>
        <w:tc>
          <w:tcPr>
            <w:tcW w:w="100" w:type="dxa"/>
            <w:vAlign w:val="bottom"/>
            <w:shd w:val="clear" w:color="auto" w:fill="3051F2"/>
          </w:tcPr>
          <w:p>
            <w:pPr>
              <w:spacing w:after="0" w:line="20" w:lineRule="exact"/>
              <w:rPr>
                <w:sz w:val="1"/>
                <w:szCs w:val="1"/>
                <w:color w:val="auto"/>
              </w:rPr>
            </w:pPr>
          </w:p>
        </w:tc>
        <w:tc>
          <w:tcPr>
            <w:tcW w:w="200" w:type="dxa"/>
            <w:vAlign w:val="bottom"/>
            <w:tcBorders>
              <w:left w:val="single" w:sz="8" w:color="3051F2"/>
            </w:tcBorders>
            <w:shd w:val="clear" w:color="auto" w:fill="3051F2"/>
          </w:tcPr>
          <w:p>
            <w:pPr>
              <w:spacing w:after="0" w:line="20" w:lineRule="exact"/>
              <w:rPr>
                <w:sz w:val="1"/>
                <w:szCs w:val="1"/>
                <w:color w:val="auto"/>
              </w:rPr>
            </w:pPr>
          </w:p>
        </w:tc>
        <w:tc>
          <w:tcPr>
            <w:tcW w:w="420" w:type="dxa"/>
            <w:vAlign w:val="bottom"/>
            <w:shd w:val="clear" w:color="auto" w:fill="3051F2"/>
          </w:tcPr>
          <w:p>
            <w:pPr>
              <w:spacing w:after="0" w:line="20" w:lineRule="exact"/>
              <w:rPr>
                <w:sz w:val="1"/>
                <w:szCs w:val="1"/>
                <w:color w:val="auto"/>
              </w:rPr>
            </w:pPr>
          </w:p>
        </w:tc>
        <w:tc>
          <w:tcPr>
            <w:tcW w:w="440" w:type="dxa"/>
            <w:vAlign w:val="bottom"/>
            <w:tcBorders>
              <w:left w:val="single" w:sz="8" w:color="3051F2"/>
            </w:tcBorders>
            <w:gridSpan w:val="3"/>
            <w:shd w:val="clear" w:color="auto" w:fill="3051F2"/>
          </w:tcPr>
          <w:p>
            <w:pPr>
              <w:spacing w:after="0" w:line="20" w:lineRule="exact"/>
              <w:rPr>
                <w:sz w:val="1"/>
                <w:szCs w:val="1"/>
                <w:color w:val="auto"/>
              </w:rPr>
            </w:pPr>
          </w:p>
        </w:tc>
        <w:tc>
          <w:tcPr>
            <w:tcW w:w="560" w:type="dxa"/>
            <w:vAlign w:val="bottom"/>
            <w:shd w:val="clear" w:color="auto" w:fill="3051F2"/>
          </w:tcPr>
          <w:p>
            <w:pPr>
              <w:spacing w:after="0" w:line="20" w:lineRule="exact"/>
              <w:rPr>
                <w:sz w:val="1"/>
                <w:szCs w:val="1"/>
                <w:color w:val="auto"/>
              </w:rPr>
            </w:pPr>
          </w:p>
        </w:tc>
        <w:tc>
          <w:tcPr>
            <w:tcW w:w="300" w:type="dxa"/>
            <w:vAlign w:val="bottom"/>
            <w:tcBorders>
              <w:left w:val="single" w:sz="8" w:color="3051F2"/>
            </w:tcBorders>
            <w:gridSpan w:val="3"/>
            <w:shd w:val="clear" w:color="auto" w:fill="3051F2"/>
          </w:tcPr>
          <w:p>
            <w:pPr>
              <w:spacing w:after="0" w:line="20" w:lineRule="exact"/>
              <w:rPr>
                <w:sz w:val="1"/>
                <w:szCs w:val="1"/>
                <w:color w:val="auto"/>
              </w:rPr>
            </w:pPr>
          </w:p>
        </w:tc>
        <w:tc>
          <w:tcPr>
            <w:tcW w:w="1620" w:type="dxa"/>
            <w:vAlign w:val="bottom"/>
            <w:gridSpan w:val="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3400" w:type="dxa"/>
            <w:vAlign w:val="bottom"/>
            <w:tcBorders>
              <w:right w:val="single" w:sz="8" w:color="3051F2"/>
            </w:tcBorders>
          </w:tcPr>
          <w:p>
            <w:pPr>
              <w:spacing w:after="0" w:line="20" w:lineRule="exact"/>
              <w:rPr>
                <w:sz w:val="1"/>
                <w:szCs w:val="1"/>
                <w:color w:val="auto"/>
              </w:rPr>
            </w:pPr>
          </w:p>
        </w:tc>
        <w:tc>
          <w:tcPr>
            <w:tcW w:w="120" w:type="dxa"/>
            <w:vAlign w:val="bottom"/>
            <w:tcBorders>
              <w:right w:val="single" w:sz="8" w:color="3051F2"/>
            </w:tcBorders>
            <w:shd w:val="clear" w:color="auto" w:fill="3051F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9"/>
        </w:trPr>
        <w:tc>
          <w:tcPr>
            <w:tcW w:w="940" w:type="dxa"/>
            <w:vAlign w:val="bottom"/>
          </w:tcPr>
          <w:p>
            <w:pPr>
              <w:spacing w:after="0"/>
              <w:rPr>
                <w:rFonts w:ascii="Arial" w:cs="Arial" w:eastAsia="Arial" w:hAnsi="Arial"/>
                <w:sz w:val="18"/>
                <w:szCs w:val="18"/>
                <w:color w:val="auto"/>
              </w:rPr>
            </w:pPr>
            <w:hyperlink w:anchor="page34">
              <w:r>
                <w:rPr>
                  <w:rFonts w:ascii="Arial" w:cs="Arial" w:eastAsia="Arial" w:hAnsi="Arial"/>
                  <w:sz w:val="18"/>
                  <w:szCs w:val="18"/>
                  <w:color w:val="auto"/>
                </w:rPr>
                <w:t xml:space="preserve">Item </w:t>
              </w:r>
            </w:hyperlink>
            <w:r>
              <w:rPr>
                <w:rFonts w:ascii="Arial" w:cs="Arial" w:eastAsia="Arial" w:hAnsi="Arial"/>
                <w:sz w:val="18"/>
                <w:szCs w:val="18"/>
                <w:color w:val="auto"/>
              </w:rPr>
              <w:t>3.</w:t>
            </w:r>
          </w:p>
        </w:tc>
        <w:tc>
          <w:tcPr>
            <w:tcW w:w="4240" w:type="dxa"/>
            <w:vAlign w:val="bottom"/>
            <w:gridSpan w:val="17"/>
          </w:tcPr>
          <w:p>
            <w:pPr>
              <w:spacing w:after="0"/>
              <w:rPr>
                <w:rFonts w:ascii="Arial" w:cs="Arial" w:eastAsia="Arial" w:hAnsi="Arial"/>
                <w:sz w:val="18"/>
                <w:szCs w:val="18"/>
                <w:color w:val="3051F2"/>
                <w:w w:val="91"/>
              </w:rPr>
            </w:pPr>
            <w:hyperlink w:anchor="page34">
              <w:r>
                <w:rPr>
                  <w:rFonts w:ascii="Arial" w:cs="Arial" w:eastAsia="Arial" w:hAnsi="Arial"/>
                  <w:sz w:val="18"/>
                  <w:szCs w:val="18"/>
                  <w:color w:val="3051F2"/>
                  <w:w w:val="91"/>
                </w:rPr>
                <w:t>Quantitative and Qualitative Disclosure about Market Risk</w:t>
              </w:r>
            </w:hyperlink>
          </w:p>
        </w:tc>
        <w:tc>
          <w:tcPr>
            <w:tcW w:w="2220" w:type="dxa"/>
            <w:vAlign w:val="bottom"/>
            <w:gridSpan w:val="4"/>
          </w:tcPr>
          <w:p>
            <w:pPr>
              <w:spacing w:after="0"/>
              <w:rPr>
                <w:sz w:val="18"/>
                <w:szCs w:val="18"/>
                <w:color w:val="auto"/>
              </w:rPr>
            </w:pPr>
          </w:p>
        </w:tc>
        <w:tc>
          <w:tcPr>
            <w:tcW w:w="3400" w:type="dxa"/>
            <w:vAlign w:val="bottom"/>
          </w:tcPr>
          <w:p>
            <w:pPr>
              <w:spacing w:after="0"/>
              <w:rPr>
                <w:sz w:val="18"/>
                <w:szCs w:val="18"/>
                <w:color w:val="auto"/>
              </w:rPr>
            </w:pPr>
          </w:p>
        </w:tc>
        <w:tc>
          <w:tcPr>
            <w:tcW w:w="200" w:type="dxa"/>
            <w:vAlign w:val="bottom"/>
            <w:gridSpan w:val="2"/>
          </w:tcPr>
          <w:p>
            <w:pPr>
              <w:jc w:val="center"/>
              <w:ind w:right="80"/>
              <w:spacing w:after="0"/>
              <w:rPr>
                <w:rFonts w:ascii="Arial" w:cs="Arial" w:eastAsia="Arial" w:hAnsi="Arial"/>
                <w:sz w:val="15"/>
                <w:szCs w:val="15"/>
                <w:color w:val="3051F2"/>
                <w:w w:val="71"/>
              </w:rPr>
            </w:pPr>
            <w:hyperlink w:anchor="page34">
              <w:r>
                <w:rPr>
                  <w:rFonts w:ascii="Arial" w:cs="Arial" w:eastAsia="Arial" w:hAnsi="Arial"/>
                  <w:sz w:val="15"/>
                  <w:szCs w:val="15"/>
                  <w:color w:val="3051F2"/>
                  <w:w w:val="71"/>
                </w:rPr>
                <w:t>33</w:t>
              </w:r>
            </w:hyperlink>
          </w:p>
        </w:tc>
      </w:tr>
      <w:tr>
        <w:trPr>
          <w:trHeight w:val="20"/>
        </w:trPr>
        <w:tc>
          <w:tcPr>
            <w:tcW w:w="940" w:type="dxa"/>
            <w:vAlign w:val="bottom"/>
          </w:tcPr>
          <w:p>
            <w:pPr>
              <w:spacing w:after="0" w:line="20" w:lineRule="exact"/>
              <w:rPr>
                <w:sz w:val="1"/>
                <w:szCs w:val="1"/>
                <w:color w:val="auto"/>
              </w:rPr>
            </w:pPr>
          </w:p>
        </w:tc>
        <w:tc>
          <w:tcPr>
            <w:tcW w:w="600" w:type="dxa"/>
            <w:vAlign w:val="bottom"/>
            <w:shd w:val="clear" w:color="auto" w:fill="3051F2"/>
          </w:tcPr>
          <w:p>
            <w:pPr>
              <w:spacing w:after="0" w:line="20" w:lineRule="exact"/>
              <w:rPr>
                <w:sz w:val="1"/>
                <w:szCs w:val="1"/>
                <w:color w:val="auto"/>
              </w:rPr>
            </w:pPr>
          </w:p>
        </w:tc>
        <w:tc>
          <w:tcPr>
            <w:tcW w:w="100" w:type="dxa"/>
            <w:vAlign w:val="bottom"/>
            <w:shd w:val="clear" w:color="auto" w:fill="3051F2"/>
          </w:tcPr>
          <w:p>
            <w:pPr>
              <w:spacing w:after="0" w:line="20" w:lineRule="exact"/>
              <w:rPr>
                <w:sz w:val="1"/>
                <w:szCs w:val="1"/>
                <w:color w:val="auto"/>
              </w:rPr>
            </w:pPr>
          </w:p>
        </w:tc>
        <w:tc>
          <w:tcPr>
            <w:tcW w:w="200" w:type="dxa"/>
            <w:vAlign w:val="bottom"/>
            <w:tcBorders>
              <w:left w:val="single" w:sz="8" w:color="3051F2"/>
            </w:tcBorders>
            <w:shd w:val="clear" w:color="auto" w:fill="3051F2"/>
          </w:tcPr>
          <w:p>
            <w:pPr>
              <w:spacing w:after="0" w:line="20" w:lineRule="exact"/>
              <w:rPr>
                <w:sz w:val="1"/>
                <w:szCs w:val="1"/>
                <w:color w:val="auto"/>
              </w:rPr>
            </w:pPr>
          </w:p>
        </w:tc>
        <w:tc>
          <w:tcPr>
            <w:tcW w:w="420" w:type="dxa"/>
            <w:vAlign w:val="bottom"/>
            <w:shd w:val="clear" w:color="auto" w:fill="3051F2"/>
          </w:tcPr>
          <w:p>
            <w:pPr>
              <w:spacing w:after="0" w:line="20" w:lineRule="exact"/>
              <w:rPr>
                <w:sz w:val="1"/>
                <w:szCs w:val="1"/>
                <w:color w:val="auto"/>
              </w:rPr>
            </w:pPr>
          </w:p>
        </w:tc>
        <w:tc>
          <w:tcPr>
            <w:tcW w:w="240" w:type="dxa"/>
            <w:vAlign w:val="bottom"/>
            <w:tcBorders>
              <w:left w:val="single" w:sz="8" w:color="3051F2"/>
            </w:tcBorders>
            <w:shd w:val="clear" w:color="auto" w:fill="3051F2"/>
          </w:tcPr>
          <w:p>
            <w:pPr>
              <w:spacing w:after="0" w:line="20" w:lineRule="exact"/>
              <w:rPr>
                <w:sz w:val="1"/>
                <w:szCs w:val="1"/>
                <w:color w:val="auto"/>
              </w:rPr>
            </w:pPr>
          </w:p>
        </w:tc>
        <w:tc>
          <w:tcPr>
            <w:tcW w:w="160" w:type="dxa"/>
            <w:vAlign w:val="bottom"/>
            <w:shd w:val="clear" w:color="auto" w:fill="3051F2"/>
          </w:tcPr>
          <w:p>
            <w:pPr>
              <w:spacing w:after="0" w:line="20" w:lineRule="exact"/>
              <w:rPr>
                <w:sz w:val="1"/>
                <w:szCs w:val="1"/>
                <w:color w:val="auto"/>
              </w:rPr>
            </w:pPr>
          </w:p>
        </w:tc>
        <w:tc>
          <w:tcPr>
            <w:tcW w:w="40" w:type="dxa"/>
            <w:vAlign w:val="bottom"/>
            <w:shd w:val="clear" w:color="auto" w:fill="3051F2"/>
          </w:tcPr>
          <w:p>
            <w:pPr>
              <w:spacing w:after="0" w:line="20" w:lineRule="exact"/>
              <w:rPr>
                <w:sz w:val="1"/>
                <w:szCs w:val="1"/>
                <w:color w:val="auto"/>
              </w:rPr>
            </w:pPr>
          </w:p>
        </w:tc>
        <w:tc>
          <w:tcPr>
            <w:tcW w:w="560" w:type="dxa"/>
            <w:vAlign w:val="bottom"/>
            <w:shd w:val="clear" w:color="auto" w:fill="3051F2"/>
          </w:tcPr>
          <w:p>
            <w:pPr>
              <w:spacing w:after="0" w:line="20" w:lineRule="exact"/>
              <w:rPr>
                <w:sz w:val="1"/>
                <w:szCs w:val="1"/>
                <w:color w:val="auto"/>
              </w:rPr>
            </w:pPr>
          </w:p>
        </w:tc>
        <w:tc>
          <w:tcPr>
            <w:tcW w:w="80" w:type="dxa"/>
            <w:vAlign w:val="bottom"/>
            <w:tcBorders>
              <w:left w:val="single" w:sz="8" w:color="3051F2"/>
            </w:tcBorders>
            <w:shd w:val="clear" w:color="auto" w:fill="3051F2"/>
          </w:tcPr>
          <w:p>
            <w:pPr>
              <w:spacing w:after="0" w:line="20" w:lineRule="exact"/>
              <w:rPr>
                <w:sz w:val="1"/>
                <w:szCs w:val="1"/>
                <w:color w:val="auto"/>
              </w:rPr>
            </w:pPr>
          </w:p>
        </w:tc>
        <w:tc>
          <w:tcPr>
            <w:tcW w:w="20" w:type="dxa"/>
            <w:vAlign w:val="bottom"/>
            <w:shd w:val="clear" w:color="auto" w:fill="3051F2"/>
          </w:tcPr>
          <w:p>
            <w:pPr>
              <w:spacing w:after="0" w:line="20" w:lineRule="exact"/>
              <w:rPr>
                <w:sz w:val="1"/>
                <w:szCs w:val="1"/>
                <w:color w:val="auto"/>
              </w:rPr>
            </w:pPr>
          </w:p>
        </w:tc>
        <w:tc>
          <w:tcPr>
            <w:tcW w:w="200" w:type="dxa"/>
            <w:vAlign w:val="bottom"/>
            <w:shd w:val="clear" w:color="auto" w:fill="3051F2"/>
          </w:tcPr>
          <w:p>
            <w:pPr>
              <w:spacing w:after="0" w:line="20" w:lineRule="exact"/>
              <w:rPr>
                <w:sz w:val="1"/>
                <w:szCs w:val="1"/>
                <w:color w:val="auto"/>
              </w:rPr>
            </w:pPr>
          </w:p>
        </w:tc>
        <w:tc>
          <w:tcPr>
            <w:tcW w:w="320" w:type="dxa"/>
            <w:vAlign w:val="bottom"/>
            <w:shd w:val="clear" w:color="auto" w:fill="3051F2"/>
          </w:tcPr>
          <w:p>
            <w:pPr>
              <w:spacing w:after="0" w:line="20" w:lineRule="exact"/>
              <w:rPr>
                <w:sz w:val="1"/>
                <w:szCs w:val="1"/>
                <w:color w:val="auto"/>
              </w:rPr>
            </w:pPr>
          </w:p>
        </w:tc>
        <w:tc>
          <w:tcPr>
            <w:tcW w:w="20" w:type="dxa"/>
            <w:vAlign w:val="bottom"/>
            <w:shd w:val="clear" w:color="auto" w:fill="3051F2"/>
          </w:tcPr>
          <w:p>
            <w:pPr>
              <w:spacing w:after="0" w:line="20" w:lineRule="exact"/>
              <w:rPr>
                <w:sz w:val="1"/>
                <w:szCs w:val="1"/>
                <w:color w:val="auto"/>
              </w:rPr>
            </w:pPr>
          </w:p>
        </w:tc>
        <w:tc>
          <w:tcPr>
            <w:tcW w:w="120" w:type="dxa"/>
            <w:vAlign w:val="bottom"/>
            <w:shd w:val="clear" w:color="auto" w:fill="3051F2"/>
          </w:tcPr>
          <w:p>
            <w:pPr>
              <w:spacing w:after="0" w:line="20" w:lineRule="exact"/>
              <w:rPr>
                <w:sz w:val="1"/>
                <w:szCs w:val="1"/>
                <w:color w:val="auto"/>
              </w:rPr>
            </w:pPr>
          </w:p>
        </w:tc>
        <w:tc>
          <w:tcPr>
            <w:tcW w:w="640" w:type="dxa"/>
            <w:vAlign w:val="bottom"/>
            <w:shd w:val="clear" w:color="auto" w:fill="3051F2"/>
          </w:tcPr>
          <w:p>
            <w:pPr>
              <w:spacing w:after="0" w:line="20" w:lineRule="exact"/>
              <w:rPr>
                <w:sz w:val="1"/>
                <w:szCs w:val="1"/>
                <w:color w:val="auto"/>
              </w:rPr>
            </w:pPr>
          </w:p>
        </w:tc>
        <w:tc>
          <w:tcPr>
            <w:tcW w:w="280" w:type="dxa"/>
            <w:vAlign w:val="bottom"/>
            <w:shd w:val="clear" w:color="auto" w:fill="3051F2"/>
          </w:tcPr>
          <w:p>
            <w:pPr>
              <w:spacing w:after="0" w:line="20" w:lineRule="exact"/>
              <w:rPr>
                <w:sz w:val="1"/>
                <w:szCs w:val="1"/>
                <w:color w:val="auto"/>
              </w:rPr>
            </w:pPr>
          </w:p>
        </w:tc>
        <w:tc>
          <w:tcPr>
            <w:tcW w:w="240" w:type="dxa"/>
            <w:vAlign w:val="bottom"/>
            <w:shd w:val="clear" w:color="auto" w:fill="3051F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0" w:type="dxa"/>
            <w:vAlign w:val="bottom"/>
            <w:tcBorders>
              <w:right w:val="single" w:sz="8" w:color="3051F2"/>
            </w:tcBorders>
          </w:tcPr>
          <w:p>
            <w:pPr>
              <w:spacing w:after="0" w:line="20" w:lineRule="exact"/>
              <w:rPr>
                <w:sz w:val="1"/>
                <w:szCs w:val="1"/>
                <w:color w:val="auto"/>
              </w:rPr>
            </w:pPr>
          </w:p>
        </w:tc>
        <w:tc>
          <w:tcPr>
            <w:tcW w:w="120" w:type="dxa"/>
            <w:vAlign w:val="bottom"/>
            <w:tcBorders>
              <w:right w:val="single" w:sz="8" w:color="3051F2"/>
            </w:tcBorders>
            <w:shd w:val="clear" w:color="auto" w:fill="3051F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940" w:type="dxa"/>
            <w:vAlign w:val="bottom"/>
          </w:tcPr>
          <w:p>
            <w:pPr>
              <w:spacing w:after="0"/>
              <w:rPr>
                <w:rFonts w:ascii="Arial" w:cs="Arial" w:eastAsia="Arial" w:hAnsi="Arial"/>
                <w:sz w:val="18"/>
                <w:szCs w:val="18"/>
                <w:color w:val="auto"/>
              </w:rPr>
            </w:pPr>
            <w:hyperlink w:anchor="page34">
              <w:r>
                <w:rPr>
                  <w:rFonts w:ascii="Arial" w:cs="Arial" w:eastAsia="Arial" w:hAnsi="Arial"/>
                  <w:sz w:val="18"/>
                  <w:szCs w:val="18"/>
                  <w:color w:val="auto"/>
                </w:rPr>
                <w:t xml:space="preserve">Item </w:t>
              </w:r>
            </w:hyperlink>
            <w:r>
              <w:rPr>
                <w:rFonts w:ascii="Arial" w:cs="Arial" w:eastAsia="Arial" w:hAnsi="Arial"/>
                <w:sz w:val="18"/>
                <w:szCs w:val="18"/>
                <w:color w:val="auto"/>
              </w:rPr>
              <w:t>4.</w:t>
            </w:r>
          </w:p>
        </w:tc>
        <w:tc>
          <w:tcPr>
            <w:tcW w:w="4240" w:type="dxa"/>
            <w:vAlign w:val="bottom"/>
            <w:gridSpan w:val="17"/>
          </w:tcPr>
          <w:p>
            <w:pPr>
              <w:spacing w:after="0"/>
              <w:rPr>
                <w:rFonts w:ascii="Arial" w:cs="Arial" w:eastAsia="Arial" w:hAnsi="Arial"/>
                <w:sz w:val="18"/>
                <w:szCs w:val="18"/>
                <w:color w:val="3051F2"/>
              </w:rPr>
            </w:pPr>
            <w:hyperlink w:anchor="page34">
              <w:r>
                <w:rPr>
                  <w:rFonts w:ascii="Arial" w:cs="Arial" w:eastAsia="Arial" w:hAnsi="Arial"/>
                  <w:sz w:val="18"/>
                  <w:szCs w:val="18"/>
                  <w:color w:val="3051F2"/>
                </w:rPr>
                <w:t>Controls and Procedures</w:t>
              </w:r>
            </w:hyperlink>
          </w:p>
        </w:tc>
        <w:tc>
          <w:tcPr>
            <w:tcW w:w="2220" w:type="dxa"/>
            <w:vAlign w:val="bottom"/>
            <w:gridSpan w:val="4"/>
          </w:tcPr>
          <w:p>
            <w:pPr>
              <w:spacing w:after="0"/>
              <w:rPr>
                <w:sz w:val="18"/>
                <w:szCs w:val="18"/>
                <w:color w:val="auto"/>
              </w:rPr>
            </w:pPr>
          </w:p>
        </w:tc>
        <w:tc>
          <w:tcPr>
            <w:tcW w:w="3400" w:type="dxa"/>
            <w:vAlign w:val="bottom"/>
          </w:tcPr>
          <w:p>
            <w:pPr>
              <w:spacing w:after="0"/>
              <w:rPr>
                <w:sz w:val="18"/>
                <w:szCs w:val="18"/>
                <w:color w:val="auto"/>
              </w:rPr>
            </w:pPr>
          </w:p>
        </w:tc>
        <w:tc>
          <w:tcPr>
            <w:tcW w:w="200" w:type="dxa"/>
            <w:vAlign w:val="bottom"/>
            <w:gridSpan w:val="2"/>
          </w:tcPr>
          <w:p>
            <w:pPr>
              <w:jc w:val="center"/>
              <w:ind w:right="80"/>
              <w:spacing w:after="0"/>
              <w:rPr>
                <w:rFonts w:ascii="Arial" w:cs="Arial" w:eastAsia="Arial" w:hAnsi="Arial"/>
                <w:sz w:val="15"/>
                <w:szCs w:val="15"/>
                <w:color w:val="3051F2"/>
                <w:w w:val="71"/>
              </w:rPr>
            </w:pPr>
            <w:hyperlink w:anchor="page34">
              <w:r>
                <w:rPr>
                  <w:rFonts w:ascii="Arial" w:cs="Arial" w:eastAsia="Arial" w:hAnsi="Arial"/>
                  <w:sz w:val="15"/>
                  <w:szCs w:val="15"/>
                  <w:color w:val="3051F2"/>
                  <w:w w:val="71"/>
                </w:rPr>
                <w:t>34</w:t>
              </w:r>
            </w:hyperlink>
          </w:p>
        </w:tc>
      </w:tr>
      <w:tr>
        <w:trPr>
          <w:trHeight w:val="520"/>
        </w:trPr>
        <w:tc>
          <w:tcPr>
            <w:tcW w:w="940" w:type="dxa"/>
            <w:vAlign w:val="bottom"/>
          </w:tcPr>
          <w:p>
            <w:pPr>
              <w:spacing w:after="0"/>
              <w:rPr>
                <w:sz w:val="24"/>
                <w:szCs w:val="24"/>
                <w:color w:val="auto"/>
              </w:rPr>
            </w:pPr>
          </w:p>
        </w:tc>
        <w:tc>
          <w:tcPr>
            <w:tcW w:w="600" w:type="dxa"/>
            <w:vAlign w:val="bottom"/>
            <w:tcBorders>
              <w:top w:val="single" w:sz="8" w:color="3051F2"/>
            </w:tcBorders>
          </w:tcPr>
          <w:p>
            <w:pPr>
              <w:spacing w:after="0"/>
              <w:rPr>
                <w:sz w:val="24"/>
                <w:szCs w:val="24"/>
                <w:color w:val="auto"/>
              </w:rPr>
            </w:pPr>
          </w:p>
        </w:tc>
        <w:tc>
          <w:tcPr>
            <w:tcW w:w="100" w:type="dxa"/>
            <w:vAlign w:val="bottom"/>
            <w:tcBorders>
              <w:top w:val="single" w:sz="8" w:color="3051F2"/>
            </w:tcBorders>
          </w:tcPr>
          <w:p>
            <w:pPr>
              <w:spacing w:after="0"/>
              <w:rPr>
                <w:sz w:val="24"/>
                <w:szCs w:val="24"/>
                <w:color w:val="auto"/>
              </w:rPr>
            </w:pPr>
          </w:p>
        </w:tc>
        <w:tc>
          <w:tcPr>
            <w:tcW w:w="200" w:type="dxa"/>
            <w:vAlign w:val="bottom"/>
            <w:tcBorders>
              <w:top w:val="single" w:sz="8" w:color="3051F2"/>
            </w:tcBorders>
          </w:tcPr>
          <w:p>
            <w:pPr>
              <w:spacing w:after="0"/>
              <w:rPr>
                <w:sz w:val="24"/>
                <w:szCs w:val="24"/>
                <w:color w:val="auto"/>
              </w:rPr>
            </w:pPr>
          </w:p>
        </w:tc>
        <w:tc>
          <w:tcPr>
            <w:tcW w:w="420" w:type="dxa"/>
            <w:vAlign w:val="bottom"/>
            <w:tcBorders>
              <w:top w:val="single" w:sz="8" w:color="3051F2"/>
            </w:tcBorders>
          </w:tcPr>
          <w:p>
            <w:pPr>
              <w:spacing w:after="0"/>
              <w:rPr>
                <w:sz w:val="24"/>
                <w:szCs w:val="24"/>
                <w:color w:val="auto"/>
              </w:rPr>
            </w:pPr>
          </w:p>
        </w:tc>
        <w:tc>
          <w:tcPr>
            <w:tcW w:w="240" w:type="dxa"/>
            <w:vAlign w:val="bottom"/>
            <w:tcBorders>
              <w:top w:val="single" w:sz="8" w:color="3051F2"/>
            </w:tcBorders>
          </w:tcPr>
          <w:p>
            <w:pPr>
              <w:spacing w:after="0"/>
              <w:rPr>
                <w:sz w:val="24"/>
                <w:szCs w:val="24"/>
                <w:color w:val="auto"/>
              </w:rPr>
            </w:pPr>
          </w:p>
        </w:tc>
        <w:tc>
          <w:tcPr>
            <w:tcW w:w="160" w:type="dxa"/>
            <w:vAlign w:val="bottom"/>
            <w:tcBorders>
              <w:top w:val="single" w:sz="8" w:color="3051F2"/>
            </w:tcBorders>
          </w:tcPr>
          <w:p>
            <w:pPr>
              <w:spacing w:after="0"/>
              <w:rPr>
                <w:sz w:val="24"/>
                <w:szCs w:val="24"/>
                <w:color w:val="auto"/>
              </w:rPr>
            </w:pPr>
          </w:p>
        </w:tc>
        <w:tc>
          <w:tcPr>
            <w:tcW w:w="40" w:type="dxa"/>
            <w:vAlign w:val="bottom"/>
            <w:tcBorders>
              <w:top w:val="single" w:sz="8" w:color="3051F2"/>
            </w:tcBorders>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380" w:type="dxa"/>
            <w:vAlign w:val="bottom"/>
            <w:gridSpan w:val="7"/>
          </w:tcPr>
          <w:p>
            <w:pPr>
              <w:jc w:val="center"/>
              <w:ind w:right="40"/>
              <w:spacing w:after="0"/>
              <w:rPr>
                <w:rFonts w:ascii="Arial" w:cs="Arial" w:eastAsia="Arial" w:hAnsi="Arial"/>
                <w:sz w:val="18"/>
                <w:szCs w:val="18"/>
                <w:b w:val="1"/>
                <w:bCs w:val="1"/>
                <w:color w:val="auto"/>
              </w:rPr>
            </w:pPr>
            <w:hyperlink w:anchor="page35">
              <w:r>
                <w:rPr>
                  <w:rFonts w:ascii="Arial" w:cs="Arial" w:eastAsia="Arial" w:hAnsi="Arial"/>
                  <w:sz w:val="18"/>
                  <w:szCs w:val="18"/>
                  <w:b w:val="1"/>
                  <w:bCs w:val="1"/>
                  <w:color w:val="auto"/>
                </w:rPr>
                <w:t>PART II. OTHER INFORMATION</w:t>
              </w:r>
            </w:hyperlink>
          </w:p>
        </w:tc>
        <w:tc>
          <w:tcPr>
            <w:tcW w:w="3400" w:type="dxa"/>
            <w:vAlign w:val="bottom"/>
          </w:tcPr>
          <w:p>
            <w:pPr>
              <w:spacing w:after="0"/>
              <w:rPr>
                <w:sz w:val="24"/>
                <w:szCs w:val="24"/>
                <w:color w:val="auto"/>
              </w:rPr>
            </w:pPr>
          </w:p>
        </w:tc>
        <w:tc>
          <w:tcPr>
            <w:tcW w:w="120" w:type="dxa"/>
            <w:vAlign w:val="bottom"/>
            <w:tcBorders>
              <w:top w:val="single" w:sz="8" w:color="3051F2"/>
            </w:tcBorders>
          </w:tcPr>
          <w:p>
            <w:pPr>
              <w:spacing w:after="0"/>
              <w:rPr>
                <w:sz w:val="24"/>
                <w:szCs w:val="24"/>
                <w:color w:val="auto"/>
              </w:rPr>
            </w:pPr>
          </w:p>
        </w:tc>
        <w:tc>
          <w:tcPr>
            <w:tcW w:w="80" w:type="dxa"/>
            <w:vAlign w:val="bottom"/>
          </w:tcPr>
          <w:p>
            <w:pPr>
              <w:spacing w:after="0"/>
              <w:rPr>
                <w:sz w:val="24"/>
                <w:szCs w:val="24"/>
                <w:color w:val="auto"/>
              </w:rPr>
            </w:pPr>
          </w:p>
        </w:tc>
      </w:tr>
      <w:tr>
        <w:trPr>
          <w:trHeight w:val="459"/>
        </w:trPr>
        <w:tc>
          <w:tcPr>
            <w:tcW w:w="940" w:type="dxa"/>
            <w:vAlign w:val="bottom"/>
          </w:tcPr>
          <w:p>
            <w:pPr>
              <w:spacing w:after="0"/>
              <w:rPr>
                <w:rFonts w:ascii="Arial" w:cs="Arial" w:eastAsia="Arial" w:hAnsi="Arial"/>
                <w:sz w:val="18"/>
                <w:szCs w:val="18"/>
                <w:color w:val="auto"/>
              </w:rPr>
            </w:pPr>
            <w:hyperlink w:anchor="page36">
              <w:r>
                <w:rPr>
                  <w:rFonts w:ascii="Arial" w:cs="Arial" w:eastAsia="Arial" w:hAnsi="Arial"/>
                  <w:sz w:val="18"/>
                  <w:szCs w:val="18"/>
                  <w:color w:val="auto"/>
                </w:rPr>
                <w:t xml:space="preserve">Item </w:t>
              </w:r>
            </w:hyperlink>
            <w:r>
              <w:rPr>
                <w:rFonts w:ascii="Arial" w:cs="Arial" w:eastAsia="Arial" w:hAnsi="Arial"/>
                <w:sz w:val="18"/>
                <w:szCs w:val="18"/>
                <w:color w:val="auto"/>
              </w:rPr>
              <w:t>1.</w:t>
            </w:r>
          </w:p>
        </w:tc>
        <w:tc>
          <w:tcPr>
            <w:tcW w:w="1320" w:type="dxa"/>
            <w:vAlign w:val="bottom"/>
            <w:gridSpan w:val="4"/>
          </w:tcPr>
          <w:p>
            <w:pPr>
              <w:spacing w:after="0"/>
              <w:rPr>
                <w:rFonts w:ascii="Arial" w:cs="Arial" w:eastAsia="Arial" w:hAnsi="Arial"/>
                <w:sz w:val="18"/>
                <w:szCs w:val="18"/>
                <w:color w:val="3051F2"/>
                <w:w w:val="85"/>
              </w:rPr>
            </w:pPr>
            <w:hyperlink w:anchor="page36">
              <w:r>
                <w:rPr>
                  <w:rFonts w:ascii="Arial" w:cs="Arial" w:eastAsia="Arial" w:hAnsi="Arial"/>
                  <w:sz w:val="18"/>
                  <w:szCs w:val="18"/>
                  <w:color w:val="3051F2"/>
                  <w:w w:val="85"/>
                </w:rPr>
                <w:t>Legal Proceedings</w:t>
              </w:r>
            </w:hyperlink>
          </w:p>
        </w:tc>
        <w:tc>
          <w:tcPr>
            <w:tcW w:w="5140" w:type="dxa"/>
            <w:vAlign w:val="bottom"/>
            <w:gridSpan w:val="17"/>
          </w:tcPr>
          <w:p>
            <w:pPr>
              <w:spacing w:after="0"/>
              <w:rPr>
                <w:sz w:val="24"/>
                <w:szCs w:val="24"/>
                <w:color w:val="auto"/>
              </w:rPr>
            </w:pPr>
          </w:p>
        </w:tc>
        <w:tc>
          <w:tcPr>
            <w:tcW w:w="3400" w:type="dxa"/>
            <w:vAlign w:val="bottom"/>
          </w:tcPr>
          <w:p>
            <w:pPr>
              <w:spacing w:after="0"/>
              <w:rPr>
                <w:sz w:val="24"/>
                <w:szCs w:val="24"/>
                <w:color w:val="auto"/>
              </w:rPr>
            </w:pPr>
          </w:p>
        </w:tc>
        <w:tc>
          <w:tcPr>
            <w:tcW w:w="200" w:type="dxa"/>
            <w:vAlign w:val="bottom"/>
            <w:gridSpan w:val="2"/>
          </w:tcPr>
          <w:p>
            <w:pPr>
              <w:jc w:val="center"/>
              <w:ind w:right="80"/>
              <w:spacing w:after="0"/>
              <w:rPr>
                <w:rFonts w:ascii="Arial" w:cs="Arial" w:eastAsia="Arial" w:hAnsi="Arial"/>
                <w:sz w:val="15"/>
                <w:szCs w:val="15"/>
                <w:color w:val="3051F2"/>
                <w:w w:val="71"/>
              </w:rPr>
            </w:pPr>
            <w:hyperlink w:anchor="page36">
              <w:r>
                <w:rPr>
                  <w:rFonts w:ascii="Arial" w:cs="Arial" w:eastAsia="Arial" w:hAnsi="Arial"/>
                  <w:sz w:val="15"/>
                  <w:szCs w:val="15"/>
                  <w:color w:val="3051F2"/>
                  <w:w w:val="71"/>
                </w:rPr>
                <w:t>35</w:t>
              </w:r>
            </w:hyperlink>
          </w:p>
        </w:tc>
      </w:tr>
      <w:tr>
        <w:trPr>
          <w:trHeight w:val="20"/>
        </w:trPr>
        <w:tc>
          <w:tcPr>
            <w:tcW w:w="940" w:type="dxa"/>
            <w:vAlign w:val="bottom"/>
          </w:tcPr>
          <w:p>
            <w:pPr>
              <w:spacing w:after="0" w:line="20" w:lineRule="exact"/>
              <w:rPr>
                <w:sz w:val="1"/>
                <w:szCs w:val="1"/>
                <w:color w:val="auto"/>
              </w:rPr>
            </w:pPr>
          </w:p>
        </w:tc>
        <w:tc>
          <w:tcPr>
            <w:tcW w:w="600" w:type="dxa"/>
            <w:vAlign w:val="bottom"/>
            <w:shd w:val="clear" w:color="auto" w:fill="3051F2"/>
          </w:tcPr>
          <w:p>
            <w:pPr>
              <w:spacing w:after="0" w:line="20" w:lineRule="exact"/>
              <w:rPr>
                <w:sz w:val="1"/>
                <w:szCs w:val="1"/>
                <w:color w:val="auto"/>
              </w:rPr>
            </w:pPr>
          </w:p>
        </w:tc>
        <w:tc>
          <w:tcPr>
            <w:tcW w:w="100" w:type="dxa"/>
            <w:vAlign w:val="bottom"/>
            <w:shd w:val="clear" w:color="auto" w:fill="3051F2"/>
          </w:tcPr>
          <w:p>
            <w:pPr>
              <w:spacing w:after="0" w:line="20" w:lineRule="exact"/>
              <w:rPr>
                <w:sz w:val="1"/>
                <w:szCs w:val="1"/>
                <w:color w:val="auto"/>
              </w:rPr>
            </w:pPr>
          </w:p>
        </w:tc>
        <w:tc>
          <w:tcPr>
            <w:tcW w:w="200" w:type="dxa"/>
            <w:vAlign w:val="bottom"/>
            <w:tcBorders>
              <w:left w:val="single" w:sz="8" w:color="3051F2"/>
            </w:tcBorders>
            <w:shd w:val="clear" w:color="auto" w:fill="3051F2"/>
          </w:tcPr>
          <w:p>
            <w:pPr>
              <w:spacing w:after="0" w:line="20" w:lineRule="exact"/>
              <w:rPr>
                <w:sz w:val="1"/>
                <w:szCs w:val="1"/>
                <w:color w:val="auto"/>
              </w:rPr>
            </w:pPr>
          </w:p>
        </w:tc>
        <w:tc>
          <w:tcPr>
            <w:tcW w:w="420" w:type="dxa"/>
            <w:vAlign w:val="bottom"/>
            <w:shd w:val="clear" w:color="auto" w:fill="3051F2"/>
          </w:tcPr>
          <w:p>
            <w:pPr>
              <w:spacing w:after="0" w:line="20" w:lineRule="exact"/>
              <w:rPr>
                <w:sz w:val="1"/>
                <w:szCs w:val="1"/>
                <w:color w:val="auto"/>
              </w:rPr>
            </w:pPr>
          </w:p>
        </w:tc>
        <w:tc>
          <w:tcPr>
            <w:tcW w:w="1000" w:type="dxa"/>
            <w:vAlign w:val="bottom"/>
            <w:tcBorders>
              <w:left w:val="single" w:sz="8" w:color="3051F2"/>
            </w:tcBorders>
            <w:gridSpan w:val="4"/>
          </w:tcPr>
          <w:p>
            <w:pPr>
              <w:spacing w:after="0" w:line="20" w:lineRule="exact"/>
              <w:rPr>
                <w:sz w:val="1"/>
                <w:szCs w:val="1"/>
                <w:color w:val="auto"/>
              </w:rPr>
            </w:pPr>
          </w:p>
        </w:tc>
        <w:tc>
          <w:tcPr>
            <w:tcW w:w="2020" w:type="dxa"/>
            <w:vAlign w:val="bottom"/>
            <w:gridSpan w:val="10"/>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3400" w:type="dxa"/>
            <w:vAlign w:val="bottom"/>
            <w:tcBorders>
              <w:right w:val="single" w:sz="8" w:color="3051F2"/>
            </w:tcBorders>
          </w:tcPr>
          <w:p>
            <w:pPr>
              <w:spacing w:after="0" w:line="20" w:lineRule="exact"/>
              <w:rPr>
                <w:sz w:val="1"/>
                <w:szCs w:val="1"/>
                <w:color w:val="auto"/>
              </w:rPr>
            </w:pPr>
          </w:p>
        </w:tc>
        <w:tc>
          <w:tcPr>
            <w:tcW w:w="120" w:type="dxa"/>
            <w:vAlign w:val="bottom"/>
            <w:tcBorders>
              <w:right w:val="single" w:sz="8" w:color="3051F2"/>
            </w:tcBorders>
            <w:shd w:val="clear" w:color="auto" w:fill="3051F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940" w:type="dxa"/>
            <w:vAlign w:val="bottom"/>
          </w:tcPr>
          <w:p>
            <w:pPr>
              <w:spacing w:after="0"/>
              <w:rPr>
                <w:rFonts w:ascii="Arial" w:cs="Arial" w:eastAsia="Arial" w:hAnsi="Arial"/>
                <w:sz w:val="18"/>
                <w:szCs w:val="18"/>
                <w:color w:val="auto"/>
              </w:rPr>
            </w:pPr>
            <w:hyperlink w:anchor="page36">
              <w:r>
                <w:rPr>
                  <w:rFonts w:ascii="Arial" w:cs="Arial" w:eastAsia="Arial" w:hAnsi="Arial"/>
                  <w:sz w:val="18"/>
                  <w:szCs w:val="18"/>
                  <w:color w:val="auto"/>
                </w:rPr>
                <w:t>Item 1A.</w:t>
              </w:r>
            </w:hyperlink>
          </w:p>
        </w:tc>
        <w:tc>
          <w:tcPr>
            <w:tcW w:w="1320" w:type="dxa"/>
            <w:vAlign w:val="bottom"/>
            <w:gridSpan w:val="4"/>
          </w:tcPr>
          <w:p>
            <w:pPr>
              <w:spacing w:after="0"/>
              <w:rPr>
                <w:rFonts w:ascii="Arial" w:cs="Arial" w:eastAsia="Arial" w:hAnsi="Arial"/>
                <w:sz w:val="18"/>
                <w:szCs w:val="18"/>
                <w:color w:val="3051F2"/>
              </w:rPr>
            </w:pPr>
            <w:hyperlink w:anchor="page36">
              <w:r>
                <w:rPr>
                  <w:rFonts w:ascii="Arial" w:cs="Arial" w:eastAsia="Arial" w:hAnsi="Arial"/>
                  <w:sz w:val="18"/>
                  <w:szCs w:val="18"/>
                  <w:color w:val="3051F2"/>
                </w:rPr>
                <w:t>Risk Factors</w:t>
              </w:r>
            </w:hyperlink>
          </w:p>
        </w:tc>
        <w:tc>
          <w:tcPr>
            <w:tcW w:w="5140" w:type="dxa"/>
            <w:vAlign w:val="bottom"/>
            <w:gridSpan w:val="17"/>
          </w:tcPr>
          <w:p>
            <w:pPr>
              <w:spacing w:after="0"/>
              <w:rPr>
                <w:sz w:val="18"/>
                <w:szCs w:val="18"/>
                <w:color w:val="auto"/>
              </w:rPr>
            </w:pPr>
          </w:p>
        </w:tc>
        <w:tc>
          <w:tcPr>
            <w:tcW w:w="3400" w:type="dxa"/>
            <w:vAlign w:val="bottom"/>
          </w:tcPr>
          <w:p>
            <w:pPr>
              <w:spacing w:after="0"/>
              <w:rPr>
                <w:sz w:val="18"/>
                <w:szCs w:val="18"/>
                <w:color w:val="auto"/>
              </w:rPr>
            </w:pPr>
          </w:p>
        </w:tc>
        <w:tc>
          <w:tcPr>
            <w:tcW w:w="200" w:type="dxa"/>
            <w:vAlign w:val="bottom"/>
            <w:gridSpan w:val="2"/>
          </w:tcPr>
          <w:p>
            <w:pPr>
              <w:jc w:val="center"/>
              <w:ind w:right="80"/>
              <w:spacing w:after="0"/>
              <w:rPr>
                <w:rFonts w:ascii="Arial" w:cs="Arial" w:eastAsia="Arial" w:hAnsi="Arial"/>
                <w:sz w:val="15"/>
                <w:szCs w:val="15"/>
                <w:color w:val="3051F2"/>
                <w:w w:val="71"/>
              </w:rPr>
            </w:pPr>
            <w:hyperlink w:anchor="page36">
              <w:r>
                <w:rPr>
                  <w:rFonts w:ascii="Arial" w:cs="Arial" w:eastAsia="Arial" w:hAnsi="Arial"/>
                  <w:sz w:val="15"/>
                  <w:szCs w:val="15"/>
                  <w:color w:val="3051F2"/>
                  <w:w w:val="71"/>
                </w:rPr>
                <w:t>35</w:t>
              </w:r>
            </w:hyperlink>
          </w:p>
        </w:tc>
      </w:tr>
      <w:tr>
        <w:trPr>
          <w:trHeight w:val="20"/>
        </w:trPr>
        <w:tc>
          <w:tcPr>
            <w:tcW w:w="940" w:type="dxa"/>
            <w:vAlign w:val="bottom"/>
          </w:tcPr>
          <w:p>
            <w:pPr>
              <w:spacing w:after="0" w:line="20" w:lineRule="exact"/>
              <w:rPr>
                <w:sz w:val="1"/>
                <w:szCs w:val="1"/>
                <w:color w:val="auto"/>
              </w:rPr>
            </w:pPr>
          </w:p>
        </w:tc>
        <w:tc>
          <w:tcPr>
            <w:tcW w:w="600" w:type="dxa"/>
            <w:vAlign w:val="bottom"/>
            <w:shd w:val="clear" w:color="auto" w:fill="3051F2"/>
          </w:tcPr>
          <w:p>
            <w:pPr>
              <w:spacing w:after="0" w:line="20" w:lineRule="exact"/>
              <w:rPr>
                <w:sz w:val="1"/>
                <w:szCs w:val="1"/>
                <w:color w:val="auto"/>
              </w:rPr>
            </w:pPr>
          </w:p>
        </w:tc>
        <w:tc>
          <w:tcPr>
            <w:tcW w:w="100" w:type="dxa"/>
            <w:vAlign w:val="bottom"/>
            <w:shd w:val="clear" w:color="auto" w:fill="3051F2"/>
          </w:tcPr>
          <w:p>
            <w:pPr>
              <w:spacing w:after="0" w:line="20" w:lineRule="exact"/>
              <w:rPr>
                <w:sz w:val="1"/>
                <w:szCs w:val="1"/>
                <w:color w:val="auto"/>
              </w:rPr>
            </w:pPr>
          </w:p>
        </w:tc>
        <w:tc>
          <w:tcPr>
            <w:tcW w:w="200" w:type="dxa"/>
            <w:vAlign w:val="bottom"/>
            <w:tcBorders>
              <w:left w:val="single" w:sz="8" w:color="3051F2"/>
            </w:tcBorders>
            <w:shd w:val="clear" w:color="auto" w:fill="3051F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20" w:type="dxa"/>
            <w:vAlign w:val="bottom"/>
            <w:gridSpan w:val="10"/>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3400" w:type="dxa"/>
            <w:vAlign w:val="bottom"/>
            <w:tcBorders>
              <w:right w:val="single" w:sz="8" w:color="3051F2"/>
            </w:tcBorders>
          </w:tcPr>
          <w:p>
            <w:pPr>
              <w:spacing w:after="0" w:line="20" w:lineRule="exact"/>
              <w:rPr>
                <w:sz w:val="1"/>
                <w:szCs w:val="1"/>
                <w:color w:val="auto"/>
              </w:rPr>
            </w:pPr>
          </w:p>
        </w:tc>
        <w:tc>
          <w:tcPr>
            <w:tcW w:w="120" w:type="dxa"/>
            <w:vAlign w:val="bottom"/>
            <w:tcBorders>
              <w:right w:val="single" w:sz="8" w:color="3051F2"/>
            </w:tcBorders>
            <w:shd w:val="clear" w:color="auto" w:fill="3051F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9"/>
        </w:trPr>
        <w:tc>
          <w:tcPr>
            <w:tcW w:w="940" w:type="dxa"/>
            <w:vAlign w:val="bottom"/>
          </w:tcPr>
          <w:p>
            <w:pPr>
              <w:spacing w:after="0"/>
              <w:rPr>
                <w:sz w:val="20"/>
                <w:szCs w:val="20"/>
                <w:color w:val="auto"/>
              </w:rPr>
            </w:pPr>
            <w:r>
              <w:rPr>
                <w:rFonts w:ascii="Arial" w:cs="Arial" w:eastAsia="Arial" w:hAnsi="Arial"/>
                <w:sz w:val="18"/>
                <w:szCs w:val="18"/>
                <w:color w:val="auto"/>
              </w:rPr>
              <w:t>Item 2.</w:t>
            </w:r>
          </w:p>
        </w:tc>
        <w:tc>
          <w:tcPr>
            <w:tcW w:w="6460" w:type="dxa"/>
            <w:vAlign w:val="bottom"/>
            <w:gridSpan w:val="21"/>
          </w:tcPr>
          <w:p>
            <w:pPr>
              <w:spacing w:after="0"/>
              <w:rPr>
                <w:rFonts w:ascii="Arial" w:cs="Arial" w:eastAsia="Arial" w:hAnsi="Arial"/>
                <w:sz w:val="18"/>
                <w:szCs w:val="18"/>
                <w:color w:val="3051F2"/>
              </w:rPr>
            </w:pPr>
            <w:hyperlink w:anchor="page36">
              <w:r>
                <w:rPr>
                  <w:rFonts w:ascii="Arial" w:cs="Arial" w:eastAsia="Arial" w:hAnsi="Arial"/>
                  <w:sz w:val="18"/>
                  <w:szCs w:val="18"/>
                  <w:color w:val="3051F2"/>
                </w:rPr>
                <w:t>Unregistered Sales of Equity Securities and Use of Proceeds</w:t>
              </w:r>
            </w:hyperlink>
          </w:p>
        </w:tc>
        <w:tc>
          <w:tcPr>
            <w:tcW w:w="3600" w:type="dxa"/>
            <w:vAlign w:val="bottom"/>
            <w:gridSpan w:val="3"/>
          </w:tcPr>
          <w:p>
            <w:pPr>
              <w:jc w:val="center"/>
              <w:ind w:left="3199"/>
              <w:spacing w:after="0"/>
              <w:rPr>
                <w:rFonts w:ascii="Arial" w:cs="Arial" w:eastAsia="Arial" w:hAnsi="Arial"/>
                <w:sz w:val="16"/>
                <w:szCs w:val="16"/>
                <w:color w:val="3051F2"/>
                <w:w w:val="89"/>
              </w:rPr>
            </w:pPr>
            <w:hyperlink w:anchor="page36">
              <w:r>
                <w:rPr>
                  <w:rFonts w:ascii="Arial" w:cs="Arial" w:eastAsia="Arial" w:hAnsi="Arial"/>
                  <w:sz w:val="16"/>
                  <w:szCs w:val="16"/>
                  <w:color w:val="3051F2"/>
                  <w:w w:val="89"/>
                </w:rPr>
                <w:t>35</w:t>
              </w:r>
            </w:hyperlink>
          </w:p>
        </w:tc>
      </w:tr>
      <w:tr>
        <w:trPr>
          <w:trHeight w:val="20"/>
        </w:trPr>
        <w:tc>
          <w:tcPr>
            <w:tcW w:w="940" w:type="dxa"/>
            <w:vAlign w:val="bottom"/>
          </w:tcPr>
          <w:p>
            <w:pPr>
              <w:spacing w:after="0" w:line="20" w:lineRule="exact"/>
              <w:rPr>
                <w:sz w:val="1"/>
                <w:szCs w:val="1"/>
                <w:color w:val="auto"/>
              </w:rPr>
            </w:pPr>
          </w:p>
        </w:tc>
        <w:tc>
          <w:tcPr>
            <w:tcW w:w="600" w:type="dxa"/>
            <w:vAlign w:val="bottom"/>
            <w:shd w:val="clear" w:color="auto" w:fill="3051F2"/>
          </w:tcPr>
          <w:p>
            <w:pPr>
              <w:spacing w:after="0" w:line="20" w:lineRule="exact"/>
              <w:rPr>
                <w:sz w:val="1"/>
                <w:szCs w:val="1"/>
                <w:color w:val="auto"/>
              </w:rPr>
            </w:pPr>
          </w:p>
        </w:tc>
        <w:tc>
          <w:tcPr>
            <w:tcW w:w="100" w:type="dxa"/>
            <w:vAlign w:val="bottom"/>
            <w:shd w:val="clear" w:color="auto" w:fill="3051F2"/>
          </w:tcPr>
          <w:p>
            <w:pPr>
              <w:spacing w:after="0" w:line="20" w:lineRule="exact"/>
              <w:rPr>
                <w:sz w:val="1"/>
                <w:szCs w:val="1"/>
                <w:color w:val="auto"/>
              </w:rPr>
            </w:pPr>
          </w:p>
        </w:tc>
        <w:tc>
          <w:tcPr>
            <w:tcW w:w="200" w:type="dxa"/>
            <w:vAlign w:val="bottom"/>
            <w:tcBorders>
              <w:left w:val="single" w:sz="8" w:color="3051F2"/>
            </w:tcBorders>
            <w:shd w:val="clear" w:color="auto" w:fill="3051F2"/>
          </w:tcPr>
          <w:p>
            <w:pPr>
              <w:spacing w:after="0" w:line="20" w:lineRule="exact"/>
              <w:rPr>
                <w:sz w:val="1"/>
                <w:szCs w:val="1"/>
                <w:color w:val="auto"/>
              </w:rPr>
            </w:pPr>
          </w:p>
        </w:tc>
        <w:tc>
          <w:tcPr>
            <w:tcW w:w="420" w:type="dxa"/>
            <w:vAlign w:val="bottom"/>
            <w:shd w:val="clear" w:color="auto" w:fill="3051F2"/>
          </w:tcPr>
          <w:p>
            <w:pPr>
              <w:spacing w:after="0" w:line="20" w:lineRule="exact"/>
              <w:rPr>
                <w:sz w:val="1"/>
                <w:szCs w:val="1"/>
                <w:color w:val="auto"/>
              </w:rPr>
            </w:pPr>
          </w:p>
        </w:tc>
        <w:tc>
          <w:tcPr>
            <w:tcW w:w="240" w:type="dxa"/>
            <w:vAlign w:val="bottom"/>
            <w:tcBorders>
              <w:left w:val="single" w:sz="8" w:color="3051F2"/>
            </w:tcBorders>
            <w:shd w:val="clear" w:color="auto" w:fill="3051F2"/>
          </w:tcPr>
          <w:p>
            <w:pPr>
              <w:spacing w:after="0" w:line="20" w:lineRule="exact"/>
              <w:rPr>
                <w:sz w:val="1"/>
                <w:szCs w:val="1"/>
                <w:color w:val="auto"/>
              </w:rPr>
            </w:pPr>
          </w:p>
        </w:tc>
        <w:tc>
          <w:tcPr>
            <w:tcW w:w="160" w:type="dxa"/>
            <w:vAlign w:val="bottom"/>
            <w:shd w:val="clear" w:color="auto" w:fill="3051F2"/>
          </w:tcPr>
          <w:p>
            <w:pPr>
              <w:spacing w:after="0" w:line="20" w:lineRule="exact"/>
              <w:rPr>
                <w:sz w:val="1"/>
                <w:szCs w:val="1"/>
                <w:color w:val="auto"/>
              </w:rPr>
            </w:pPr>
          </w:p>
        </w:tc>
        <w:tc>
          <w:tcPr>
            <w:tcW w:w="40" w:type="dxa"/>
            <w:vAlign w:val="bottom"/>
            <w:shd w:val="clear" w:color="auto" w:fill="3051F2"/>
          </w:tcPr>
          <w:p>
            <w:pPr>
              <w:spacing w:after="0" w:line="20" w:lineRule="exact"/>
              <w:rPr>
                <w:sz w:val="1"/>
                <w:szCs w:val="1"/>
                <w:color w:val="auto"/>
              </w:rPr>
            </w:pPr>
          </w:p>
        </w:tc>
        <w:tc>
          <w:tcPr>
            <w:tcW w:w="560" w:type="dxa"/>
            <w:vAlign w:val="bottom"/>
            <w:shd w:val="clear" w:color="auto" w:fill="3051F2"/>
          </w:tcPr>
          <w:p>
            <w:pPr>
              <w:spacing w:after="0" w:line="20" w:lineRule="exact"/>
              <w:rPr>
                <w:sz w:val="1"/>
                <w:szCs w:val="1"/>
                <w:color w:val="auto"/>
              </w:rPr>
            </w:pPr>
          </w:p>
        </w:tc>
        <w:tc>
          <w:tcPr>
            <w:tcW w:w="80" w:type="dxa"/>
            <w:vAlign w:val="bottom"/>
            <w:tcBorders>
              <w:left w:val="single" w:sz="8" w:color="3051F2"/>
            </w:tcBorders>
            <w:shd w:val="clear" w:color="auto" w:fill="3051F2"/>
          </w:tcPr>
          <w:p>
            <w:pPr>
              <w:spacing w:after="0" w:line="20" w:lineRule="exact"/>
              <w:rPr>
                <w:sz w:val="1"/>
                <w:szCs w:val="1"/>
                <w:color w:val="auto"/>
              </w:rPr>
            </w:pPr>
          </w:p>
        </w:tc>
        <w:tc>
          <w:tcPr>
            <w:tcW w:w="20" w:type="dxa"/>
            <w:vAlign w:val="bottom"/>
            <w:shd w:val="clear" w:color="auto" w:fill="3051F2"/>
          </w:tcPr>
          <w:p>
            <w:pPr>
              <w:spacing w:after="0" w:line="20" w:lineRule="exact"/>
              <w:rPr>
                <w:sz w:val="1"/>
                <w:szCs w:val="1"/>
                <w:color w:val="auto"/>
              </w:rPr>
            </w:pPr>
          </w:p>
        </w:tc>
        <w:tc>
          <w:tcPr>
            <w:tcW w:w="200" w:type="dxa"/>
            <w:vAlign w:val="bottom"/>
            <w:shd w:val="clear" w:color="auto" w:fill="3051F2"/>
          </w:tcPr>
          <w:p>
            <w:pPr>
              <w:spacing w:after="0" w:line="20" w:lineRule="exact"/>
              <w:rPr>
                <w:sz w:val="1"/>
                <w:szCs w:val="1"/>
                <w:color w:val="auto"/>
              </w:rPr>
            </w:pPr>
          </w:p>
        </w:tc>
        <w:tc>
          <w:tcPr>
            <w:tcW w:w="320" w:type="dxa"/>
            <w:vAlign w:val="bottom"/>
            <w:shd w:val="clear" w:color="auto" w:fill="3051F2"/>
          </w:tcPr>
          <w:p>
            <w:pPr>
              <w:spacing w:after="0" w:line="20" w:lineRule="exact"/>
              <w:rPr>
                <w:sz w:val="1"/>
                <w:szCs w:val="1"/>
                <w:color w:val="auto"/>
              </w:rPr>
            </w:pPr>
          </w:p>
        </w:tc>
        <w:tc>
          <w:tcPr>
            <w:tcW w:w="20" w:type="dxa"/>
            <w:vAlign w:val="bottom"/>
            <w:shd w:val="clear" w:color="auto" w:fill="3051F2"/>
          </w:tcPr>
          <w:p>
            <w:pPr>
              <w:spacing w:after="0" w:line="20" w:lineRule="exact"/>
              <w:rPr>
                <w:sz w:val="1"/>
                <w:szCs w:val="1"/>
                <w:color w:val="auto"/>
              </w:rPr>
            </w:pPr>
          </w:p>
        </w:tc>
        <w:tc>
          <w:tcPr>
            <w:tcW w:w="120" w:type="dxa"/>
            <w:vAlign w:val="bottom"/>
            <w:shd w:val="clear" w:color="auto" w:fill="3051F2"/>
          </w:tcPr>
          <w:p>
            <w:pPr>
              <w:spacing w:after="0" w:line="20" w:lineRule="exact"/>
              <w:rPr>
                <w:sz w:val="1"/>
                <w:szCs w:val="1"/>
                <w:color w:val="auto"/>
              </w:rPr>
            </w:pPr>
          </w:p>
        </w:tc>
        <w:tc>
          <w:tcPr>
            <w:tcW w:w="640" w:type="dxa"/>
            <w:vAlign w:val="bottom"/>
            <w:shd w:val="clear" w:color="auto" w:fill="3051F2"/>
          </w:tcPr>
          <w:p>
            <w:pPr>
              <w:spacing w:after="0" w:line="20" w:lineRule="exact"/>
              <w:rPr>
                <w:sz w:val="1"/>
                <w:szCs w:val="1"/>
                <w:color w:val="auto"/>
              </w:rPr>
            </w:pPr>
          </w:p>
        </w:tc>
        <w:tc>
          <w:tcPr>
            <w:tcW w:w="280" w:type="dxa"/>
            <w:vAlign w:val="bottom"/>
            <w:shd w:val="clear" w:color="auto" w:fill="3051F2"/>
          </w:tcPr>
          <w:p>
            <w:pPr>
              <w:spacing w:after="0" w:line="20" w:lineRule="exact"/>
              <w:rPr>
                <w:sz w:val="1"/>
                <w:szCs w:val="1"/>
                <w:color w:val="auto"/>
              </w:rPr>
            </w:pPr>
          </w:p>
        </w:tc>
        <w:tc>
          <w:tcPr>
            <w:tcW w:w="240" w:type="dxa"/>
            <w:vAlign w:val="bottom"/>
            <w:shd w:val="clear" w:color="auto" w:fill="3051F2"/>
          </w:tcPr>
          <w:p>
            <w:pPr>
              <w:spacing w:after="0" w:line="20" w:lineRule="exact"/>
              <w:rPr>
                <w:sz w:val="1"/>
                <w:szCs w:val="1"/>
                <w:color w:val="auto"/>
              </w:rPr>
            </w:pPr>
          </w:p>
        </w:tc>
        <w:tc>
          <w:tcPr>
            <w:tcW w:w="100" w:type="dxa"/>
            <w:vAlign w:val="bottom"/>
            <w:shd w:val="clear" w:color="auto" w:fill="3051F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0" w:type="dxa"/>
            <w:vAlign w:val="bottom"/>
            <w:tcBorders>
              <w:right w:val="single" w:sz="8" w:color="3051F2"/>
            </w:tcBorders>
          </w:tcPr>
          <w:p>
            <w:pPr>
              <w:spacing w:after="0" w:line="20" w:lineRule="exact"/>
              <w:rPr>
                <w:sz w:val="1"/>
                <w:szCs w:val="1"/>
                <w:color w:val="auto"/>
              </w:rPr>
            </w:pPr>
          </w:p>
        </w:tc>
        <w:tc>
          <w:tcPr>
            <w:tcW w:w="120" w:type="dxa"/>
            <w:vAlign w:val="bottom"/>
            <w:tcBorders>
              <w:right w:val="single" w:sz="8" w:color="3051F2"/>
            </w:tcBorders>
            <w:shd w:val="clear" w:color="auto" w:fill="3051F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940" w:type="dxa"/>
            <w:vAlign w:val="bottom"/>
          </w:tcPr>
          <w:p>
            <w:pPr>
              <w:spacing w:after="0"/>
              <w:rPr>
                <w:rFonts w:ascii="Arial" w:cs="Arial" w:eastAsia="Arial" w:hAnsi="Arial"/>
                <w:sz w:val="18"/>
                <w:szCs w:val="18"/>
                <w:color w:val="auto"/>
              </w:rPr>
            </w:pPr>
            <w:hyperlink w:anchor="page36">
              <w:r>
                <w:rPr>
                  <w:rFonts w:ascii="Arial" w:cs="Arial" w:eastAsia="Arial" w:hAnsi="Arial"/>
                  <w:sz w:val="18"/>
                  <w:szCs w:val="18"/>
                  <w:color w:val="auto"/>
                </w:rPr>
                <w:t xml:space="preserve">Item </w:t>
              </w:r>
            </w:hyperlink>
            <w:r>
              <w:rPr>
                <w:rFonts w:ascii="Arial" w:cs="Arial" w:eastAsia="Arial" w:hAnsi="Arial"/>
                <w:sz w:val="18"/>
                <w:szCs w:val="18"/>
                <w:color w:val="auto"/>
              </w:rPr>
              <w:t>3.</w:t>
            </w:r>
          </w:p>
        </w:tc>
        <w:tc>
          <w:tcPr>
            <w:tcW w:w="4340" w:type="dxa"/>
            <w:vAlign w:val="bottom"/>
            <w:gridSpan w:val="18"/>
          </w:tcPr>
          <w:p>
            <w:pPr>
              <w:spacing w:after="0"/>
              <w:rPr>
                <w:rFonts w:ascii="Arial" w:cs="Arial" w:eastAsia="Arial" w:hAnsi="Arial"/>
                <w:sz w:val="18"/>
                <w:szCs w:val="18"/>
                <w:color w:val="3051F2"/>
              </w:rPr>
            </w:pPr>
            <w:hyperlink w:anchor="page36">
              <w:r>
                <w:rPr>
                  <w:rFonts w:ascii="Arial" w:cs="Arial" w:eastAsia="Arial" w:hAnsi="Arial"/>
                  <w:sz w:val="18"/>
                  <w:szCs w:val="18"/>
                  <w:color w:val="3051F2"/>
                </w:rPr>
                <w:t>Defaults Upon Senior Securities</w:t>
              </w:r>
            </w:hyperlink>
          </w:p>
        </w:tc>
        <w:tc>
          <w:tcPr>
            <w:tcW w:w="2120" w:type="dxa"/>
            <w:vAlign w:val="bottom"/>
            <w:gridSpan w:val="3"/>
          </w:tcPr>
          <w:p>
            <w:pPr>
              <w:spacing w:after="0"/>
              <w:rPr>
                <w:sz w:val="18"/>
                <w:szCs w:val="18"/>
                <w:color w:val="auto"/>
              </w:rPr>
            </w:pPr>
          </w:p>
        </w:tc>
        <w:tc>
          <w:tcPr>
            <w:tcW w:w="3400" w:type="dxa"/>
            <w:vAlign w:val="bottom"/>
          </w:tcPr>
          <w:p>
            <w:pPr>
              <w:spacing w:after="0"/>
              <w:rPr>
                <w:sz w:val="18"/>
                <w:szCs w:val="18"/>
                <w:color w:val="auto"/>
              </w:rPr>
            </w:pPr>
          </w:p>
        </w:tc>
        <w:tc>
          <w:tcPr>
            <w:tcW w:w="200" w:type="dxa"/>
            <w:vAlign w:val="bottom"/>
            <w:gridSpan w:val="2"/>
          </w:tcPr>
          <w:p>
            <w:pPr>
              <w:jc w:val="center"/>
              <w:ind w:right="80"/>
              <w:spacing w:after="0"/>
              <w:rPr>
                <w:rFonts w:ascii="Arial" w:cs="Arial" w:eastAsia="Arial" w:hAnsi="Arial"/>
                <w:sz w:val="15"/>
                <w:szCs w:val="15"/>
                <w:color w:val="3051F2"/>
                <w:w w:val="71"/>
              </w:rPr>
            </w:pPr>
            <w:hyperlink w:anchor="page36">
              <w:r>
                <w:rPr>
                  <w:rFonts w:ascii="Arial" w:cs="Arial" w:eastAsia="Arial" w:hAnsi="Arial"/>
                  <w:sz w:val="15"/>
                  <w:szCs w:val="15"/>
                  <w:color w:val="3051F2"/>
                  <w:w w:val="71"/>
                </w:rPr>
                <w:t>35</w:t>
              </w:r>
            </w:hyperlink>
          </w:p>
        </w:tc>
      </w:tr>
      <w:tr>
        <w:trPr>
          <w:trHeight w:val="20"/>
        </w:trPr>
        <w:tc>
          <w:tcPr>
            <w:tcW w:w="940" w:type="dxa"/>
            <w:vAlign w:val="bottom"/>
          </w:tcPr>
          <w:p>
            <w:pPr>
              <w:spacing w:after="0" w:line="20" w:lineRule="exact"/>
              <w:rPr>
                <w:sz w:val="1"/>
                <w:szCs w:val="1"/>
                <w:color w:val="auto"/>
              </w:rPr>
            </w:pPr>
          </w:p>
        </w:tc>
        <w:tc>
          <w:tcPr>
            <w:tcW w:w="600" w:type="dxa"/>
            <w:vAlign w:val="bottom"/>
            <w:shd w:val="clear" w:color="auto" w:fill="3051F2"/>
          </w:tcPr>
          <w:p>
            <w:pPr>
              <w:spacing w:after="0" w:line="20" w:lineRule="exact"/>
              <w:rPr>
                <w:sz w:val="1"/>
                <w:szCs w:val="1"/>
                <w:color w:val="auto"/>
              </w:rPr>
            </w:pPr>
          </w:p>
        </w:tc>
        <w:tc>
          <w:tcPr>
            <w:tcW w:w="100" w:type="dxa"/>
            <w:vAlign w:val="bottom"/>
            <w:shd w:val="clear" w:color="auto" w:fill="3051F2"/>
          </w:tcPr>
          <w:p>
            <w:pPr>
              <w:spacing w:after="0" w:line="20" w:lineRule="exact"/>
              <w:rPr>
                <w:sz w:val="1"/>
                <w:szCs w:val="1"/>
                <w:color w:val="auto"/>
              </w:rPr>
            </w:pPr>
          </w:p>
        </w:tc>
        <w:tc>
          <w:tcPr>
            <w:tcW w:w="620" w:type="dxa"/>
            <w:vAlign w:val="bottom"/>
            <w:tcBorders>
              <w:left w:val="single" w:sz="8" w:color="3051F2"/>
            </w:tcBorders>
            <w:gridSpan w:val="2"/>
            <w:shd w:val="clear" w:color="auto" w:fill="3051F2"/>
          </w:tcPr>
          <w:p>
            <w:pPr>
              <w:spacing w:after="0" w:line="20" w:lineRule="exact"/>
              <w:rPr>
                <w:sz w:val="1"/>
                <w:szCs w:val="1"/>
                <w:color w:val="auto"/>
              </w:rPr>
            </w:pPr>
          </w:p>
        </w:tc>
        <w:tc>
          <w:tcPr>
            <w:tcW w:w="1000" w:type="dxa"/>
            <w:vAlign w:val="bottom"/>
            <w:tcBorders>
              <w:left w:val="single" w:sz="8" w:color="3051F2"/>
            </w:tcBorders>
            <w:gridSpan w:val="4"/>
            <w:shd w:val="clear" w:color="auto" w:fill="3051F2"/>
          </w:tcPr>
          <w:p>
            <w:pPr>
              <w:spacing w:after="0" w:line="20" w:lineRule="exact"/>
              <w:rPr>
                <w:sz w:val="1"/>
                <w:szCs w:val="1"/>
                <w:color w:val="auto"/>
              </w:rPr>
            </w:pPr>
          </w:p>
        </w:tc>
        <w:tc>
          <w:tcPr>
            <w:tcW w:w="4140" w:type="dxa"/>
            <w:vAlign w:val="bottom"/>
            <w:gridSpan w:val="13"/>
          </w:tcPr>
          <w:p>
            <w:pPr>
              <w:spacing w:after="0" w:line="20" w:lineRule="exact"/>
              <w:rPr>
                <w:sz w:val="1"/>
                <w:szCs w:val="1"/>
                <w:color w:val="auto"/>
              </w:rPr>
            </w:pPr>
          </w:p>
        </w:tc>
        <w:tc>
          <w:tcPr>
            <w:tcW w:w="3400" w:type="dxa"/>
            <w:vAlign w:val="bottom"/>
            <w:tcBorders>
              <w:right w:val="single" w:sz="8" w:color="3051F2"/>
            </w:tcBorders>
          </w:tcPr>
          <w:p>
            <w:pPr>
              <w:spacing w:after="0" w:line="20" w:lineRule="exact"/>
              <w:rPr>
                <w:sz w:val="1"/>
                <w:szCs w:val="1"/>
                <w:color w:val="auto"/>
              </w:rPr>
            </w:pPr>
          </w:p>
        </w:tc>
        <w:tc>
          <w:tcPr>
            <w:tcW w:w="120" w:type="dxa"/>
            <w:vAlign w:val="bottom"/>
            <w:tcBorders>
              <w:right w:val="single" w:sz="8" w:color="3051F2"/>
            </w:tcBorders>
            <w:shd w:val="clear" w:color="auto" w:fill="3051F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940" w:type="dxa"/>
            <w:vAlign w:val="bottom"/>
          </w:tcPr>
          <w:p>
            <w:pPr>
              <w:spacing w:after="0"/>
              <w:rPr>
                <w:sz w:val="20"/>
                <w:szCs w:val="20"/>
                <w:color w:val="auto"/>
              </w:rPr>
            </w:pPr>
            <w:r>
              <w:rPr>
                <w:rFonts w:ascii="Arial" w:cs="Arial" w:eastAsia="Arial" w:hAnsi="Arial"/>
                <w:sz w:val="18"/>
                <w:szCs w:val="18"/>
                <w:color w:val="auto"/>
              </w:rPr>
              <w:t>Item 4.</w:t>
            </w:r>
          </w:p>
        </w:tc>
        <w:tc>
          <w:tcPr>
            <w:tcW w:w="2320" w:type="dxa"/>
            <w:vAlign w:val="bottom"/>
            <w:gridSpan w:val="8"/>
          </w:tcPr>
          <w:p>
            <w:pPr>
              <w:spacing w:after="0"/>
              <w:rPr>
                <w:rFonts w:ascii="Arial" w:cs="Arial" w:eastAsia="Arial" w:hAnsi="Arial"/>
                <w:sz w:val="18"/>
                <w:szCs w:val="18"/>
                <w:color w:val="3051F2"/>
              </w:rPr>
            </w:pPr>
            <w:hyperlink w:anchor="page36">
              <w:r>
                <w:rPr>
                  <w:rFonts w:ascii="Arial" w:cs="Arial" w:eastAsia="Arial" w:hAnsi="Arial"/>
                  <w:sz w:val="18"/>
                  <w:szCs w:val="18"/>
                  <w:color w:val="3051F2"/>
                </w:rPr>
                <w:t>Mine Safety Disclosures</w:t>
              </w:r>
            </w:hyperlink>
          </w:p>
        </w:tc>
        <w:tc>
          <w:tcPr>
            <w:tcW w:w="4140" w:type="dxa"/>
            <w:vAlign w:val="bottom"/>
            <w:gridSpan w:val="13"/>
          </w:tcPr>
          <w:p>
            <w:pPr>
              <w:spacing w:after="0"/>
              <w:rPr>
                <w:sz w:val="18"/>
                <w:szCs w:val="18"/>
                <w:color w:val="auto"/>
              </w:rPr>
            </w:pPr>
          </w:p>
        </w:tc>
        <w:tc>
          <w:tcPr>
            <w:tcW w:w="3400" w:type="dxa"/>
            <w:vAlign w:val="bottom"/>
          </w:tcPr>
          <w:p>
            <w:pPr>
              <w:spacing w:after="0"/>
              <w:rPr>
                <w:sz w:val="18"/>
                <w:szCs w:val="18"/>
                <w:color w:val="auto"/>
              </w:rPr>
            </w:pPr>
          </w:p>
        </w:tc>
        <w:tc>
          <w:tcPr>
            <w:tcW w:w="200" w:type="dxa"/>
            <w:vAlign w:val="bottom"/>
            <w:gridSpan w:val="2"/>
          </w:tcPr>
          <w:p>
            <w:pPr>
              <w:jc w:val="center"/>
              <w:ind w:right="80"/>
              <w:spacing w:after="0"/>
              <w:rPr>
                <w:rFonts w:ascii="Arial" w:cs="Arial" w:eastAsia="Arial" w:hAnsi="Arial"/>
                <w:sz w:val="15"/>
                <w:szCs w:val="15"/>
                <w:color w:val="3051F2"/>
                <w:w w:val="71"/>
              </w:rPr>
            </w:pPr>
            <w:hyperlink w:anchor="page36">
              <w:r>
                <w:rPr>
                  <w:rFonts w:ascii="Arial" w:cs="Arial" w:eastAsia="Arial" w:hAnsi="Arial"/>
                  <w:sz w:val="15"/>
                  <w:szCs w:val="15"/>
                  <w:color w:val="3051F2"/>
                  <w:w w:val="71"/>
                </w:rPr>
                <w:t>35</w:t>
              </w:r>
            </w:hyperlink>
          </w:p>
        </w:tc>
      </w:tr>
      <w:tr>
        <w:trPr>
          <w:trHeight w:val="20"/>
        </w:trPr>
        <w:tc>
          <w:tcPr>
            <w:tcW w:w="940" w:type="dxa"/>
            <w:vAlign w:val="bottom"/>
          </w:tcPr>
          <w:p>
            <w:pPr>
              <w:spacing w:after="0" w:line="20" w:lineRule="exact"/>
              <w:rPr>
                <w:sz w:val="1"/>
                <w:szCs w:val="1"/>
                <w:color w:val="auto"/>
              </w:rPr>
            </w:pPr>
          </w:p>
        </w:tc>
        <w:tc>
          <w:tcPr>
            <w:tcW w:w="600" w:type="dxa"/>
            <w:vAlign w:val="bottom"/>
            <w:shd w:val="clear" w:color="auto" w:fill="3051F2"/>
          </w:tcPr>
          <w:p>
            <w:pPr>
              <w:spacing w:after="0" w:line="20" w:lineRule="exact"/>
              <w:rPr>
                <w:sz w:val="1"/>
                <w:szCs w:val="1"/>
                <w:color w:val="auto"/>
              </w:rPr>
            </w:pPr>
          </w:p>
        </w:tc>
        <w:tc>
          <w:tcPr>
            <w:tcW w:w="100" w:type="dxa"/>
            <w:vAlign w:val="bottom"/>
            <w:shd w:val="clear" w:color="auto" w:fill="3051F2"/>
          </w:tcPr>
          <w:p>
            <w:pPr>
              <w:spacing w:after="0" w:line="20" w:lineRule="exact"/>
              <w:rPr>
                <w:sz w:val="1"/>
                <w:szCs w:val="1"/>
                <w:color w:val="auto"/>
              </w:rPr>
            </w:pPr>
          </w:p>
        </w:tc>
        <w:tc>
          <w:tcPr>
            <w:tcW w:w="620" w:type="dxa"/>
            <w:vAlign w:val="bottom"/>
            <w:tcBorders>
              <w:left w:val="single" w:sz="8" w:color="3051F2"/>
            </w:tcBorders>
            <w:gridSpan w:val="2"/>
            <w:shd w:val="clear" w:color="auto" w:fill="3051F2"/>
          </w:tcPr>
          <w:p>
            <w:pPr>
              <w:spacing w:after="0" w:line="20" w:lineRule="exact"/>
              <w:rPr>
                <w:sz w:val="1"/>
                <w:szCs w:val="1"/>
                <w:color w:val="auto"/>
              </w:rPr>
            </w:pPr>
          </w:p>
        </w:tc>
        <w:tc>
          <w:tcPr>
            <w:tcW w:w="440" w:type="dxa"/>
            <w:vAlign w:val="bottom"/>
            <w:tcBorders>
              <w:left w:val="single" w:sz="8" w:color="3051F2"/>
            </w:tcBorders>
            <w:gridSpan w:val="3"/>
            <w:shd w:val="clear" w:color="auto" w:fill="3051F2"/>
          </w:tcPr>
          <w:p>
            <w:pPr>
              <w:spacing w:after="0" w:line="20" w:lineRule="exact"/>
              <w:rPr>
                <w:sz w:val="1"/>
                <w:szCs w:val="1"/>
                <w:color w:val="auto"/>
              </w:rPr>
            </w:pPr>
          </w:p>
        </w:tc>
        <w:tc>
          <w:tcPr>
            <w:tcW w:w="4700" w:type="dxa"/>
            <w:vAlign w:val="bottom"/>
            <w:gridSpan w:val="14"/>
          </w:tcPr>
          <w:p>
            <w:pPr>
              <w:spacing w:after="0" w:line="20" w:lineRule="exact"/>
              <w:rPr>
                <w:sz w:val="1"/>
                <w:szCs w:val="1"/>
                <w:color w:val="auto"/>
              </w:rPr>
            </w:pPr>
          </w:p>
        </w:tc>
        <w:tc>
          <w:tcPr>
            <w:tcW w:w="3400" w:type="dxa"/>
            <w:vAlign w:val="bottom"/>
            <w:tcBorders>
              <w:right w:val="single" w:sz="8" w:color="3051F2"/>
            </w:tcBorders>
          </w:tcPr>
          <w:p>
            <w:pPr>
              <w:spacing w:after="0" w:line="20" w:lineRule="exact"/>
              <w:rPr>
                <w:sz w:val="1"/>
                <w:szCs w:val="1"/>
                <w:color w:val="auto"/>
              </w:rPr>
            </w:pPr>
          </w:p>
        </w:tc>
        <w:tc>
          <w:tcPr>
            <w:tcW w:w="120" w:type="dxa"/>
            <w:vAlign w:val="bottom"/>
            <w:tcBorders>
              <w:right w:val="single" w:sz="8" w:color="3051F2"/>
            </w:tcBorders>
            <w:shd w:val="clear" w:color="auto" w:fill="3051F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940" w:type="dxa"/>
            <w:vAlign w:val="bottom"/>
          </w:tcPr>
          <w:p>
            <w:pPr>
              <w:spacing w:after="0"/>
              <w:rPr>
                <w:rFonts w:ascii="Arial" w:cs="Arial" w:eastAsia="Arial" w:hAnsi="Arial"/>
                <w:sz w:val="18"/>
                <w:szCs w:val="18"/>
                <w:color w:val="auto"/>
              </w:rPr>
            </w:pPr>
            <w:hyperlink w:anchor="page36">
              <w:r>
                <w:rPr>
                  <w:rFonts w:ascii="Arial" w:cs="Arial" w:eastAsia="Arial" w:hAnsi="Arial"/>
                  <w:sz w:val="18"/>
                  <w:szCs w:val="18"/>
                  <w:color w:val="auto"/>
                </w:rPr>
                <w:t xml:space="preserve">Item </w:t>
              </w:r>
            </w:hyperlink>
            <w:r>
              <w:rPr>
                <w:rFonts w:ascii="Arial" w:cs="Arial" w:eastAsia="Arial" w:hAnsi="Arial"/>
                <w:sz w:val="18"/>
                <w:szCs w:val="18"/>
                <w:color w:val="auto"/>
              </w:rPr>
              <w:t>5.</w:t>
            </w:r>
          </w:p>
        </w:tc>
        <w:tc>
          <w:tcPr>
            <w:tcW w:w="1320" w:type="dxa"/>
            <w:vAlign w:val="bottom"/>
            <w:gridSpan w:val="4"/>
          </w:tcPr>
          <w:p>
            <w:pPr>
              <w:spacing w:after="0"/>
              <w:rPr>
                <w:rFonts w:ascii="Arial" w:cs="Arial" w:eastAsia="Arial" w:hAnsi="Arial"/>
                <w:sz w:val="18"/>
                <w:szCs w:val="18"/>
                <w:color w:val="3051F2"/>
                <w:w w:val="91"/>
              </w:rPr>
            </w:pPr>
            <w:hyperlink w:anchor="page36">
              <w:r>
                <w:rPr>
                  <w:rFonts w:ascii="Arial" w:cs="Arial" w:eastAsia="Arial" w:hAnsi="Arial"/>
                  <w:sz w:val="18"/>
                  <w:szCs w:val="18"/>
                  <w:color w:val="3051F2"/>
                  <w:w w:val="91"/>
                </w:rPr>
                <w:t>Other Information</w:t>
              </w:r>
            </w:hyperlink>
          </w:p>
        </w:tc>
        <w:tc>
          <w:tcPr>
            <w:tcW w:w="440" w:type="dxa"/>
            <w:vAlign w:val="bottom"/>
            <w:gridSpan w:val="3"/>
          </w:tcPr>
          <w:p>
            <w:pPr>
              <w:spacing w:after="0"/>
              <w:rPr>
                <w:sz w:val="18"/>
                <w:szCs w:val="18"/>
                <w:color w:val="auto"/>
              </w:rPr>
            </w:pPr>
          </w:p>
        </w:tc>
        <w:tc>
          <w:tcPr>
            <w:tcW w:w="4700" w:type="dxa"/>
            <w:vAlign w:val="bottom"/>
            <w:gridSpan w:val="14"/>
          </w:tcPr>
          <w:p>
            <w:pPr>
              <w:spacing w:after="0"/>
              <w:rPr>
                <w:sz w:val="18"/>
                <w:szCs w:val="18"/>
                <w:color w:val="auto"/>
              </w:rPr>
            </w:pPr>
          </w:p>
        </w:tc>
        <w:tc>
          <w:tcPr>
            <w:tcW w:w="3400" w:type="dxa"/>
            <w:vAlign w:val="bottom"/>
          </w:tcPr>
          <w:p>
            <w:pPr>
              <w:spacing w:after="0"/>
              <w:rPr>
                <w:sz w:val="18"/>
                <w:szCs w:val="18"/>
                <w:color w:val="auto"/>
              </w:rPr>
            </w:pPr>
          </w:p>
        </w:tc>
        <w:tc>
          <w:tcPr>
            <w:tcW w:w="200" w:type="dxa"/>
            <w:vAlign w:val="bottom"/>
            <w:gridSpan w:val="2"/>
          </w:tcPr>
          <w:p>
            <w:pPr>
              <w:jc w:val="center"/>
              <w:ind w:right="80"/>
              <w:spacing w:after="0"/>
              <w:rPr>
                <w:rFonts w:ascii="Arial" w:cs="Arial" w:eastAsia="Arial" w:hAnsi="Arial"/>
                <w:sz w:val="15"/>
                <w:szCs w:val="15"/>
                <w:color w:val="3051F2"/>
                <w:w w:val="71"/>
              </w:rPr>
            </w:pPr>
            <w:hyperlink w:anchor="page36">
              <w:r>
                <w:rPr>
                  <w:rFonts w:ascii="Arial" w:cs="Arial" w:eastAsia="Arial" w:hAnsi="Arial"/>
                  <w:sz w:val="15"/>
                  <w:szCs w:val="15"/>
                  <w:color w:val="3051F2"/>
                  <w:w w:val="71"/>
                </w:rPr>
                <w:t>35</w:t>
              </w:r>
            </w:hyperlink>
          </w:p>
        </w:tc>
      </w:tr>
      <w:tr>
        <w:trPr>
          <w:trHeight w:val="20"/>
        </w:trPr>
        <w:tc>
          <w:tcPr>
            <w:tcW w:w="940" w:type="dxa"/>
            <w:vAlign w:val="bottom"/>
          </w:tcPr>
          <w:p>
            <w:pPr>
              <w:spacing w:after="0" w:line="20" w:lineRule="exact"/>
              <w:rPr>
                <w:sz w:val="1"/>
                <w:szCs w:val="1"/>
                <w:color w:val="auto"/>
              </w:rPr>
            </w:pPr>
          </w:p>
        </w:tc>
        <w:tc>
          <w:tcPr>
            <w:tcW w:w="600" w:type="dxa"/>
            <w:vAlign w:val="bottom"/>
            <w:shd w:val="clear" w:color="auto" w:fill="3051F2"/>
          </w:tcPr>
          <w:p>
            <w:pPr>
              <w:spacing w:after="0" w:line="20" w:lineRule="exact"/>
              <w:rPr>
                <w:sz w:val="1"/>
                <w:szCs w:val="1"/>
                <w:color w:val="auto"/>
              </w:rPr>
            </w:pPr>
          </w:p>
        </w:tc>
        <w:tc>
          <w:tcPr>
            <w:tcW w:w="100" w:type="dxa"/>
            <w:vAlign w:val="bottom"/>
            <w:shd w:val="clear" w:color="auto" w:fill="3051F2"/>
          </w:tcPr>
          <w:p>
            <w:pPr>
              <w:spacing w:after="0" w:line="20" w:lineRule="exact"/>
              <w:rPr>
                <w:sz w:val="1"/>
                <w:szCs w:val="1"/>
                <w:color w:val="auto"/>
              </w:rPr>
            </w:pPr>
          </w:p>
        </w:tc>
        <w:tc>
          <w:tcPr>
            <w:tcW w:w="620" w:type="dxa"/>
            <w:vAlign w:val="bottom"/>
            <w:tcBorders>
              <w:left w:val="single" w:sz="8" w:color="3051F2"/>
            </w:tcBorders>
            <w:gridSpan w:val="2"/>
            <w:shd w:val="clear" w:color="auto" w:fill="3051F2"/>
          </w:tcPr>
          <w:p>
            <w:pPr>
              <w:spacing w:after="0" w:line="20" w:lineRule="exact"/>
              <w:rPr>
                <w:sz w:val="1"/>
                <w:szCs w:val="1"/>
                <w:color w:val="auto"/>
              </w:rPr>
            </w:pPr>
          </w:p>
        </w:tc>
        <w:tc>
          <w:tcPr>
            <w:tcW w:w="5140" w:type="dxa"/>
            <w:vAlign w:val="bottom"/>
            <w:gridSpan w:val="17"/>
          </w:tcPr>
          <w:p>
            <w:pPr>
              <w:spacing w:after="0" w:line="20" w:lineRule="exact"/>
              <w:rPr>
                <w:sz w:val="1"/>
                <w:szCs w:val="1"/>
                <w:color w:val="auto"/>
              </w:rPr>
            </w:pPr>
          </w:p>
        </w:tc>
        <w:tc>
          <w:tcPr>
            <w:tcW w:w="3400" w:type="dxa"/>
            <w:vAlign w:val="bottom"/>
            <w:tcBorders>
              <w:right w:val="single" w:sz="8" w:color="3051F2"/>
            </w:tcBorders>
          </w:tcPr>
          <w:p>
            <w:pPr>
              <w:spacing w:after="0" w:line="20" w:lineRule="exact"/>
              <w:rPr>
                <w:sz w:val="1"/>
                <w:szCs w:val="1"/>
                <w:color w:val="auto"/>
              </w:rPr>
            </w:pPr>
          </w:p>
        </w:tc>
        <w:tc>
          <w:tcPr>
            <w:tcW w:w="120" w:type="dxa"/>
            <w:vAlign w:val="bottom"/>
            <w:tcBorders>
              <w:right w:val="single" w:sz="8" w:color="3051F2"/>
            </w:tcBorders>
            <w:shd w:val="clear" w:color="auto" w:fill="3051F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9"/>
        </w:trPr>
        <w:tc>
          <w:tcPr>
            <w:tcW w:w="940" w:type="dxa"/>
            <w:vAlign w:val="bottom"/>
          </w:tcPr>
          <w:p>
            <w:pPr>
              <w:spacing w:after="0"/>
              <w:rPr>
                <w:rFonts w:ascii="Arial" w:cs="Arial" w:eastAsia="Arial" w:hAnsi="Arial"/>
                <w:sz w:val="18"/>
                <w:szCs w:val="18"/>
                <w:color w:val="auto"/>
              </w:rPr>
            </w:pPr>
            <w:hyperlink w:anchor="page36">
              <w:r>
                <w:rPr>
                  <w:rFonts w:ascii="Arial" w:cs="Arial" w:eastAsia="Arial" w:hAnsi="Arial"/>
                  <w:sz w:val="18"/>
                  <w:szCs w:val="18"/>
                  <w:color w:val="auto"/>
                </w:rPr>
                <w:t xml:space="preserve">Item </w:t>
              </w:r>
            </w:hyperlink>
            <w:r>
              <w:rPr>
                <w:rFonts w:ascii="Arial" w:cs="Arial" w:eastAsia="Arial" w:hAnsi="Arial"/>
                <w:sz w:val="18"/>
                <w:szCs w:val="18"/>
                <w:color w:val="auto"/>
              </w:rPr>
              <w:t>6.</w:t>
            </w:r>
          </w:p>
        </w:tc>
        <w:tc>
          <w:tcPr>
            <w:tcW w:w="600" w:type="dxa"/>
            <w:vAlign w:val="bottom"/>
          </w:tcPr>
          <w:p>
            <w:pPr>
              <w:spacing w:after="0"/>
              <w:rPr>
                <w:rFonts w:ascii="Arial" w:cs="Arial" w:eastAsia="Arial" w:hAnsi="Arial"/>
                <w:sz w:val="18"/>
                <w:szCs w:val="18"/>
                <w:color w:val="3051F2"/>
                <w:w w:val="91"/>
              </w:rPr>
            </w:pPr>
            <w:hyperlink w:anchor="page36">
              <w:r>
                <w:rPr>
                  <w:rFonts w:ascii="Arial" w:cs="Arial" w:eastAsia="Arial" w:hAnsi="Arial"/>
                  <w:sz w:val="18"/>
                  <w:szCs w:val="18"/>
                  <w:color w:val="3051F2"/>
                  <w:w w:val="91"/>
                </w:rPr>
                <w:t>Exhibits</w:t>
              </w:r>
            </w:hyperlink>
          </w:p>
        </w:tc>
        <w:tc>
          <w:tcPr>
            <w:tcW w:w="720" w:type="dxa"/>
            <w:vAlign w:val="bottom"/>
            <w:gridSpan w:val="3"/>
          </w:tcPr>
          <w:p>
            <w:pPr>
              <w:spacing w:after="0"/>
              <w:rPr>
                <w:sz w:val="18"/>
                <w:szCs w:val="18"/>
                <w:color w:val="auto"/>
              </w:rPr>
            </w:pPr>
          </w:p>
        </w:tc>
        <w:tc>
          <w:tcPr>
            <w:tcW w:w="5140" w:type="dxa"/>
            <w:vAlign w:val="bottom"/>
            <w:gridSpan w:val="17"/>
          </w:tcPr>
          <w:p>
            <w:pPr>
              <w:spacing w:after="0"/>
              <w:rPr>
                <w:sz w:val="18"/>
                <w:szCs w:val="18"/>
                <w:color w:val="auto"/>
              </w:rPr>
            </w:pPr>
          </w:p>
        </w:tc>
        <w:tc>
          <w:tcPr>
            <w:tcW w:w="3400" w:type="dxa"/>
            <w:vAlign w:val="bottom"/>
          </w:tcPr>
          <w:p>
            <w:pPr>
              <w:spacing w:after="0"/>
              <w:rPr>
                <w:sz w:val="18"/>
                <w:szCs w:val="18"/>
                <w:color w:val="auto"/>
              </w:rPr>
            </w:pPr>
          </w:p>
        </w:tc>
        <w:tc>
          <w:tcPr>
            <w:tcW w:w="200" w:type="dxa"/>
            <w:vAlign w:val="bottom"/>
            <w:gridSpan w:val="2"/>
          </w:tcPr>
          <w:p>
            <w:pPr>
              <w:jc w:val="center"/>
              <w:ind w:right="80"/>
              <w:spacing w:after="0"/>
              <w:rPr>
                <w:rFonts w:ascii="Arial" w:cs="Arial" w:eastAsia="Arial" w:hAnsi="Arial"/>
                <w:sz w:val="15"/>
                <w:szCs w:val="15"/>
                <w:color w:val="3051F2"/>
                <w:w w:val="71"/>
              </w:rPr>
            </w:pPr>
            <w:hyperlink w:anchor="page36">
              <w:r>
                <w:rPr>
                  <w:rFonts w:ascii="Arial" w:cs="Arial" w:eastAsia="Arial" w:hAnsi="Arial"/>
                  <w:sz w:val="15"/>
                  <w:szCs w:val="15"/>
                  <w:color w:val="3051F2"/>
                  <w:w w:val="71"/>
                </w:rPr>
                <w:t>36</w:t>
              </w:r>
            </w:hyperlink>
          </w:p>
        </w:tc>
      </w:tr>
      <w:tr>
        <w:trPr>
          <w:trHeight w:val="20"/>
        </w:trPr>
        <w:tc>
          <w:tcPr>
            <w:tcW w:w="940" w:type="dxa"/>
            <w:vAlign w:val="bottom"/>
          </w:tcPr>
          <w:p>
            <w:pPr>
              <w:spacing w:after="0" w:line="20" w:lineRule="exact"/>
              <w:rPr>
                <w:sz w:val="1"/>
                <w:szCs w:val="1"/>
                <w:color w:val="auto"/>
              </w:rPr>
            </w:pPr>
          </w:p>
        </w:tc>
        <w:tc>
          <w:tcPr>
            <w:tcW w:w="600" w:type="dxa"/>
            <w:vAlign w:val="bottom"/>
            <w:shd w:val="clear" w:color="auto" w:fill="3051F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760" w:type="dxa"/>
            <w:vAlign w:val="bottom"/>
            <w:gridSpan w:val="19"/>
          </w:tcPr>
          <w:p>
            <w:pPr>
              <w:spacing w:after="0" w:line="20" w:lineRule="exact"/>
              <w:rPr>
                <w:sz w:val="1"/>
                <w:szCs w:val="1"/>
                <w:color w:val="auto"/>
              </w:rPr>
            </w:pPr>
          </w:p>
        </w:tc>
        <w:tc>
          <w:tcPr>
            <w:tcW w:w="3400" w:type="dxa"/>
            <w:vAlign w:val="bottom"/>
            <w:tcBorders>
              <w:right w:val="single" w:sz="8" w:color="3051F2"/>
            </w:tcBorders>
          </w:tcPr>
          <w:p>
            <w:pPr>
              <w:spacing w:after="0" w:line="20" w:lineRule="exact"/>
              <w:rPr>
                <w:sz w:val="1"/>
                <w:szCs w:val="1"/>
                <w:color w:val="auto"/>
              </w:rPr>
            </w:pPr>
          </w:p>
        </w:tc>
        <w:tc>
          <w:tcPr>
            <w:tcW w:w="120" w:type="dxa"/>
            <w:vAlign w:val="bottom"/>
            <w:tcBorders>
              <w:right w:val="single" w:sz="8" w:color="3051F2"/>
            </w:tcBorders>
            <w:shd w:val="clear" w:color="auto" w:fill="3051F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940" w:type="dxa"/>
            <w:vAlign w:val="bottom"/>
          </w:tcPr>
          <w:p>
            <w:pPr>
              <w:spacing w:after="0"/>
              <w:rPr>
                <w:sz w:val="18"/>
                <w:szCs w:val="18"/>
                <w:color w:val="auto"/>
              </w:rPr>
            </w:pPr>
          </w:p>
        </w:tc>
        <w:tc>
          <w:tcPr>
            <w:tcW w:w="700" w:type="dxa"/>
            <w:vAlign w:val="bottom"/>
            <w:gridSpan w:val="2"/>
          </w:tcPr>
          <w:p>
            <w:pPr>
              <w:spacing w:after="0"/>
              <w:rPr>
                <w:rFonts w:ascii="Arial" w:cs="Arial" w:eastAsia="Arial" w:hAnsi="Arial"/>
                <w:sz w:val="18"/>
                <w:szCs w:val="18"/>
                <w:color w:val="0E32E1"/>
                <w:w w:val="76"/>
              </w:rPr>
            </w:pPr>
            <w:hyperlink w:anchor="page37">
              <w:r>
                <w:rPr>
                  <w:rFonts w:ascii="Arial" w:cs="Arial" w:eastAsia="Arial" w:hAnsi="Arial"/>
                  <w:sz w:val="18"/>
                  <w:szCs w:val="18"/>
                  <w:color w:val="0E32E1"/>
                  <w:w w:val="76"/>
                </w:rPr>
                <w:t>Signatures</w:t>
              </w:r>
            </w:hyperlink>
          </w:p>
        </w:tc>
        <w:tc>
          <w:tcPr>
            <w:tcW w:w="5760" w:type="dxa"/>
            <w:vAlign w:val="bottom"/>
            <w:gridSpan w:val="19"/>
          </w:tcPr>
          <w:p>
            <w:pPr>
              <w:spacing w:after="0"/>
              <w:rPr>
                <w:sz w:val="18"/>
                <w:szCs w:val="18"/>
                <w:color w:val="auto"/>
              </w:rPr>
            </w:pPr>
          </w:p>
        </w:tc>
        <w:tc>
          <w:tcPr>
            <w:tcW w:w="3400" w:type="dxa"/>
            <w:vAlign w:val="bottom"/>
          </w:tcPr>
          <w:p>
            <w:pPr>
              <w:spacing w:after="0"/>
              <w:rPr>
                <w:sz w:val="18"/>
                <w:szCs w:val="18"/>
                <w:color w:val="auto"/>
              </w:rPr>
            </w:pPr>
          </w:p>
        </w:tc>
        <w:tc>
          <w:tcPr>
            <w:tcW w:w="200" w:type="dxa"/>
            <w:vAlign w:val="bottom"/>
            <w:gridSpan w:val="2"/>
          </w:tcPr>
          <w:p>
            <w:pPr>
              <w:jc w:val="center"/>
              <w:ind w:right="80"/>
              <w:spacing w:after="0"/>
              <w:rPr>
                <w:rFonts w:ascii="Arial" w:cs="Arial" w:eastAsia="Arial" w:hAnsi="Arial"/>
                <w:sz w:val="15"/>
                <w:szCs w:val="15"/>
                <w:color w:val="3051F2"/>
                <w:w w:val="71"/>
              </w:rPr>
            </w:pPr>
            <w:hyperlink w:anchor="page37">
              <w:r>
                <w:rPr>
                  <w:rFonts w:ascii="Arial" w:cs="Arial" w:eastAsia="Arial" w:hAnsi="Arial"/>
                  <w:sz w:val="15"/>
                  <w:szCs w:val="15"/>
                  <w:color w:val="3051F2"/>
                  <w:w w:val="71"/>
                </w:rPr>
                <w:t>37</w:t>
              </w:r>
            </w:hyperlink>
          </w:p>
        </w:tc>
      </w:tr>
      <w:tr>
        <w:trPr>
          <w:trHeight w:val="20"/>
        </w:trPr>
        <w:tc>
          <w:tcPr>
            <w:tcW w:w="940" w:type="dxa"/>
            <w:vAlign w:val="bottom"/>
          </w:tcPr>
          <w:p>
            <w:pPr>
              <w:spacing w:after="0" w:line="20" w:lineRule="exact"/>
              <w:rPr>
                <w:sz w:val="1"/>
                <w:szCs w:val="1"/>
                <w:color w:val="auto"/>
              </w:rPr>
            </w:pPr>
          </w:p>
        </w:tc>
        <w:tc>
          <w:tcPr>
            <w:tcW w:w="600" w:type="dxa"/>
            <w:vAlign w:val="bottom"/>
            <w:shd w:val="clear" w:color="auto" w:fill="0E32E1"/>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200" w:type="dxa"/>
            <w:vAlign w:val="bottom"/>
            <w:tcBorders>
              <w:left w:val="single" w:sz="8" w:color="0E32E1"/>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0" w:type="dxa"/>
            <w:vAlign w:val="bottom"/>
            <w:tcBorders>
              <w:right w:val="single" w:sz="8" w:color="3051F2"/>
            </w:tcBorders>
          </w:tcPr>
          <w:p>
            <w:pPr>
              <w:spacing w:after="0" w:line="20" w:lineRule="exact"/>
              <w:rPr>
                <w:sz w:val="1"/>
                <w:szCs w:val="1"/>
                <w:color w:val="auto"/>
              </w:rPr>
            </w:pPr>
          </w:p>
        </w:tc>
        <w:tc>
          <w:tcPr>
            <w:tcW w:w="120" w:type="dxa"/>
            <w:vAlign w:val="bottom"/>
            <w:tcBorders>
              <w:right w:val="single" w:sz="8" w:color="3051F2"/>
            </w:tcBorders>
            <w:shd w:val="clear" w:color="auto" w:fill="3051F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40" w:top="765" w:right="55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21"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6"/>
          <w:szCs w:val="16"/>
          <w:i w:val="1"/>
          <w:iCs w:val="1"/>
          <w:color w:val="231F20"/>
        </w:rPr>
        <w:t>Certain statements contained in this Quarterly Report on Form 10-Q ("Form 10-Q" or "report") and the documents incorporated by reference herein constitute “forward-looking statements” within the meaning of the Private Securities Litigation Reform Act of 1995. All statements contained in this report and the documents incorporated by reference herein other than statements of historical fact, including statements regarding our future operating results and financial position, our business strategy and plans, business trends, and our objectives for future operations, may constitute forward-looking statements. Words such as "anticipate," "believe," "estimate," "expect," "intend," "may," "outlook," "plan," "project," "seek," "will," and similar expressions, are intended to identify such forward-looking statements. We have based these forward-looking statements on our current expectations and projections about future events and trends that we believe may affect our financial condition, operating results, business strategy, short-term and long-term business operations and objectives, and financial needs. These forward-looking statements are subject to a number of risks, uncertainties and assumptions, including those described under the headings "Item 1A. Risk Factors," and "Item 2. Management’s Discussion and Analysis of Financial Condition and Results of Operations" in this report or as described in the other documents and reports we file with the United States ("U.S.") Securities and Exchange Commission (the "SEC"). We encourage you to read this report and our other filings with the SEC carefully.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report may not occur and actual results could differ materially and adversely from those anticipated or implied by the forward-looking statements.</w:t>
      </w:r>
    </w:p>
    <w:p>
      <w:pPr>
        <w:spacing w:after="0" w:line="59"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i w:val="1"/>
          <w:iCs w:val="1"/>
          <w:color w:val="231F20"/>
        </w:rPr>
        <w:t>You should not rely upon forward-looking statements as predictions of future events. The events and circumstances reflected in the forward-looking statements may not be achieved or occur. Although we believe that the expectations reflected in the forward-looking statements are reasonable, we cannot guarantee future results, levels of activities, performance or achievements. These forward-looking statements should not be relied upon as representing our views as of any date subsequent to the date of this report. We do not undertake any duty to update any of these forward-looking statements after the date of this report or to conform these statements to actual results or revised expectations.</w:t>
      </w:r>
    </w:p>
    <w:p>
      <w:pPr>
        <w:spacing w:after="0" w:line="68"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i w:val="1"/>
          <w:iCs w:val="1"/>
          <w:color w:val="231F20"/>
        </w:rPr>
        <w:t>As used in this report, references to "Grocery Outlet," "the Company," "registrant," "we," "us" and "our," refer to Grocery Outlet Holding Corp. and its consolidated subsidiaries unless otherwise indicated or the context requires otherwise.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Website Disclosure</w:t>
      </w:r>
    </w:p>
    <w:p>
      <w:pPr>
        <w:spacing w:after="0" w:line="27" w:lineRule="exact"/>
        <w:rPr>
          <w:sz w:val="20"/>
          <w:szCs w:val="20"/>
          <w:color w:val="auto"/>
        </w:rPr>
      </w:pPr>
    </w:p>
    <w:p>
      <w:pPr>
        <w:jc w:val="both"/>
        <w:ind w:firstLine="486"/>
        <w:spacing w:after="0" w:line="237" w:lineRule="auto"/>
        <w:rPr>
          <w:sz w:val="20"/>
          <w:szCs w:val="20"/>
          <w:color w:val="auto"/>
        </w:rPr>
      </w:pPr>
      <w:r>
        <w:rPr>
          <w:rFonts w:ascii="Arial" w:cs="Arial" w:eastAsia="Arial" w:hAnsi="Arial"/>
          <w:sz w:val="18"/>
          <w:szCs w:val="18"/>
          <w:color w:val="auto"/>
        </w:rPr>
        <w:t>We use our website, www.groceryoutlet.com, as a channel of distribution of Company information. Financial and other important information about us is routinely accessible through and posted on our website. Accordingly, investors should monitor our website, in addition to following our press releases, SEC filings and public conference calls and webcasts. The contents of our website and information accessible through our website i</w:t>
      </w:r>
      <w:r>
        <w:rPr>
          <w:rFonts w:ascii="Arial" w:cs="Arial" w:eastAsia="Arial" w:hAnsi="Arial"/>
          <w:sz w:val="18"/>
          <w:szCs w:val="18"/>
          <w:color w:val="231F20"/>
        </w:rPr>
        <w:t>s not, however,</w:t>
      </w:r>
      <w:r>
        <w:rPr>
          <w:rFonts w:ascii="Arial" w:cs="Arial" w:eastAsia="Arial" w:hAnsi="Arial"/>
          <w:sz w:val="18"/>
          <w:szCs w:val="18"/>
          <w:color w:val="auto"/>
        </w:rPr>
        <w:t xml:space="preserve"> </w:t>
      </w:r>
      <w:r>
        <w:rPr>
          <w:rFonts w:ascii="Arial" w:cs="Arial" w:eastAsia="Arial" w:hAnsi="Arial"/>
          <w:sz w:val="18"/>
          <w:szCs w:val="18"/>
          <w:color w:val="231F20"/>
        </w:rPr>
        <w:t>incorporated by reference or a part of this report. Our annual reports on Form 10-K, quarterly reports on Form 10-Q, current reports on Form 8-K and all amendments to those reports, and the Proxy Statement for our Annual Meeting of Stockholders are available, free of charge, on our website as soon as practicable after the we file the reports with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4" w:right="33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GROCERY OUTLET HOLDING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80" w:type="dxa"/>
            <w:vAlign w:val="bottom"/>
            <w:gridSpan w:val="2"/>
          </w:tcPr>
          <w:p>
            <w:pPr>
              <w:ind w:left="220"/>
              <w:spacing w:after="0"/>
              <w:rPr>
                <w:sz w:val="20"/>
                <w:szCs w:val="20"/>
                <w:color w:val="auto"/>
              </w:rPr>
            </w:pPr>
            <w:r>
              <w:rPr>
                <w:rFonts w:ascii="Arial" w:cs="Arial" w:eastAsia="Arial" w:hAnsi="Arial"/>
                <w:sz w:val="14"/>
                <w:szCs w:val="14"/>
                <w:b w:val="1"/>
                <w:bCs w:val="1"/>
                <w:color w:val="auto"/>
              </w:rPr>
              <w:t>July 3,</w:t>
            </w:r>
          </w:p>
        </w:tc>
        <w:tc>
          <w:tcPr>
            <w:tcW w:w="260" w:type="dxa"/>
            <w:vAlign w:val="bottom"/>
          </w:tcPr>
          <w:p>
            <w:pPr>
              <w:spacing w:after="0"/>
              <w:rPr>
                <w:sz w:val="14"/>
                <w:szCs w:val="14"/>
                <w:color w:val="auto"/>
              </w:rPr>
            </w:pPr>
          </w:p>
        </w:tc>
        <w:tc>
          <w:tcPr>
            <w:tcW w:w="1220" w:type="dxa"/>
            <w:vAlign w:val="bottom"/>
          </w:tcPr>
          <w:p>
            <w:pPr>
              <w:jc w:val="right"/>
              <w:ind w:right="331"/>
              <w:spacing w:after="0"/>
              <w:rPr>
                <w:sz w:val="20"/>
                <w:szCs w:val="20"/>
                <w:color w:val="auto"/>
              </w:rPr>
            </w:pPr>
            <w:r>
              <w:rPr>
                <w:rFonts w:ascii="Arial" w:cs="Arial" w:eastAsia="Arial" w:hAnsi="Arial"/>
                <w:sz w:val="14"/>
                <w:szCs w:val="14"/>
                <w:b w:val="1"/>
                <w:bCs w:val="1"/>
                <w:color w:val="auto"/>
              </w:rPr>
              <w:t>January 2,</w:t>
            </w:r>
          </w:p>
        </w:tc>
        <w:tc>
          <w:tcPr>
            <w:tcW w:w="0" w:type="dxa"/>
            <w:vAlign w:val="bottom"/>
          </w:tcPr>
          <w:p>
            <w:pPr>
              <w:spacing w:after="0"/>
              <w:rPr>
                <w:sz w:val="1"/>
                <w:szCs w:val="1"/>
                <w:color w:val="auto"/>
              </w:rPr>
            </w:pPr>
          </w:p>
        </w:tc>
      </w:tr>
      <w:tr>
        <w:trPr>
          <w:trHeight w:val="188"/>
        </w:trPr>
        <w:tc>
          <w:tcPr>
            <w:tcW w:w="81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1"/>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16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126,623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105,326</w:t>
            </w:r>
          </w:p>
        </w:tc>
        <w:tc>
          <w:tcPr>
            <w:tcW w:w="0" w:type="dxa"/>
            <w:vAlign w:val="bottom"/>
          </w:tcPr>
          <w:p>
            <w:pPr>
              <w:spacing w:after="0"/>
              <w:rPr>
                <w:sz w:val="1"/>
                <w:szCs w:val="1"/>
                <w:color w:val="auto"/>
              </w:rPr>
            </w:pPr>
          </w:p>
        </w:tc>
      </w:tr>
      <w:tr>
        <w:trPr>
          <w:trHeight w:val="176"/>
        </w:trPr>
        <w:tc>
          <w:tcPr>
            <w:tcW w:w="8160" w:type="dxa"/>
            <w:vAlign w:val="bottom"/>
          </w:tcPr>
          <w:p>
            <w:pPr>
              <w:ind w:left="140"/>
              <w:spacing w:after="0" w:line="176" w:lineRule="exact"/>
              <w:rPr>
                <w:sz w:val="20"/>
                <w:szCs w:val="20"/>
                <w:color w:val="auto"/>
              </w:rPr>
            </w:pPr>
            <w:r>
              <w:rPr>
                <w:rFonts w:ascii="Arial" w:cs="Arial" w:eastAsia="Arial" w:hAnsi="Arial"/>
                <w:sz w:val="18"/>
                <w:szCs w:val="18"/>
                <w:color w:val="auto"/>
                <w:w w:val="92"/>
              </w:rPr>
              <w:t>Independent operator receivables and current portion of independent operator notes, net of allowance $1,216</w:t>
            </w:r>
          </w:p>
        </w:tc>
        <w:tc>
          <w:tcPr>
            <w:tcW w:w="32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6,286</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5,443</w:t>
            </w:r>
          </w:p>
        </w:tc>
        <w:tc>
          <w:tcPr>
            <w:tcW w:w="0" w:type="dxa"/>
            <w:vAlign w:val="bottom"/>
          </w:tcPr>
          <w:p>
            <w:pPr>
              <w:spacing w:after="0"/>
              <w:rPr>
                <w:sz w:val="1"/>
                <w:szCs w:val="1"/>
                <w:color w:val="auto"/>
              </w:rPr>
            </w:pPr>
          </w:p>
        </w:tc>
      </w:tr>
      <w:tr>
        <w:trPr>
          <w:trHeight w:val="229"/>
        </w:trPr>
        <w:tc>
          <w:tcPr>
            <w:tcW w:w="8160" w:type="dxa"/>
            <w:vAlign w:val="bottom"/>
          </w:tcPr>
          <w:p>
            <w:pPr>
              <w:ind w:left="140"/>
              <w:spacing w:after="0"/>
              <w:rPr>
                <w:sz w:val="20"/>
                <w:szCs w:val="20"/>
                <w:color w:val="auto"/>
              </w:rPr>
            </w:pPr>
            <w:r>
              <w:rPr>
                <w:rFonts w:ascii="Arial" w:cs="Arial" w:eastAsia="Arial" w:hAnsi="Arial"/>
                <w:sz w:val="18"/>
                <w:szCs w:val="18"/>
                <w:color w:val="auto"/>
              </w:rPr>
              <w:t>and $985</w:t>
            </w:r>
          </w:p>
        </w:tc>
        <w:tc>
          <w:tcPr>
            <w:tcW w:w="32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accounts receivable, net of allowance $28 and $39</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5,950</w:t>
            </w:r>
          </w:p>
        </w:tc>
        <w:tc>
          <w:tcPr>
            <w:tcW w:w="0" w:type="dxa"/>
            <w:vAlign w:val="bottom"/>
          </w:tcPr>
          <w:p>
            <w:pPr>
              <w:spacing w:after="0"/>
              <w:rPr>
                <w:sz w:val="1"/>
                <w:szCs w:val="1"/>
                <w:color w:val="auto"/>
              </w:rPr>
            </w:pPr>
          </w:p>
        </w:tc>
      </w:tr>
      <w:tr>
        <w:trPr>
          <w:trHeight w:val="229"/>
        </w:trPr>
        <w:tc>
          <w:tcPr>
            <w:tcW w:w="8160" w:type="dxa"/>
            <w:vAlign w:val="bottom"/>
          </w:tcPr>
          <w:p>
            <w:pPr>
              <w:ind w:left="140"/>
              <w:spacing w:after="0"/>
              <w:rPr>
                <w:sz w:val="20"/>
                <w:szCs w:val="20"/>
                <w:color w:val="auto"/>
              </w:rPr>
            </w:pPr>
            <w:r>
              <w:rPr>
                <w:rFonts w:ascii="Arial" w:cs="Arial" w:eastAsia="Arial" w:hAnsi="Arial"/>
                <w:sz w:val="18"/>
                <w:szCs w:val="18"/>
                <w:color w:val="auto"/>
              </w:rPr>
              <w:t>Merchandise inventories</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248,172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245,157</w:t>
            </w:r>
          </w:p>
        </w:tc>
        <w:tc>
          <w:tcPr>
            <w:tcW w:w="0" w:type="dxa"/>
            <w:vAlign w:val="bottom"/>
          </w:tcPr>
          <w:p>
            <w:pPr>
              <w:spacing w:after="0"/>
              <w:rPr>
                <w:sz w:val="1"/>
                <w:szCs w:val="1"/>
                <w:color w:val="auto"/>
              </w:rPr>
            </w:pPr>
          </w:p>
        </w:tc>
      </w:tr>
      <w:tr>
        <w:trPr>
          <w:trHeight w:val="229"/>
        </w:trPr>
        <w:tc>
          <w:tcPr>
            <w:tcW w:w="8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Prepaid expenses and other current assets</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17,845</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20,081</w:t>
            </w:r>
          </w:p>
        </w:tc>
        <w:tc>
          <w:tcPr>
            <w:tcW w:w="0" w:type="dxa"/>
            <w:vAlign w:val="bottom"/>
          </w:tcPr>
          <w:p>
            <w:pPr>
              <w:spacing w:after="0"/>
              <w:rPr>
                <w:sz w:val="1"/>
                <w:szCs w:val="1"/>
                <w:color w:val="auto"/>
              </w:rPr>
            </w:pPr>
          </w:p>
        </w:tc>
      </w:tr>
      <w:tr>
        <w:trPr>
          <w:trHeight w:val="223"/>
        </w:trPr>
        <w:tc>
          <w:tcPr>
            <w:tcW w:w="8160" w:type="dxa"/>
            <w:vAlign w:val="bottom"/>
          </w:tcPr>
          <w:p>
            <w:pPr>
              <w:ind w:left="240"/>
              <w:spacing w:after="0"/>
              <w:rPr>
                <w:sz w:val="20"/>
                <w:szCs w:val="20"/>
                <w:color w:val="auto"/>
              </w:rPr>
            </w:pPr>
            <w:r>
              <w:rPr>
                <w:rFonts w:ascii="Arial" w:cs="Arial" w:eastAsia="Arial" w:hAnsi="Arial"/>
                <w:sz w:val="18"/>
                <w:szCs w:val="18"/>
                <w:color w:val="auto"/>
              </w:rPr>
              <w:t>Total current assets</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401,990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381,957</w:t>
            </w:r>
          </w:p>
        </w:tc>
        <w:tc>
          <w:tcPr>
            <w:tcW w:w="0" w:type="dxa"/>
            <w:vAlign w:val="bottom"/>
          </w:tcPr>
          <w:p>
            <w:pPr>
              <w:spacing w:after="0"/>
              <w:rPr>
                <w:sz w:val="1"/>
                <w:szCs w:val="1"/>
                <w:color w:val="auto"/>
              </w:rPr>
            </w:pPr>
          </w:p>
        </w:tc>
      </w:tr>
      <w:tr>
        <w:trPr>
          <w:trHeight w:val="229"/>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Independent operator notes, net of allowance $8,961 and $7,124</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20,197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27,440</w:t>
            </w:r>
          </w:p>
        </w:tc>
        <w:tc>
          <w:tcPr>
            <w:tcW w:w="0" w:type="dxa"/>
            <w:vAlign w:val="bottom"/>
          </w:tcPr>
          <w:p>
            <w:pPr>
              <w:spacing w:after="0"/>
              <w:rPr>
                <w:sz w:val="1"/>
                <w:szCs w:val="1"/>
                <w:color w:val="auto"/>
              </w:rPr>
            </w:pPr>
          </w:p>
        </w:tc>
      </w:tr>
      <w:tr>
        <w:trPr>
          <w:trHeight w:val="230"/>
        </w:trPr>
        <w:tc>
          <w:tcPr>
            <w:tcW w:w="816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471,285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433,652</w:t>
            </w:r>
          </w:p>
        </w:tc>
        <w:tc>
          <w:tcPr>
            <w:tcW w:w="0" w:type="dxa"/>
            <w:vAlign w:val="bottom"/>
          </w:tcPr>
          <w:p>
            <w:pPr>
              <w:spacing w:after="0"/>
              <w:rPr>
                <w:sz w:val="1"/>
                <w:szCs w:val="1"/>
                <w:color w:val="auto"/>
              </w:rPr>
            </w:pPr>
          </w:p>
        </w:tc>
      </w:tr>
      <w:tr>
        <w:trPr>
          <w:trHeight w:val="229"/>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866,687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835,397</w:t>
            </w:r>
          </w:p>
        </w:tc>
        <w:tc>
          <w:tcPr>
            <w:tcW w:w="0" w:type="dxa"/>
            <w:vAlign w:val="bottom"/>
          </w:tcPr>
          <w:p>
            <w:pPr>
              <w:spacing w:after="0"/>
              <w:rPr>
                <w:sz w:val="1"/>
                <w:szCs w:val="1"/>
                <w:color w:val="auto"/>
              </w:rPr>
            </w:pPr>
          </w:p>
        </w:tc>
      </w:tr>
      <w:tr>
        <w:trPr>
          <w:trHeight w:val="229"/>
        </w:trPr>
        <w:tc>
          <w:tcPr>
            <w:tcW w:w="8160" w:type="dxa"/>
            <w:vAlign w:val="bottom"/>
          </w:tcPr>
          <w:p>
            <w:pPr>
              <w:ind w:left="20"/>
              <w:spacing w:after="0"/>
              <w:rPr>
                <w:sz w:val="20"/>
                <w:szCs w:val="20"/>
                <w:color w:val="auto"/>
              </w:rPr>
            </w:pPr>
            <w:r>
              <w:rPr>
                <w:rFonts w:ascii="Arial" w:cs="Arial" w:eastAsia="Arial" w:hAnsi="Arial"/>
                <w:sz w:val="18"/>
                <w:szCs w:val="18"/>
                <w:color w:val="auto"/>
              </w:rPr>
              <w:t>Intangible assets, net</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48,806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48,226</w:t>
            </w:r>
          </w:p>
        </w:tc>
        <w:tc>
          <w:tcPr>
            <w:tcW w:w="0" w:type="dxa"/>
            <w:vAlign w:val="bottom"/>
          </w:tcPr>
          <w:p>
            <w:pPr>
              <w:spacing w:after="0"/>
              <w:rPr>
                <w:sz w:val="1"/>
                <w:szCs w:val="1"/>
                <w:color w:val="auto"/>
              </w:rPr>
            </w:pPr>
          </w:p>
        </w:tc>
      </w:tr>
      <w:tr>
        <w:trPr>
          <w:trHeight w:val="230"/>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747,943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747,943</w:t>
            </w:r>
          </w:p>
        </w:tc>
        <w:tc>
          <w:tcPr>
            <w:tcW w:w="0" w:type="dxa"/>
            <w:vAlign w:val="bottom"/>
          </w:tcPr>
          <w:p>
            <w:pPr>
              <w:spacing w:after="0"/>
              <w:rPr>
                <w:sz w:val="1"/>
                <w:szCs w:val="1"/>
                <w:color w:val="auto"/>
              </w:rPr>
            </w:pPr>
          </w:p>
        </w:tc>
      </w:tr>
      <w:tr>
        <w:trPr>
          <w:trHeight w:val="229"/>
        </w:trPr>
        <w:tc>
          <w:tcPr>
            <w:tcW w:w="8160" w:type="dxa"/>
            <w:vAlign w:val="bottom"/>
          </w:tcPr>
          <w:p>
            <w:pPr>
              <w:ind w:left="20"/>
              <w:spacing w:after="0"/>
              <w:rPr>
                <w:sz w:val="20"/>
                <w:szCs w:val="20"/>
                <w:color w:val="auto"/>
              </w:rPr>
            </w:pPr>
            <w:r>
              <w:rPr>
                <w:rFonts w:ascii="Arial" w:cs="Arial" w:eastAsia="Arial" w:hAnsi="Arial"/>
                <w:sz w:val="18"/>
                <w:szCs w:val="18"/>
                <w:color w:val="auto"/>
              </w:rPr>
              <w:t>Deferred income tax assets, net</w:t>
            </w:r>
          </w:p>
        </w:tc>
        <w:tc>
          <w:tcPr>
            <w:tcW w:w="32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3,529</w:t>
            </w:r>
          </w:p>
        </w:tc>
        <w:tc>
          <w:tcPr>
            <w:tcW w:w="0" w:type="dxa"/>
            <w:vAlign w:val="bottom"/>
          </w:tcPr>
          <w:p>
            <w:pPr>
              <w:spacing w:after="0"/>
              <w:rPr>
                <w:sz w:val="1"/>
                <w:szCs w:val="1"/>
                <w:color w:val="auto"/>
              </w:rPr>
            </w:pPr>
          </w:p>
        </w:tc>
      </w:tr>
      <w:tr>
        <w:trPr>
          <w:trHeight w:val="230"/>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8,844</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7,480</w:t>
            </w:r>
          </w:p>
        </w:tc>
        <w:tc>
          <w:tcPr>
            <w:tcW w:w="0" w:type="dxa"/>
            <w:vAlign w:val="bottom"/>
          </w:tcPr>
          <w:p>
            <w:pPr>
              <w:spacing w:after="0"/>
              <w:rPr>
                <w:sz w:val="1"/>
                <w:szCs w:val="1"/>
                <w:color w:val="auto"/>
              </w:rPr>
            </w:pPr>
          </w:p>
        </w:tc>
      </w:tr>
      <w:tr>
        <w:trPr>
          <w:trHeight w:val="223"/>
        </w:trPr>
        <w:tc>
          <w:tcPr>
            <w:tcW w:w="8160" w:type="dxa"/>
            <w:vAlign w:val="bottom"/>
          </w:tcPr>
          <w:p>
            <w:pPr>
              <w:ind w:left="560"/>
              <w:spacing w:after="0"/>
              <w:rPr>
                <w:sz w:val="20"/>
                <w:szCs w:val="20"/>
                <w:color w:val="auto"/>
              </w:rPr>
            </w:pPr>
            <w:r>
              <w:rPr>
                <w:rFonts w:ascii="Arial" w:cs="Arial" w:eastAsia="Arial" w:hAnsi="Arial"/>
                <w:sz w:val="18"/>
                <w:szCs w:val="18"/>
                <w:color w:val="auto"/>
              </w:rPr>
              <w:t>Total assets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2,565,752</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2,485,624</w:t>
            </w:r>
          </w:p>
        </w:tc>
        <w:tc>
          <w:tcPr>
            <w:tcW w:w="0" w:type="dxa"/>
            <w:vAlign w:val="bottom"/>
          </w:tcPr>
          <w:p>
            <w:pPr>
              <w:spacing w:after="0"/>
              <w:rPr>
                <w:sz w:val="1"/>
                <w:szCs w:val="1"/>
                <w:color w:val="auto"/>
              </w:rPr>
            </w:pPr>
          </w:p>
        </w:tc>
      </w:tr>
      <w:tr>
        <w:trPr>
          <w:trHeight w:val="20"/>
        </w:trPr>
        <w:tc>
          <w:tcPr>
            <w:tcW w:w="81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1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16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Trade accounts payable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112,062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114,278</w:t>
            </w:r>
          </w:p>
        </w:tc>
        <w:tc>
          <w:tcPr>
            <w:tcW w:w="0" w:type="dxa"/>
            <w:vAlign w:val="bottom"/>
          </w:tcPr>
          <w:p>
            <w:pPr>
              <w:spacing w:after="0"/>
              <w:rPr>
                <w:sz w:val="1"/>
                <w:szCs w:val="1"/>
                <w:color w:val="auto"/>
              </w:rPr>
            </w:pPr>
          </w:p>
        </w:tc>
      </w:tr>
      <w:tr>
        <w:trPr>
          <w:trHeight w:val="230"/>
        </w:trPr>
        <w:tc>
          <w:tcPr>
            <w:tcW w:w="8160" w:type="dxa"/>
            <w:vAlign w:val="bottom"/>
          </w:tcPr>
          <w:p>
            <w:pPr>
              <w:ind w:left="140"/>
              <w:spacing w:after="0"/>
              <w:rPr>
                <w:sz w:val="20"/>
                <w:szCs w:val="20"/>
                <w:color w:val="auto"/>
              </w:rPr>
            </w:pPr>
            <w:r>
              <w:rPr>
                <w:rFonts w:ascii="Arial" w:cs="Arial" w:eastAsia="Arial" w:hAnsi="Arial"/>
                <w:sz w:val="18"/>
                <w:szCs w:val="18"/>
                <w:color w:val="auto"/>
              </w:rPr>
              <w:t>Accrued expenses</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39,180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35,699</w:t>
            </w:r>
          </w:p>
        </w:tc>
        <w:tc>
          <w:tcPr>
            <w:tcW w:w="0" w:type="dxa"/>
            <w:vAlign w:val="bottom"/>
          </w:tcPr>
          <w:p>
            <w:pPr>
              <w:spacing w:after="0"/>
              <w:rPr>
                <w:sz w:val="1"/>
                <w:szCs w:val="1"/>
                <w:color w:val="auto"/>
              </w:rPr>
            </w:pPr>
          </w:p>
        </w:tc>
      </w:tr>
      <w:tr>
        <w:trPr>
          <w:trHeight w:val="230"/>
        </w:trPr>
        <w:tc>
          <w:tcPr>
            <w:tcW w:w="8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compensation</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11,033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26,447</w:t>
            </w:r>
          </w:p>
        </w:tc>
        <w:tc>
          <w:tcPr>
            <w:tcW w:w="0" w:type="dxa"/>
            <w:vAlign w:val="bottom"/>
          </w:tcPr>
          <w:p>
            <w:pPr>
              <w:spacing w:after="0"/>
              <w:rPr>
                <w:sz w:val="1"/>
                <w:szCs w:val="1"/>
                <w:color w:val="auto"/>
              </w:rPr>
            </w:pPr>
          </w:p>
        </w:tc>
      </w:tr>
      <w:tr>
        <w:trPr>
          <w:trHeight w:val="230"/>
        </w:trPr>
        <w:tc>
          <w:tcPr>
            <w:tcW w:w="8160" w:type="dxa"/>
            <w:vAlign w:val="bottom"/>
          </w:tcPr>
          <w:p>
            <w:pPr>
              <w:ind w:left="140"/>
              <w:spacing w:after="0"/>
              <w:rPr>
                <w:sz w:val="20"/>
                <w:szCs w:val="20"/>
                <w:color w:val="auto"/>
              </w:rPr>
            </w:pPr>
            <w:r>
              <w:rPr>
                <w:rFonts w:ascii="Arial" w:cs="Arial" w:eastAsia="Arial" w:hAnsi="Arial"/>
                <w:sz w:val="18"/>
                <w:szCs w:val="18"/>
                <w:color w:val="auto"/>
              </w:rPr>
              <w:t>Current lease liabilities</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44,813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48,675</w:t>
            </w:r>
          </w:p>
        </w:tc>
        <w:tc>
          <w:tcPr>
            <w:tcW w:w="0" w:type="dxa"/>
            <w:vAlign w:val="bottom"/>
          </w:tcPr>
          <w:p>
            <w:pPr>
              <w:spacing w:after="0"/>
              <w:rPr>
                <w:sz w:val="1"/>
                <w:szCs w:val="1"/>
                <w:color w:val="auto"/>
              </w:rPr>
            </w:pPr>
          </w:p>
        </w:tc>
      </w:tr>
      <w:tr>
        <w:trPr>
          <w:trHeight w:val="229"/>
        </w:trPr>
        <w:tc>
          <w:tcPr>
            <w:tcW w:w="8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 and other taxes payable</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6,805</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7,547</w:t>
            </w:r>
          </w:p>
        </w:tc>
        <w:tc>
          <w:tcPr>
            <w:tcW w:w="0" w:type="dxa"/>
            <w:vAlign w:val="bottom"/>
          </w:tcPr>
          <w:p>
            <w:pPr>
              <w:spacing w:after="0"/>
              <w:rPr>
                <w:sz w:val="1"/>
                <w:szCs w:val="1"/>
                <w:color w:val="auto"/>
              </w:rPr>
            </w:pPr>
          </w:p>
        </w:tc>
      </w:tr>
      <w:tr>
        <w:trPr>
          <w:trHeight w:val="223"/>
        </w:trPr>
        <w:tc>
          <w:tcPr>
            <w:tcW w:w="8160" w:type="dxa"/>
            <w:vAlign w:val="bottom"/>
          </w:tcPr>
          <w:p>
            <w:pPr>
              <w:ind w:left="240"/>
              <w:spacing w:after="0"/>
              <w:rPr>
                <w:sz w:val="20"/>
                <w:szCs w:val="20"/>
                <w:color w:val="auto"/>
              </w:rPr>
            </w:pPr>
            <w:r>
              <w:rPr>
                <w:rFonts w:ascii="Arial" w:cs="Arial" w:eastAsia="Arial" w:hAnsi="Arial"/>
                <w:sz w:val="18"/>
                <w:szCs w:val="18"/>
                <w:color w:val="auto"/>
              </w:rPr>
              <w:t>Total current liabilities</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213,893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232,646</w:t>
            </w:r>
          </w:p>
        </w:tc>
        <w:tc>
          <w:tcPr>
            <w:tcW w:w="0" w:type="dxa"/>
            <w:vAlign w:val="bottom"/>
          </w:tcPr>
          <w:p>
            <w:pPr>
              <w:spacing w:after="0"/>
              <w:rPr>
                <w:sz w:val="1"/>
                <w:szCs w:val="1"/>
                <w:color w:val="auto"/>
              </w:rPr>
            </w:pPr>
          </w:p>
        </w:tc>
      </w:tr>
      <w:tr>
        <w:trPr>
          <w:trHeight w:val="229"/>
        </w:trPr>
        <w:tc>
          <w:tcPr>
            <w:tcW w:w="8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Long-term debt, net</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450,302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449,233</w:t>
            </w:r>
          </w:p>
        </w:tc>
        <w:tc>
          <w:tcPr>
            <w:tcW w:w="0" w:type="dxa"/>
            <w:vAlign w:val="bottom"/>
          </w:tcPr>
          <w:p>
            <w:pPr>
              <w:spacing w:after="0"/>
              <w:rPr>
                <w:sz w:val="1"/>
                <w:szCs w:val="1"/>
                <w:color w:val="auto"/>
              </w:rPr>
            </w:pPr>
          </w:p>
        </w:tc>
      </w:tr>
      <w:tr>
        <w:trPr>
          <w:trHeight w:val="230"/>
        </w:trPr>
        <w:tc>
          <w:tcPr>
            <w:tcW w:w="8160" w:type="dxa"/>
            <w:vAlign w:val="bottom"/>
          </w:tcPr>
          <w:p>
            <w:pPr>
              <w:ind w:left="40"/>
              <w:spacing w:after="0"/>
              <w:rPr>
                <w:sz w:val="20"/>
                <w:szCs w:val="20"/>
                <w:color w:val="auto"/>
              </w:rPr>
            </w:pPr>
            <w:r>
              <w:rPr>
                <w:rFonts w:ascii="Arial" w:cs="Arial" w:eastAsia="Arial" w:hAnsi="Arial"/>
                <w:sz w:val="18"/>
                <w:szCs w:val="18"/>
                <w:color w:val="auto"/>
              </w:rPr>
              <w:t>Deferred income tax liabilities, net</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1,038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Long-term lease liabilities</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926,636</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881,438</w:t>
            </w:r>
          </w:p>
        </w:tc>
        <w:tc>
          <w:tcPr>
            <w:tcW w:w="0" w:type="dxa"/>
            <w:vAlign w:val="bottom"/>
          </w:tcPr>
          <w:p>
            <w:pPr>
              <w:spacing w:after="0"/>
              <w:rPr>
                <w:sz w:val="1"/>
                <w:szCs w:val="1"/>
                <w:color w:val="auto"/>
              </w:rPr>
            </w:pPr>
          </w:p>
        </w:tc>
      </w:tr>
      <w:tr>
        <w:trPr>
          <w:trHeight w:val="223"/>
        </w:trPr>
        <w:tc>
          <w:tcPr>
            <w:tcW w:w="81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liabilities</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1,591,869</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1,563,317</w:t>
            </w:r>
          </w:p>
        </w:tc>
        <w:tc>
          <w:tcPr>
            <w:tcW w:w="0" w:type="dxa"/>
            <w:vAlign w:val="bottom"/>
          </w:tcPr>
          <w:p>
            <w:pPr>
              <w:spacing w:after="0"/>
              <w:rPr>
                <w:sz w:val="1"/>
                <w:szCs w:val="1"/>
                <w:color w:val="auto"/>
              </w:rPr>
            </w:pPr>
          </w:p>
        </w:tc>
      </w:tr>
      <w:tr>
        <w:trPr>
          <w:trHeight w:val="210"/>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and contingencies (Note 7)</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16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16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0"/>
              </w:rPr>
              <w:t>Voting common stock, par value $0.001 per share, 500,000,000 shares authorized; 95,837,220 and 94,854,336</w:t>
            </w:r>
          </w:p>
        </w:tc>
        <w:tc>
          <w:tcPr>
            <w:tcW w:w="32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29"/>
        </w:trPr>
        <w:tc>
          <w:tcPr>
            <w:tcW w:w="8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shares issued and outstanding, respectively</w:t>
            </w:r>
          </w:p>
        </w:tc>
        <w:tc>
          <w:tcPr>
            <w:tcW w:w="320" w:type="dxa"/>
            <w:vAlign w:val="bottom"/>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60" w:type="dxa"/>
            <w:vAlign w:val="bottom"/>
          </w:tcPr>
          <w:p>
            <w:pPr>
              <w:ind w:left="140"/>
              <w:spacing w:after="0"/>
              <w:rPr>
                <w:sz w:val="20"/>
                <w:szCs w:val="20"/>
                <w:color w:val="auto"/>
              </w:rPr>
            </w:pPr>
            <w:r>
              <w:rPr>
                <w:rFonts w:ascii="Arial" w:cs="Arial" w:eastAsia="Arial" w:hAnsi="Arial"/>
                <w:sz w:val="18"/>
                <w:szCs w:val="18"/>
                <w:color w:val="auto"/>
              </w:rPr>
              <w:t>Additional paid-in capital</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800,090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787,047</w:t>
            </w:r>
          </w:p>
        </w:tc>
        <w:tc>
          <w:tcPr>
            <w:tcW w:w="0" w:type="dxa"/>
            <w:vAlign w:val="bottom"/>
          </w:tcPr>
          <w:p>
            <w:pPr>
              <w:spacing w:after="0"/>
              <w:rPr>
                <w:sz w:val="1"/>
                <w:szCs w:val="1"/>
                <w:color w:val="auto"/>
              </w:rPr>
            </w:pPr>
          </w:p>
        </w:tc>
      </w:tr>
      <w:tr>
        <w:trPr>
          <w:trHeight w:val="230"/>
        </w:trPr>
        <w:tc>
          <w:tcPr>
            <w:tcW w:w="8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Retained earnings</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173,697</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135,165</w:t>
            </w:r>
          </w:p>
        </w:tc>
        <w:tc>
          <w:tcPr>
            <w:tcW w:w="0" w:type="dxa"/>
            <w:vAlign w:val="bottom"/>
          </w:tcPr>
          <w:p>
            <w:pPr>
              <w:spacing w:after="0"/>
              <w:rPr>
                <w:sz w:val="1"/>
                <w:szCs w:val="1"/>
                <w:color w:val="auto"/>
              </w:rPr>
            </w:pPr>
          </w:p>
        </w:tc>
      </w:tr>
      <w:tr>
        <w:trPr>
          <w:trHeight w:val="223"/>
        </w:trPr>
        <w:tc>
          <w:tcPr>
            <w:tcW w:w="81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stockholders' equity</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973,883</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922,307</w:t>
            </w:r>
          </w:p>
        </w:tc>
        <w:tc>
          <w:tcPr>
            <w:tcW w:w="0" w:type="dxa"/>
            <w:vAlign w:val="bottom"/>
          </w:tcPr>
          <w:p>
            <w:pPr>
              <w:spacing w:after="0"/>
              <w:rPr>
                <w:sz w:val="1"/>
                <w:szCs w:val="1"/>
                <w:color w:val="auto"/>
              </w:rPr>
            </w:pPr>
          </w:p>
        </w:tc>
      </w:tr>
      <w:tr>
        <w:trPr>
          <w:trHeight w:val="248"/>
        </w:trPr>
        <w:tc>
          <w:tcPr>
            <w:tcW w:w="816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Total liabilities and stockholders' equity</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2,565,752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2,485,624</w:t>
            </w:r>
          </w:p>
        </w:tc>
        <w:tc>
          <w:tcPr>
            <w:tcW w:w="0" w:type="dxa"/>
            <w:vAlign w:val="bottom"/>
          </w:tcPr>
          <w:p>
            <w:pPr>
              <w:spacing w:after="0"/>
              <w:rPr>
                <w:sz w:val="1"/>
                <w:szCs w:val="1"/>
                <w:color w:val="auto"/>
              </w:rPr>
            </w:pP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4" w:right="3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GROCERY OUTLET HOLDING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13 Weeks Ended</w:t>
            </w: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26 Weeks Ended</w:t>
            </w: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49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60" w:type="dxa"/>
            <w:vAlign w:val="bottom"/>
            <w:gridSpan w:val="2"/>
          </w:tcPr>
          <w:p>
            <w:pPr>
              <w:ind w:left="220"/>
              <w:spacing w:after="0" w:line="135" w:lineRule="exact"/>
              <w:rPr>
                <w:sz w:val="20"/>
                <w:szCs w:val="20"/>
                <w:color w:val="auto"/>
              </w:rPr>
            </w:pPr>
            <w:r>
              <w:rPr>
                <w:rFonts w:ascii="Arial" w:cs="Arial" w:eastAsia="Arial" w:hAnsi="Arial"/>
                <w:sz w:val="14"/>
                <w:szCs w:val="14"/>
                <w:b w:val="1"/>
                <w:bCs w:val="1"/>
                <w:color w:val="auto"/>
              </w:rPr>
              <w:t>July 3,</w:t>
            </w:r>
          </w:p>
        </w:tc>
        <w:tc>
          <w:tcPr>
            <w:tcW w:w="480" w:type="dxa"/>
            <w:vAlign w:val="bottom"/>
          </w:tcPr>
          <w:p>
            <w:pPr>
              <w:spacing w:after="0"/>
              <w:rPr>
                <w:sz w:val="11"/>
                <w:szCs w:val="11"/>
                <w:color w:val="auto"/>
              </w:rPr>
            </w:pPr>
          </w:p>
        </w:tc>
        <w:tc>
          <w:tcPr>
            <w:tcW w:w="1020" w:type="dxa"/>
            <w:vAlign w:val="bottom"/>
          </w:tcPr>
          <w:p>
            <w:pPr>
              <w:jc w:val="right"/>
              <w:ind w:right="412"/>
              <w:spacing w:after="0" w:line="135" w:lineRule="exact"/>
              <w:rPr>
                <w:sz w:val="20"/>
                <w:szCs w:val="20"/>
                <w:color w:val="auto"/>
              </w:rPr>
            </w:pPr>
            <w:r>
              <w:rPr>
                <w:rFonts w:ascii="Arial" w:cs="Arial" w:eastAsia="Arial" w:hAnsi="Arial"/>
                <w:sz w:val="14"/>
                <w:szCs w:val="14"/>
                <w:b w:val="1"/>
                <w:bCs w:val="1"/>
                <w:color w:val="auto"/>
                <w:w w:val="89"/>
              </w:rPr>
              <w:t>June 27,</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80" w:type="dxa"/>
            <w:vAlign w:val="bottom"/>
            <w:gridSpan w:val="2"/>
          </w:tcPr>
          <w:p>
            <w:pPr>
              <w:ind w:left="220"/>
              <w:spacing w:after="0" w:line="135" w:lineRule="exact"/>
              <w:rPr>
                <w:sz w:val="20"/>
                <w:szCs w:val="20"/>
                <w:color w:val="auto"/>
              </w:rPr>
            </w:pPr>
            <w:r>
              <w:rPr>
                <w:rFonts w:ascii="Arial" w:cs="Arial" w:eastAsia="Arial" w:hAnsi="Arial"/>
                <w:sz w:val="14"/>
                <w:szCs w:val="14"/>
                <w:b w:val="1"/>
                <w:bCs w:val="1"/>
                <w:color w:val="auto"/>
              </w:rPr>
              <w:t>July 3,</w:t>
            </w:r>
          </w:p>
        </w:tc>
        <w:tc>
          <w:tcPr>
            <w:tcW w:w="460" w:type="dxa"/>
            <w:vAlign w:val="bottom"/>
          </w:tcPr>
          <w:p>
            <w:pPr>
              <w:spacing w:after="0"/>
              <w:rPr>
                <w:sz w:val="11"/>
                <w:szCs w:val="11"/>
                <w:color w:val="auto"/>
              </w:rPr>
            </w:pPr>
          </w:p>
        </w:tc>
        <w:tc>
          <w:tcPr>
            <w:tcW w:w="1020" w:type="dxa"/>
            <w:vAlign w:val="bottom"/>
          </w:tcPr>
          <w:p>
            <w:pPr>
              <w:jc w:val="right"/>
              <w:ind w:right="392"/>
              <w:spacing w:after="0" w:line="135" w:lineRule="exact"/>
              <w:rPr>
                <w:sz w:val="20"/>
                <w:szCs w:val="20"/>
                <w:color w:val="auto"/>
              </w:rPr>
            </w:pPr>
            <w:r>
              <w:rPr>
                <w:rFonts w:ascii="Arial" w:cs="Arial" w:eastAsia="Arial" w:hAnsi="Arial"/>
                <w:sz w:val="14"/>
                <w:szCs w:val="14"/>
                <w:b w:val="1"/>
                <w:bCs w:val="1"/>
                <w:color w:val="auto"/>
                <w:w w:val="92"/>
              </w:rPr>
              <w:t>June 27,</w:t>
            </w:r>
          </w:p>
        </w:tc>
        <w:tc>
          <w:tcPr>
            <w:tcW w:w="0" w:type="dxa"/>
            <w:vAlign w:val="bottom"/>
          </w:tcPr>
          <w:p>
            <w:pPr>
              <w:spacing w:after="0"/>
              <w:rPr>
                <w:sz w:val="1"/>
                <w:szCs w:val="1"/>
                <w:color w:val="auto"/>
              </w:rPr>
            </w:pPr>
          </w:p>
        </w:tc>
      </w:tr>
      <w:tr>
        <w:trPr>
          <w:trHeight w:val="188"/>
        </w:trPr>
        <w:tc>
          <w:tcPr>
            <w:tcW w:w="49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4"/>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775,535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803,429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1,528,001</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1,563,737</w:t>
            </w:r>
          </w:p>
        </w:tc>
        <w:tc>
          <w:tcPr>
            <w:tcW w:w="0" w:type="dxa"/>
            <w:vAlign w:val="bottom"/>
          </w:tcPr>
          <w:p>
            <w:pPr>
              <w:spacing w:after="0"/>
              <w:rPr>
                <w:sz w:val="1"/>
                <w:szCs w:val="1"/>
                <w:color w:val="auto"/>
              </w:rPr>
            </w:pPr>
          </w:p>
        </w:tc>
      </w:tr>
      <w:tr>
        <w:trPr>
          <w:trHeight w:val="229"/>
        </w:trPr>
        <w:tc>
          <w:tcPr>
            <w:tcW w:w="4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sales</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537,737</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549,678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1,058,276</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1,072,960</w:t>
            </w:r>
          </w:p>
        </w:tc>
        <w:tc>
          <w:tcPr>
            <w:tcW w:w="0" w:type="dxa"/>
            <w:vAlign w:val="bottom"/>
          </w:tcPr>
          <w:p>
            <w:pPr>
              <w:spacing w:after="0"/>
              <w:rPr>
                <w:sz w:val="1"/>
                <w:szCs w:val="1"/>
                <w:color w:val="auto"/>
              </w:rPr>
            </w:pPr>
          </w:p>
        </w:tc>
      </w:tr>
      <w:tr>
        <w:trPr>
          <w:trHeight w:val="223"/>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237,798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253,751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469,725</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490,777</w:t>
            </w:r>
          </w:p>
        </w:tc>
        <w:tc>
          <w:tcPr>
            <w:tcW w:w="0" w:type="dxa"/>
            <w:vAlign w:val="bottom"/>
          </w:tcPr>
          <w:p>
            <w:pPr>
              <w:spacing w:after="0"/>
              <w:rPr>
                <w:sz w:val="1"/>
                <w:szCs w:val="1"/>
                <w:color w:val="auto"/>
              </w:rPr>
            </w:pPr>
          </w:p>
        </w:tc>
      </w:tr>
      <w:tr>
        <w:trPr>
          <w:trHeight w:val="229"/>
        </w:trPr>
        <w:tc>
          <w:tcPr>
            <w:tcW w:w="498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Selling, general and administrative</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192,955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198,002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381,553</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384,933</w:t>
            </w:r>
          </w:p>
        </w:tc>
        <w:tc>
          <w:tcPr>
            <w:tcW w:w="0" w:type="dxa"/>
            <w:vAlign w:val="bottom"/>
          </w:tcPr>
          <w:p>
            <w:pPr>
              <w:spacing w:after="0"/>
              <w:rPr>
                <w:sz w:val="1"/>
                <w:szCs w:val="1"/>
                <w:color w:val="auto"/>
              </w:rPr>
            </w:pPr>
          </w:p>
        </w:tc>
      </w:tr>
      <w:tr>
        <w:trPr>
          <w:trHeight w:val="229"/>
        </w:trPr>
        <w:tc>
          <w:tcPr>
            <w:tcW w:w="498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16,959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13,215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32,502</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26,160</w:t>
            </w:r>
          </w:p>
        </w:tc>
        <w:tc>
          <w:tcPr>
            <w:tcW w:w="0" w:type="dxa"/>
            <w:vAlign w:val="bottom"/>
          </w:tcPr>
          <w:p>
            <w:pPr>
              <w:spacing w:after="0"/>
              <w:rPr>
                <w:sz w:val="1"/>
                <w:szCs w:val="1"/>
                <w:color w:val="auto"/>
              </w:rPr>
            </w:pPr>
          </w:p>
        </w:tc>
      </w:tr>
      <w:tr>
        <w:trPr>
          <w:trHeight w:val="229"/>
        </w:trPr>
        <w:tc>
          <w:tcPr>
            <w:tcW w:w="4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Share-based compensation</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4,210</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10,175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8,149</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30,452</w:t>
            </w:r>
          </w:p>
        </w:tc>
        <w:tc>
          <w:tcPr>
            <w:tcW w:w="0" w:type="dxa"/>
            <w:vAlign w:val="bottom"/>
          </w:tcPr>
          <w:p>
            <w:pPr>
              <w:spacing w:after="0"/>
              <w:rPr>
                <w:sz w:val="1"/>
                <w:szCs w:val="1"/>
                <w:color w:val="auto"/>
              </w:rPr>
            </w:pPr>
          </w:p>
        </w:tc>
      </w:tr>
      <w:tr>
        <w:trPr>
          <w:trHeight w:val="223"/>
        </w:trPr>
        <w:tc>
          <w:tcPr>
            <w:tcW w:w="49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214,124</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221,392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422,204</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441,545</w:t>
            </w:r>
          </w:p>
        </w:tc>
        <w:tc>
          <w:tcPr>
            <w:tcW w:w="0" w:type="dxa"/>
            <w:vAlign w:val="bottom"/>
          </w:tcPr>
          <w:p>
            <w:pPr>
              <w:spacing w:after="0"/>
              <w:rPr>
                <w:sz w:val="1"/>
                <w:szCs w:val="1"/>
                <w:color w:val="auto"/>
              </w:rPr>
            </w:pPr>
          </w:p>
        </w:tc>
      </w:tr>
      <w:tr>
        <w:trPr>
          <w:trHeight w:val="223"/>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23,674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32,359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47,521</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49,232</w:t>
            </w:r>
          </w:p>
        </w:tc>
        <w:tc>
          <w:tcPr>
            <w:tcW w:w="0" w:type="dxa"/>
            <w:vAlign w:val="bottom"/>
          </w:tcPr>
          <w:p>
            <w:pPr>
              <w:spacing w:after="0"/>
              <w:rPr>
                <w:sz w:val="1"/>
                <w:szCs w:val="1"/>
                <w:color w:val="auto"/>
              </w:rPr>
            </w:pPr>
          </w:p>
        </w:tc>
      </w:tr>
      <w:tr>
        <w:trPr>
          <w:trHeight w:val="229"/>
        </w:trPr>
        <w:tc>
          <w:tcPr>
            <w:tcW w:w="4980" w:type="dxa"/>
            <w:vAlign w:val="bottom"/>
          </w:tcPr>
          <w:p>
            <w:pPr>
              <w:ind w:left="20"/>
              <w:spacing w:after="0"/>
              <w:rPr>
                <w:sz w:val="20"/>
                <w:szCs w:val="20"/>
                <w:color w:val="auto"/>
              </w:rPr>
            </w:pPr>
            <w:r>
              <w:rPr>
                <w:rFonts w:ascii="Arial" w:cs="Arial" w:eastAsia="Arial" w:hAnsi="Arial"/>
                <w:sz w:val="18"/>
                <w:szCs w:val="18"/>
                <w:color w:val="auto"/>
              </w:rPr>
              <w:t>Other expenses (income):</w:t>
            </w: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 net</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7,828</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11,104</w:t>
            </w:r>
          </w:p>
        </w:tc>
        <w:tc>
          <w:tcPr>
            <w:tcW w:w="0" w:type="dxa"/>
            <w:vAlign w:val="bottom"/>
          </w:tcPr>
          <w:p>
            <w:pPr>
              <w:spacing w:after="0"/>
              <w:rPr>
                <w:sz w:val="1"/>
                <w:szCs w:val="1"/>
                <w:color w:val="auto"/>
              </w:rPr>
            </w:pPr>
          </w:p>
        </w:tc>
      </w:tr>
      <w:tr>
        <w:trPr>
          <w:trHeight w:val="230"/>
        </w:trPr>
        <w:tc>
          <w:tcPr>
            <w:tcW w:w="4980" w:type="dxa"/>
            <w:vAlign w:val="bottom"/>
          </w:tcPr>
          <w:p>
            <w:pPr>
              <w:ind w:left="220"/>
              <w:spacing w:after="0"/>
              <w:rPr>
                <w:sz w:val="20"/>
                <w:szCs w:val="20"/>
                <w:color w:val="auto"/>
              </w:rPr>
            </w:pPr>
            <w:r>
              <w:rPr>
                <w:rFonts w:ascii="Arial" w:cs="Arial" w:eastAsia="Arial" w:hAnsi="Arial"/>
                <w:sz w:val="18"/>
                <w:szCs w:val="18"/>
                <w:color w:val="auto"/>
              </w:rPr>
              <w:t>Gain on insurance recoveries</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(3,970)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(3,970)</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Debt extinguishment and modification costs</w:t>
            </w:r>
          </w:p>
        </w:tc>
        <w:tc>
          <w:tcPr>
            <w:tcW w:w="3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23"/>
        </w:trPr>
        <w:tc>
          <w:tcPr>
            <w:tcW w:w="49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other expenses (income)</w:t>
            </w:r>
          </w:p>
        </w:tc>
        <w:tc>
          <w:tcPr>
            <w:tcW w:w="3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5,270</w:t>
            </w:r>
          </w:p>
        </w:tc>
        <w:tc>
          <w:tcPr>
            <w:tcW w:w="1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3,858</w:t>
            </w:r>
          </w:p>
        </w:tc>
        <w:tc>
          <w:tcPr>
            <w:tcW w:w="120" w:type="dxa"/>
            <w:vAlign w:val="bottom"/>
            <w:tcBorders>
              <w:bottom w:val="single" w:sz="8" w:color="CCEEFF"/>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11,302</w:t>
            </w:r>
          </w:p>
        </w:tc>
        <w:tc>
          <w:tcPr>
            <w:tcW w:w="0" w:type="dxa"/>
            <w:vAlign w:val="bottom"/>
          </w:tcPr>
          <w:p>
            <w:pPr>
              <w:spacing w:after="0"/>
              <w:rPr>
                <w:sz w:val="1"/>
                <w:szCs w:val="1"/>
                <w:color w:val="auto"/>
              </w:rPr>
            </w:pPr>
          </w:p>
        </w:tc>
      </w:tr>
      <w:tr>
        <w:trPr>
          <w:trHeight w:val="223"/>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23,722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27,089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43,663</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37,930</w:t>
            </w:r>
          </w:p>
        </w:tc>
        <w:tc>
          <w:tcPr>
            <w:tcW w:w="0" w:type="dxa"/>
            <w:vAlign w:val="bottom"/>
          </w:tcPr>
          <w:p>
            <w:pPr>
              <w:spacing w:after="0"/>
              <w:rPr>
                <w:sz w:val="1"/>
                <w:szCs w:val="1"/>
                <w:color w:val="auto"/>
              </w:rPr>
            </w:pPr>
          </w:p>
        </w:tc>
      </w:tr>
      <w:tr>
        <w:trPr>
          <w:trHeight w:val="230"/>
        </w:trPr>
        <w:tc>
          <w:tcPr>
            <w:tcW w:w="4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expense (benefit)</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4,082</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5,131</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(4,045)</w:t>
            </w:r>
          </w:p>
        </w:tc>
        <w:tc>
          <w:tcPr>
            <w:tcW w:w="0" w:type="dxa"/>
            <w:vAlign w:val="bottom"/>
          </w:tcPr>
          <w:p>
            <w:pPr>
              <w:spacing w:after="0"/>
              <w:rPr>
                <w:sz w:val="1"/>
                <w:szCs w:val="1"/>
                <w:color w:val="auto"/>
              </w:rPr>
            </w:pPr>
          </w:p>
        </w:tc>
      </w:tr>
      <w:tr>
        <w:trPr>
          <w:trHeight w:val="248"/>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and comprehensive income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19,640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29,333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38,532</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41,975</w:t>
            </w:r>
          </w:p>
        </w:tc>
        <w:tc>
          <w:tcPr>
            <w:tcW w:w="0" w:type="dxa"/>
            <w:vAlign w:val="bottom"/>
          </w:tcPr>
          <w:p>
            <w:pPr>
              <w:spacing w:after="0"/>
              <w:rPr>
                <w:sz w:val="1"/>
                <w:szCs w:val="1"/>
                <w:color w:val="auto"/>
              </w:rPr>
            </w:pPr>
          </w:p>
        </w:tc>
      </w:tr>
      <w:tr>
        <w:trPr>
          <w:trHeight w:val="20"/>
        </w:trPr>
        <w:tc>
          <w:tcPr>
            <w:tcW w:w="49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Basic earnings per share</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980" w:type="dxa"/>
            <w:vAlign w:val="bottom"/>
            <w:vMerge w:val="continue"/>
          </w:tcPr>
          <w:p>
            <w:pPr>
              <w:spacing w:after="0"/>
              <w:rPr>
                <w:sz w:val="17"/>
                <w:szCs w:val="17"/>
                <w:color w:val="auto"/>
              </w:rPr>
            </w:pPr>
          </w:p>
        </w:tc>
        <w:tc>
          <w:tcPr>
            <w:tcW w:w="320" w:type="dxa"/>
            <w:vAlign w:val="bottom"/>
          </w:tcPr>
          <w:p>
            <w:pPr>
              <w:jc w:val="right"/>
              <w:ind w:right="110"/>
              <w:spacing w:after="0" w:line="203" w:lineRule="exact"/>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line="203" w:lineRule="exact"/>
              <w:rPr>
                <w:sz w:val="20"/>
                <w:szCs w:val="20"/>
                <w:color w:val="auto"/>
              </w:rPr>
            </w:pPr>
            <w:r>
              <w:rPr>
                <w:rFonts w:ascii="Arial" w:cs="Arial" w:eastAsia="Arial" w:hAnsi="Arial"/>
                <w:sz w:val="18"/>
                <w:szCs w:val="18"/>
                <w:color w:val="auto"/>
              </w:rPr>
              <w:t>0.21</w:t>
            </w:r>
          </w:p>
        </w:tc>
        <w:tc>
          <w:tcPr>
            <w:tcW w:w="100" w:type="dxa"/>
            <w:vAlign w:val="bottom"/>
          </w:tcPr>
          <w:p>
            <w:pPr>
              <w:spacing w:after="0"/>
              <w:rPr>
                <w:sz w:val="17"/>
                <w:szCs w:val="17"/>
                <w:color w:val="auto"/>
              </w:rPr>
            </w:pPr>
          </w:p>
        </w:tc>
        <w:tc>
          <w:tcPr>
            <w:tcW w:w="480" w:type="dxa"/>
            <w:vAlign w:val="bottom"/>
          </w:tcPr>
          <w:p>
            <w:pPr>
              <w:jc w:val="right"/>
              <w:ind w:right="270"/>
              <w:spacing w:after="0" w:line="203" w:lineRule="exact"/>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line="203" w:lineRule="exact"/>
              <w:rPr>
                <w:sz w:val="20"/>
                <w:szCs w:val="20"/>
                <w:color w:val="auto"/>
              </w:rPr>
            </w:pPr>
            <w:r>
              <w:rPr>
                <w:rFonts w:ascii="Arial" w:cs="Arial" w:eastAsia="Arial" w:hAnsi="Arial"/>
                <w:sz w:val="18"/>
                <w:szCs w:val="18"/>
                <w:color w:val="auto"/>
              </w:rPr>
              <w:t>0.32</w:t>
            </w:r>
          </w:p>
        </w:tc>
        <w:tc>
          <w:tcPr>
            <w:tcW w:w="100" w:type="dxa"/>
            <w:vAlign w:val="bottom"/>
          </w:tcPr>
          <w:p>
            <w:pPr>
              <w:spacing w:after="0"/>
              <w:rPr>
                <w:sz w:val="17"/>
                <w:szCs w:val="17"/>
                <w:color w:val="auto"/>
              </w:rPr>
            </w:pPr>
          </w:p>
        </w:tc>
        <w:tc>
          <w:tcPr>
            <w:tcW w:w="320" w:type="dxa"/>
            <w:vAlign w:val="bottom"/>
          </w:tcPr>
          <w:p>
            <w:pPr>
              <w:jc w:val="right"/>
              <w:ind w:right="110"/>
              <w:spacing w:after="0" w:line="203" w:lineRule="exact"/>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line="203" w:lineRule="exact"/>
              <w:rPr>
                <w:sz w:val="20"/>
                <w:szCs w:val="20"/>
                <w:color w:val="auto"/>
              </w:rPr>
            </w:pPr>
            <w:r>
              <w:rPr>
                <w:rFonts w:ascii="Arial" w:cs="Arial" w:eastAsia="Arial" w:hAnsi="Arial"/>
                <w:sz w:val="18"/>
                <w:szCs w:val="18"/>
                <w:color w:val="auto"/>
              </w:rPr>
              <w:t>0.40</w:t>
            </w:r>
          </w:p>
        </w:tc>
        <w:tc>
          <w:tcPr>
            <w:tcW w:w="120" w:type="dxa"/>
            <w:vAlign w:val="bottom"/>
          </w:tcPr>
          <w:p>
            <w:pPr>
              <w:spacing w:after="0"/>
              <w:rPr>
                <w:sz w:val="17"/>
                <w:szCs w:val="17"/>
                <w:color w:val="auto"/>
              </w:rPr>
            </w:pPr>
          </w:p>
        </w:tc>
        <w:tc>
          <w:tcPr>
            <w:tcW w:w="460" w:type="dxa"/>
            <w:vAlign w:val="bottom"/>
          </w:tcPr>
          <w:p>
            <w:pPr>
              <w:jc w:val="right"/>
              <w:ind w:right="270"/>
              <w:spacing w:after="0" w:line="203" w:lineRule="exact"/>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line="203" w:lineRule="exact"/>
              <w:rPr>
                <w:sz w:val="20"/>
                <w:szCs w:val="20"/>
                <w:color w:val="auto"/>
              </w:rPr>
            </w:pPr>
            <w:r>
              <w:rPr>
                <w:rFonts w:ascii="Arial" w:cs="Arial" w:eastAsia="Arial" w:hAnsi="Arial"/>
                <w:sz w:val="18"/>
                <w:szCs w:val="18"/>
                <w:color w:val="auto"/>
              </w:rPr>
              <w:t>0.47</w:t>
            </w:r>
          </w:p>
        </w:tc>
        <w:tc>
          <w:tcPr>
            <w:tcW w:w="0" w:type="dxa"/>
            <w:vAlign w:val="bottom"/>
          </w:tcPr>
          <w:p>
            <w:pPr>
              <w:spacing w:after="0"/>
              <w:rPr>
                <w:sz w:val="1"/>
                <w:szCs w:val="1"/>
                <w:color w:val="auto"/>
              </w:rPr>
            </w:pPr>
          </w:p>
        </w:tc>
      </w:tr>
      <w:tr>
        <w:trPr>
          <w:trHeight w:val="230"/>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earnings per share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0.39</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0" w:type="dxa"/>
            <w:vAlign w:val="bottom"/>
          </w:tcPr>
          <w:p>
            <w:pPr>
              <w:spacing w:after="0"/>
              <w:rPr>
                <w:sz w:val="1"/>
                <w:szCs w:val="1"/>
                <w:color w:val="auto"/>
              </w:rPr>
            </w:pPr>
          </w:p>
        </w:tc>
      </w:tr>
      <w:tr>
        <w:trPr>
          <w:trHeight w:val="229"/>
        </w:trPr>
        <w:tc>
          <w:tcPr>
            <w:tcW w:w="4980" w:type="dxa"/>
            <w:vAlign w:val="bottom"/>
          </w:tcPr>
          <w:p>
            <w:pPr>
              <w:ind w:left="20"/>
              <w:spacing w:after="0"/>
              <w:rPr>
                <w:sz w:val="20"/>
                <w:szCs w:val="20"/>
                <w:color w:val="auto"/>
              </w:rPr>
            </w:pPr>
            <w:r>
              <w:rPr>
                <w:rFonts w:ascii="Arial" w:cs="Arial" w:eastAsia="Arial" w:hAnsi="Arial"/>
                <w:sz w:val="18"/>
                <w:szCs w:val="18"/>
                <w:color w:val="auto"/>
              </w:rPr>
              <w:t>Weighted average shares outstanding:</w:t>
            </w: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95,724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95,449</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90,152</w:t>
            </w:r>
          </w:p>
        </w:tc>
        <w:tc>
          <w:tcPr>
            <w:tcW w:w="0" w:type="dxa"/>
            <w:vAlign w:val="bottom"/>
          </w:tcPr>
          <w:p>
            <w:pPr>
              <w:spacing w:after="0"/>
              <w:rPr>
                <w:sz w:val="1"/>
                <w:szCs w:val="1"/>
                <w:color w:val="auto"/>
              </w:rPr>
            </w:pPr>
          </w:p>
        </w:tc>
      </w:tr>
      <w:tr>
        <w:trPr>
          <w:trHeight w:val="230"/>
        </w:trPr>
        <w:tc>
          <w:tcPr>
            <w:tcW w:w="4980" w:type="dxa"/>
            <w:vAlign w:val="bottom"/>
          </w:tcPr>
          <w:p>
            <w:pPr>
              <w:ind w:left="220"/>
              <w:spacing w:after="0"/>
              <w:rPr>
                <w:sz w:val="20"/>
                <w:szCs w:val="20"/>
                <w:color w:val="auto"/>
              </w:rPr>
            </w:pPr>
            <w:r>
              <w:rPr>
                <w:rFonts w:ascii="Arial" w:cs="Arial" w:eastAsia="Arial" w:hAnsi="Arial"/>
                <w:sz w:val="18"/>
                <w:szCs w:val="18"/>
                <w:color w:val="auto"/>
              </w:rPr>
              <w:t>Diluted</w:t>
            </w: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99,604</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98,618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99,587</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97,333</w:t>
            </w:r>
          </w:p>
        </w:tc>
        <w:tc>
          <w:tcPr>
            <w:tcW w:w="0" w:type="dxa"/>
            <w:vAlign w:val="bottom"/>
          </w:tcPr>
          <w:p>
            <w:pPr>
              <w:spacing w:after="0"/>
              <w:rPr>
                <w:sz w:val="1"/>
                <w:szCs w:val="1"/>
                <w:color w:val="auto"/>
              </w:rPr>
            </w:pPr>
          </w:p>
        </w:tc>
      </w:tr>
    </w:tbl>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4" w:right="3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GROCERY OUTLET HOLDING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40" w:type="dxa"/>
            <w:vAlign w:val="bottom"/>
          </w:tcPr>
          <w:p>
            <w:pPr>
              <w:spacing w:after="0"/>
              <w:rPr>
                <w:sz w:val="16"/>
                <w:szCs w:val="16"/>
                <w:color w:val="auto"/>
              </w:rPr>
            </w:pPr>
          </w:p>
        </w:tc>
        <w:tc>
          <w:tcPr>
            <w:tcW w:w="2000" w:type="dxa"/>
            <w:vAlign w:val="bottom"/>
            <w:tcBorders>
              <w:bottom w:val="single" w:sz="8" w:color="auto"/>
            </w:tcBorders>
            <w:gridSpan w:val="3"/>
          </w:tcPr>
          <w:p>
            <w:pPr>
              <w:jc w:val="right"/>
              <w:ind w:right="276"/>
              <w:spacing w:after="0"/>
              <w:rPr>
                <w:sz w:val="20"/>
                <w:szCs w:val="20"/>
                <w:color w:val="auto"/>
              </w:rPr>
            </w:pPr>
            <w:r>
              <w:rPr>
                <w:rFonts w:ascii="Arial" w:cs="Arial" w:eastAsia="Arial" w:hAnsi="Arial"/>
                <w:sz w:val="14"/>
                <w:szCs w:val="14"/>
                <w:b w:val="1"/>
                <w:bCs w:val="1"/>
                <w:color w:val="auto"/>
              </w:rPr>
              <w:t>Voting Common</w:t>
            </w:r>
          </w:p>
        </w:tc>
        <w:tc>
          <w:tcPr>
            <w:tcW w:w="2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Additional</w:t>
            </w:r>
          </w:p>
        </w:tc>
        <w:tc>
          <w:tcPr>
            <w:tcW w:w="180" w:type="dxa"/>
            <w:vAlign w:val="bottom"/>
          </w:tcPr>
          <w:p>
            <w:pPr>
              <w:spacing w:after="0"/>
              <w:rPr>
                <w:sz w:val="16"/>
                <w:szCs w:val="16"/>
                <w:color w:val="auto"/>
              </w:rPr>
            </w:pPr>
          </w:p>
        </w:tc>
        <w:tc>
          <w:tcPr>
            <w:tcW w:w="980" w:type="dxa"/>
            <w:vAlign w:val="bottom"/>
            <w:gridSpan w:val="2"/>
          </w:tcPr>
          <w:p>
            <w:pPr>
              <w:ind w:left="80"/>
              <w:spacing w:after="0"/>
              <w:rPr>
                <w:sz w:val="20"/>
                <w:szCs w:val="20"/>
                <w:color w:val="auto"/>
              </w:rPr>
            </w:pPr>
            <w:r>
              <w:rPr>
                <w:rFonts w:ascii="Arial" w:cs="Arial" w:eastAsia="Arial" w:hAnsi="Arial"/>
                <w:sz w:val="14"/>
                <w:szCs w:val="14"/>
                <w:b w:val="1"/>
                <w:bCs w:val="1"/>
                <w:color w:val="auto"/>
              </w:rPr>
              <w:t>Retained</w:t>
            </w:r>
          </w:p>
        </w:tc>
        <w:tc>
          <w:tcPr>
            <w:tcW w:w="120" w:type="dxa"/>
            <w:vAlign w:val="bottom"/>
          </w:tcPr>
          <w:p>
            <w:pPr>
              <w:spacing w:after="0"/>
              <w:rPr>
                <w:sz w:val="16"/>
                <w:szCs w:val="16"/>
                <w:color w:val="auto"/>
              </w:rPr>
            </w:pPr>
          </w:p>
        </w:tc>
        <w:tc>
          <w:tcPr>
            <w:tcW w:w="980" w:type="dxa"/>
            <w:vAlign w:val="bottom"/>
          </w:tcPr>
          <w:p>
            <w:pPr>
              <w:jc w:val="right"/>
              <w:ind w:right="33"/>
              <w:spacing w:after="0"/>
              <w:rPr>
                <w:sz w:val="20"/>
                <w:szCs w:val="20"/>
                <w:color w:val="auto"/>
              </w:rPr>
            </w:pPr>
            <w:r>
              <w:rPr>
                <w:rFonts w:ascii="Arial" w:cs="Arial" w:eastAsia="Arial" w:hAnsi="Arial"/>
                <w:sz w:val="14"/>
                <w:szCs w:val="14"/>
                <w:b w:val="1"/>
                <w:bCs w:val="1"/>
                <w:color w:val="auto"/>
                <w:w w:val="91"/>
              </w:rPr>
              <w:t>Stockholders'</w:t>
            </w:r>
          </w:p>
        </w:tc>
      </w:tr>
      <w:tr>
        <w:trPr>
          <w:trHeight w:val="201"/>
        </w:trPr>
        <w:tc>
          <w:tcPr>
            <w:tcW w:w="5440" w:type="dxa"/>
            <w:vAlign w:val="bottom"/>
          </w:tcPr>
          <w:p>
            <w:pPr>
              <w:spacing w:after="0"/>
              <w:rPr>
                <w:sz w:val="17"/>
                <w:szCs w:val="17"/>
                <w:color w:val="auto"/>
              </w:rPr>
            </w:pPr>
          </w:p>
        </w:tc>
        <w:tc>
          <w:tcPr>
            <w:tcW w:w="1180" w:type="dxa"/>
            <w:vAlign w:val="bottom"/>
            <w:gridSpan w:val="2"/>
          </w:tcPr>
          <w:p>
            <w:pPr>
              <w:ind w:left="340"/>
              <w:spacing w:after="0"/>
              <w:rPr>
                <w:sz w:val="20"/>
                <w:szCs w:val="20"/>
                <w:color w:val="auto"/>
              </w:rPr>
            </w:pPr>
            <w:r>
              <w:rPr>
                <w:rFonts w:ascii="Arial" w:cs="Arial" w:eastAsia="Arial" w:hAnsi="Arial"/>
                <w:sz w:val="14"/>
                <w:szCs w:val="14"/>
                <w:b w:val="1"/>
                <w:bCs w:val="1"/>
                <w:color w:val="auto"/>
              </w:rPr>
              <w:t>Shares</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Amount</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8"/>
              </w:rPr>
              <w:t>Paid-In Capital</w:t>
            </w:r>
          </w:p>
        </w:tc>
        <w:tc>
          <w:tcPr>
            <w:tcW w:w="180" w:type="dxa"/>
            <w:vAlign w:val="bottom"/>
          </w:tcPr>
          <w:p>
            <w:pPr>
              <w:spacing w:after="0"/>
              <w:rPr>
                <w:sz w:val="17"/>
                <w:szCs w:val="17"/>
                <w:color w:val="auto"/>
              </w:rPr>
            </w:pPr>
          </w:p>
        </w:tc>
        <w:tc>
          <w:tcPr>
            <w:tcW w:w="980" w:type="dxa"/>
            <w:vAlign w:val="bottom"/>
            <w:gridSpan w:val="2"/>
          </w:tcPr>
          <w:p>
            <w:pPr>
              <w:ind w:left="80"/>
              <w:spacing w:after="0"/>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17"/>
                <w:szCs w:val="17"/>
                <w:color w:val="auto"/>
              </w:rPr>
            </w:pPr>
          </w:p>
        </w:tc>
        <w:tc>
          <w:tcPr>
            <w:tcW w:w="980" w:type="dxa"/>
            <w:vAlign w:val="bottom"/>
          </w:tcPr>
          <w:p>
            <w:pPr>
              <w:jc w:val="right"/>
              <w:ind w:right="253"/>
              <w:spacing w:after="0"/>
              <w:rPr>
                <w:sz w:val="20"/>
                <w:szCs w:val="20"/>
                <w:color w:val="auto"/>
              </w:rPr>
            </w:pPr>
            <w:r>
              <w:rPr>
                <w:rFonts w:ascii="Arial" w:cs="Arial" w:eastAsia="Arial" w:hAnsi="Arial"/>
                <w:sz w:val="14"/>
                <w:szCs w:val="14"/>
                <w:b w:val="1"/>
                <w:bCs w:val="1"/>
                <w:color w:val="auto"/>
              </w:rPr>
              <w:t>Equity</w:t>
            </w:r>
          </w:p>
        </w:tc>
      </w:tr>
      <w:tr>
        <w:trPr>
          <w:trHeight w:val="224"/>
        </w:trPr>
        <w:tc>
          <w:tcPr>
            <w:tcW w:w="5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January 2, 2021</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94,854,336</w:t>
            </w:r>
          </w:p>
        </w:tc>
        <w:tc>
          <w:tcPr>
            <w:tcW w:w="8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ind w:right="616"/>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95</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787,047</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135,165</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922,307</w:t>
            </w:r>
          </w:p>
        </w:tc>
      </w:tr>
      <w:tr>
        <w:trPr>
          <w:trHeight w:val="229"/>
        </w:trPr>
        <w:tc>
          <w:tcPr>
            <w:tcW w:w="5440" w:type="dxa"/>
            <w:vAlign w:val="bottom"/>
          </w:tcPr>
          <w:p>
            <w:pPr>
              <w:ind w:left="140"/>
              <w:spacing w:after="0"/>
              <w:rPr>
                <w:sz w:val="20"/>
                <w:szCs w:val="20"/>
                <w:color w:val="auto"/>
              </w:rPr>
            </w:pPr>
            <w:r>
              <w:rPr>
                <w:rFonts w:ascii="Arial" w:cs="Arial" w:eastAsia="Arial" w:hAnsi="Arial"/>
                <w:sz w:val="18"/>
                <w:szCs w:val="18"/>
                <w:color w:val="auto"/>
              </w:rPr>
              <w:t>Exercise and vesting of share-based awards</w:t>
            </w:r>
          </w:p>
        </w:tc>
        <w:tc>
          <w:tcPr>
            <w:tcW w:w="1100" w:type="dxa"/>
            <w:vAlign w:val="bottom"/>
          </w:tcPr>
          <w:p>
            <w:pPr>
              <w:jc w:val="right"/>
              <w:spacing w:after="0"/>
              <w:rPr>
                <w:sz w:val="20"/>
                <w:szCs w:val="20"/>
                <w:color w:val="auto"/>
              </w:rPr>
            </w:pPr>
            <w:r>
              <w:rPr>
                <w:rFonts w:ascii="Arial" w:cs="Arial" w:eastAsia="Arial" w:hAnsi="Arial"/>
                <w:sz w:val="18"/>
                <w:szCs w:val="18"/>
                <w:color w:val="auto"/>
              </w:rPr>
              <w:t>647,137</w:t>
            </w: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2,952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2,953</w:t>
            </w:r>
          </w:p>
        </w:tc>
      </w:tr>
      <w:tr>
        <w:trPr>
          <w:trHeight w:val="229"/>
        </w:trPr>
        <w:tc>
          <w:tcPr>
            <w:tcW w:w="5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Share-based compensation expense</w:t>
            </w: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3,939</w:t>
            </w:r>
          </w:p>
        </w:tc>
      </w:tr>
      <w:tr>
        <w:trPr>
          <w:trHeight w:val="230"/>
        </w:trPr>
        <w:tc>
          <w:tcPr>
            <w:tcW w:w="5440" w:type="dxa"/>
            <w:vAlign w:val="bottom"/>
          </w:tcPr>
          <w:p>
            <w:pPr>
              <w:ind w:left="140"/>
              <w:spacing w:after="0"/>
              <w:rPr>
                <w:sz w:val="20"/>
                <w:szCs w:val="20"/>
                <w:color w:val="auto"/>
              </w:rPr>
            </w:pPr>
            <w:r>
              <w:rPr>
                <w:rFonts w:ascii="Arial" w:cs="Arial" w:eastAsia="Arial" w:hAnsi="Arial"/>
                <w:sz w:val="18"/>
                <w:szCs w:val="18"/>
                <w:color w:val="auto"/>
              </w:rPr>
              <w:t>Dividends paid</w:t>
            </w: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29"/>
        </w:trPr>
        <w:tc>
          <w:tcPr>
            <w:tcW w:w="5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income and comprehensive income</w:t>
            </w:r>
          </w:p>
        </w:tc>
        <w:tc>
          <w:tcPr>
            <w:tcW w:w="110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18,892</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18,892</w:t>
            </w:r>
          </w:p>
        </w:tc>
      </w:tr>
      <w:tr>
        <w:trPr>
          <w:trHeight w:val="223"/>
        </w:trPr>
        <w:tc>
          <w:tcPr>
            <w:tcW w:w="5440" w:type="dxa"/>
            <w:vAlign w:val="bottom"/>
          </w:tcPr>
          <w:p>
            <w:pPr>
              <w:ind w:left="20"/>
              <w:spacing w:after="0"/>
              <w:rPr>
                <w:sz w:val="20"/>
                <w:szCs w:val="20"/>
                <w:color w:val="auto"/>
              </w:rPr>
            </w:pPr>
            <w:r>
              <w:rPr>
                <w:rFonts w:ascii="Arial" w:cs="Arial" w:eastAsia="Arial" w:hAnsi="Arial"/>
                <w:sz w:val="18"/>
                <w:szCs w:val="18"/>
                <w:b w:val="1"/>
                <w:bCs w:val="1"/>
                <w:color w:val="auto"/>
              </w:rPr>
              <w:t>Balance as of April 3, 2021</w:t>
            </w:r>
          </w:p>
        </w:tc>
        <w:tc>
          <w:tcPr>
            <w:tcW w:w="1100" w:type="dxa"/>
            <w:vAlign w:val="bottom"/>
          </w:tcPr>
          <w:p>
            <w:pPr>
              <w:jc w:val="right"/>
              <w:spacing w:after="0"/>
              <w:rPr>
                <w:sz w:val="20"/>
                <w:szCs w:val="20"/>
                <w:color w:val="auto"/>
              </w:rPr>
            </w:pPr>
            <w:r>
              <w:rPr>
                <w:rFonts w:ascii="Arial" w:cs="Arial" w:eastAsia="Arial" w:hAnsi="Arial"/>
                <w:sz w:val="18"/>
                <w:szCs w:val="18"/>
                <w:color w:val="auto"/>
              </w:rPr>
              <w:t>95,501,473</w:t>
            </w: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89"/>
              </w:rPr>
              <w:t>96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793,933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154,057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948,086</w:t>
            </w:r>
          </w:p>
        </w:tc>
      </w:tr>
      <w:tr>
        <w:trPr>
          <w:trHeight w:val="229"/>
        </w:trPr>
        <w:tc>
          <w:tcPr>
            <w:tcW w:w="5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Exercise and vesting of share-based awards</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335,747</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2,039</w:t>
            </w:r>
          </w:p>
        </w:tc>
      </w:tr>
      <w:tr>
        <w:trPr>
          <w:trHeight w:val="229"/>
        </w:trPr>
        <w:tc>
          <w:tcPr>
            <w:tcW w:w="5440" w:type="dxa"/>
            <w:vAlign w:val="bottom"/>
          </w:tcPr>
          <w:p>
            <w:pPr>
              <w:ind w:left="140"/>
              <w:spacing w:after="0"/>
              <w:rPr>
                <w:sz w:val="20"/>
                <w:szCs w:val="20"/>
                <w:color w:val="auto"/>
              </w:rPr>
            </w:pPr>
            <w:r>
              <w:rPr>
                <w:rFonts w:ascii="Arial" w:cs="Arial" w:eastAsia="Arial" w:hAnsi="Arial"/>
                <w:sz w:val="18"/>
                <w:szCs w:val="18"/>
                <w:color w:val="auto"/>
              </w:rPr>
              <w:t>Share-based compensation expense</w:t>
            </w: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4,210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4,210</w:t>
            </w:r>
          </w:p>
        </w:tc>
      </w:tr>
      <w:tr>
        <w:trPr>
          <w:trHeight w:val="230"/>
        </w:trPr>
        <w:tc>
          <w:tcPr>
            <w:tcW w:w="5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Dividends paid</w:t>
            </w: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r>
      <w:tr>
        <w:trPr>
          <w:trHeight w:val="229"/>
        </w:trPr>
        <w:tc>
          <w:tcPr>
            <w:tcW w:w="54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Net income and comprehensive income</w:t>
            </w:r>
          </w:p>
        </w:tc>
        <w:tc>
          <w:tcPr>
            <w:tcW w:w="110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19,640</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19,640</w:t>
            </w:r>
          </w:p>
        </w:tc>
      </w:tr>
      <w:tr>
        <w:trPr>
          <w:trHeight w:val="248"/>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July 3, 2021</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95,837,220</w:t>
            </w:r>
          </w:p>
        </w:tc>
        <w:tc>
          <w:tcPr>
            <w:tcW w:w="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616"/>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96</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800,090</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173,697</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973,883</w:t>
            </w: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4" w:right="3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GROCERY OUTLET HOLDING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40" w:type="dxa"/>
            <w:vAlign w:val="bottom"/>
          </w:tcPr>
          <w:p>
            <w:pPr>
              <w:spacing w:after="0"/>
              <w:rPr>
                <w:sz w:val="16"/>
                <w:szCs w:val="16"/>
                <w:color w:val="auto"/>
              </w:rPr>
            </w:pPr>
          </w:p>
        </w:tc>
        <w:tc>
          <w:tcPr>
            <w:tcW w:w="2000" w:type="dxa"/>
            <w:vAlign w:val="bottom"/>
            <w:tcBorders>
              <w:bottom w:val="single" w:sz="8" w:color="auto"/>
            </w:tcBorders>
            <w:gridSpan w:val="3"/>
          </w:tcPr>
          <w:p>
            <w:pPr>
              <w:jc w:val="right"/>
              <w:ind w:right="275"/>
              <w:spacing w:after="0"/>
              <w:rPr>
                <w:sz w:val="20"/>
                <w:szCs w:val="20"/>
                <w:color w:val="auto"/>
              </w:rPr>
            </w:pPr>
            <w:r>
              <w:rPr>
                <w:rFonts w:ascii="Arial" w:cs="Arial" w:eastAsia="Arial" w:hAnsi="Arial"/>
                <w:sz w:val="14"/>
                <w:szCs w:val="14"/>
                <w:b w:val="1"/>
                <w:bCs w:val="1"/>
                <w:color w:val="auto"/>
              </w:rPr>
              <w:t>Voting Common</w:t>
            </w:r>
          </w:p>
        </w:tc>
        <w:tc>
          <w:tcPr>
            <w:tcW w:w="2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Additional</w:t>
            </w:r>
          </w:p>
        </w:tc>
        <w:tc>
          <w:tcPr>
            <w:tcW w:w="180" w:type="dxa"/>
            <w:vAlign w:val="bottom"/>
          </w:tcPr>
          <w:p>
            <w:pPr>
              <w:spacing w:after="0"/>
              <w:rPr>
                <w:sz w:val="16"/>
                <w:szCs w:val="16"/>
                <w:color w:val="auto"/>
              </w:rPr>
            </w:pPr>
          </w:p>
        </w:tc>
        <w:tc>
          <w:tcPr>
            <w:tcW w:w="980" w:type="dxa"/>
            <w:vAlign w:val="bottom"/>
            <w:gridSpan w:val="2"/>
          </w:tcPr>
          <w:p>
            <w:pPr>
              <w:ind w:left="80"/>
              <w:spacing w:after="0"/>
              <w:rPr>
                <w:sz w:val="20"/>
                <w:szCs w:val="20"/>
                <w:color w:val="auto"/>
              </w:rPr>
            </w:pPr>
            <w:r>
              <w:rPr>
                <w:rFonts w:ascii="Arial" w:cs="Arial" w:eastAsia="Arial" w:hAnsi="Arial"/>
                <w:sz w:val="14"/>
                <w:szCs w:val="14"/>
                <w:b w:val="1"/>
                <w:bCs w:val="1"/>
                <w:color w:val="auto"/>
              </w:rPr>
              <w:t>Retained</w:t>
            </w:r>
          </w:p>
        </w:tc>
        <w:tc>
          <w:tcPr>
            <w:tcW w:w="120" w:type="dxa"/>
            <w:vAlign w:val="bottom"/>
          </w:tcPr>
          <w:p>
            <w:pPr>
              <w:spacing w:after="0"/>
              <w:rPr>
                <w:sz w:val="16"/>
                <w:szCs w:val="16"/>
                <w:color w:val="auto"/>
              </w:rPr>
            </w:pPr>
          </w:p>
        </w:tc>
        <w:tc>
          <w:tcPr>
            <w:tcW w:w="980" w:type="dxa"/>
            <w:vAlign w:val="bottom"/>
          </w:tcPr>
          <w:p>
            <w:pPr>
              <w:jc w:val="right"/>
              <w:ind w:right="32"/>
              <w:spacing w:after="0"/>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201"/>
        </w:trPr>
        <w:tc>
          <w:tcPr>
            <w:tcW w:w="5440" w:type="dxa"/>
            <w:vAlign w:val="bottom"/>
          </w:tcPr>
          <w:p>
            <w:pPr>
              <w:spacing w:after="0"/>
              <w:rPr>
                <w:sz w:val="17"/>
                <w:szCs w:val="17"/>
                <w:color w:val="auto"/>
              </w:rPr>
            </w:pPr>
          </w:p>
        </w:tc>
        <w:tc>
          <w:tcPr>
            <w:tcW w:w="1180" w:type="dxa"/>
            <w:vAlign w:val="bottom"/>
            <w:gridSpan w:val="2"/>
          </w:tcPr>
          <w:p>
            <w:pPr>
              <w:ind w:left="340"/>
              <w:spacing w:after="0"/>
              <w:rPr>
                <w:sz w:val="20"/>
                <w:szCs w:val="20"/>
                <w:color w:val="auto"/>
              </w:rPr>
            </w:pPr>
            <w:r>
              <w:rPr>
                <w:rFonts w:ascii="Arial" w:cs="Arial" w:eastAsia="Arial" w:hAnsi="Arial"/>
                <w:sz w:val="14"/>
                <w:szCs w:val="14"/>
                <w:b w:val="1"/>
                <w:bCs w:val="1"/>
                <w:color w:val="auto"/>
              </w:rPr>
              <w:t>Shares</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Amount</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8"/>
              </w:rPr>
              <w:t>Paid-In Capital</w:t>
            </w:r>
          </w:p>
        </w:tc>
        <w:tc>
          <w:tcPr>
            <w:tcW w:w="180" w:type="dxa"/>
            <w:vAlign w:val="bottom"/>
          </w:tcPr>
          <w:p>
            <w:pPr>
              <w:spacing w:after="0"/>
              <w:rPr>
                <w:sz w:val="17"/>
                <w:szCs w:val="17"/>
                <w:color w:val="auto"/>
              </w:rPr>
            </w:pPr>
          </w:p>
        </w:tc>
        <w:tc>
          <w:tcPr>
            <w:tcW w:w="980" w:type="dxa"/>
            <w:vAlign w:val="bottom"/>
            <w:gridSpan w:val="2"/>
          </w:tcPr>
          <w:p>
            <w:pPr>
              <w:ind w:left="80"/>
              <w:spacing w:after="0"/>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17"/>
                <w:szCs w:val="17"/>
                <w:color w:val="auto"/>
              </w:rPr>
            </w:pPr>
          </w:p>
        </w:tc>
        <w:tc>
          <w:tcPr>
            <w:tcW w:w="980" w:type="dxa"/>
            <w:vAlign w:val="bottom"/>
          </w:tcPr>
          <w:p>
            <w:pPr>
              <w:jc w:val="right"/>
              <w:ind w:right="252"/>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24"/>
        </w:trPr>
        <w:tc>
          <w:tcPr>
            <w:tcW w:w="5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December 28, 2019</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89,005,062</w:t>
            </w:r>
          </w:p>
        </w:tc>
        <w:tc>
          <w:tcPr>
            <w:tcW w:w="8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ind w:right="615"/>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89</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717,282</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28,013</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745,384</w:t>
            </w:r>
          </w:p>
        </w:tc>
        <w:tc>
          <w:tcPr>
            <w:tcW w:w="0" w:type="dxa"/>
            <w:vAlign w:val="bottom"/>
          </w:tcPr>
          <w:p>
            <w:pPr>
              <w:spacing w:after="0"/>
              <w:rPr>
                <w:sz w:val="1"/>
                <w:szCs w:val="1"/>
                <w:color w:val="auto"/>
              </w:rPr>
            </w:pPr>
          </w:p>
        </w:tc>
      </w:tr>
      <w:tr>
        <w:trPr>
          <w:trHeight w:val="229"/>
        </w:trPr>
        <w:tc>
          <w:tcPr>
            <w:tcW w:w="5440" w:type="dxa"/>
            <w:vAlign w:val="bottom"/>
          </w:tcPr>
          <w:p>
            <w:pPr>
              <w:ind w:left="140"/>
              <w:spacing w:after="0"/>
              <w:rPr>
                <w:sz w:val="20"/>
                <w:szCs w:val="20"/>
                <w:color w:val="auto"/>
              </w:rPr>
            </w:pPr>
            <w:r>
              <w:rPr>
                <w:rFonts w:ascii="Arial" w:cs="Arial" w:eastAsia="Arial" w:hAnsi="Arial"/>
                <w:sz w:val="18"/>
                <w:szCs w:val="18"/>
                <w:color w:val="auto"/>
              </w:rPr>
              <w:t>Cumulative effect of accounting change</w:t>
            </w: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439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439</w:t>
            </w:r>
          </w:p>
        </w:tc>
        <w:tc>
          <w:tcPr>
            <w:tcW w:w="0" w:type="dxa"/>
            <w:vAlign w:val="bottom"/>
          </w:tcPr>
          <w:p>
            <w:pPr>
              <w:spacing w:after="0"/>
              <w:rPr>
                <w:sz w:val="1"/>
                <w:szCs w:val="1"/>
                <w:color w:val="auto"/>
              </w:rPr>
            </w:pPr>
          </w:p>
        </w:tc>
      </w:tr>
      <w:tr>
        <w:trPr>
          <w:trHeight w:val="229"/>
        </w:trPr>
        <w:tc>
          <w:tcPr>
            <w:tcW w:w="5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Exercise and vesting of share-based awards</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902,132</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6,033</w:t>
            </w:r>
          </w:p>
        </w:tc>
        <w:tc>
          <w:tcPr>
            <w:tcW w:w="0" w:type="dxa"/>
            <w:vAlign w:val="bottom"/>
          </w:tcPr>
          <w:p>
            <w:pPr>
              <w:spacing w:after="0"/>
              <w:rPr>
                <w:sz w:val="1"/>
                <w:szCs w:val="1"/>
                <w:color w:val="auto"/>
              </w:rPr>
            </w:pPr>
          </w:p>
        </w:tc>
      </w:tr>
      <w:tr>
        <w:trPr>
          <w:trHeight w:val="230"/>
        </w:trPr>
        <w:tc>
          <w:tcPr>
            <w:tcW w:w="5440" w:type="dxa"/>
            <w:vAlign w:val="bottom"/>
          </w:tcPr>
          <w:p>
            <w:pPr>
              <w:ind w:left="140"/>
              <w:spacing w:after="0"/>
              <w:rPr>
                <w:sz w:val="20"/>
                <w:szCs w:val="20"/>
                <w:color w:val="auto"/>
              </w:rPr>
            </w:pPr>
            <w:r>
              <w:rPr>
                <w:rFonts w:ascii="Arial" w:cs="Arial" w:eastAsia="Arial" w:hAnsi="Arial"/>
                <w:sz w:val="18"/>
                <w:szCs w:val="18"/>
                <w:color w:val="auto"/>
              </w:rPr>
              <w:t>Share-based compensation expense</w:t>
            </w: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20,277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20,277</w:t>
            </w:r>
          </w:p>
        </w:tc>
        <w:tc>
          <w:tcPr>
            <w:tcW w:w="0" w:type="dxa"/>
            <w:vAlign w:val="bottom"/>
          </w:tcPr>
          <w:p>
            <w:pPr>
              <w:spacing w:after="0"/>
              <w:rPr>
                <w:sz w:val="1"/>
                <w:szCs w:val="1"/>
                <w:color w:val="auto"/>
              </w:rPr>
            </w:pPr>
          </w:p>
        </w:tc>
      </w:tr>
      <w:tr>
        <w:trPr>
          <w:trHeight w:val="229"/>
        </w:trPr>
        <w:tc>
          <w:tcPr>
            <w:tcW w:w="5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Dividends paid</w:t>
            </w: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30"/>
        </w:trPr>
        <w:tc>
          <w:tcPr>
            <w:tcW w:w="54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Net income and comprehensive income</w:t>
            </w:r>
          </w:p>
        </w:tc>
        <w:tc>
          <w:tcPr>
            <w:tcW w:w="110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12,642</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12,642</w:t>
            </w:r>
          </w:p>
        </w:tc>
        <w:tc>
          <w:tcPr>
            <w:tcW w:w="0" w:type="dxa"/>
            <w:vAlign w:val="bottom"/>
          </w:tcPr>
          <w:p>
            <w:pPr>
              <w:spacing w:after="0"/>
              <w:rPr>
                <w:sz w:val="1"/>
                <w:szCs w:val="1"/>
                <w:color w:val="auto"/>
              </w:rPr>
            </w:pPr>
          </w:p>
        </w:tc>
      </w:tr>
      <w:tr>
        <w:trPr>
          <w:trHeight w:val="223"/>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March 28, 2020</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89,907,194</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15"/>
              <w:spacing w:after="0"/>
              <w:rPr>
                <w:sz w:val="20"/>
                <w:szCs w:val="20"/>
                <w:color w:val="auto"/>
              </w:rPr>
            </w:pPr>
            <w:r>
              <w:rPr>
                <w:rFonts w:ascii="Arial" w:cs="Arial" w:eastAsia="Arial" w:hAnsi="Arial"/>
                <w:sz w:val="18"/>
                <w:szCs w:val="18"/>
                <w:color w:val="auto"/>
                <w:w w:val="99"/>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90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743,444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41,094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784,628</w:t>
            </w:r>
          </w:p>
        </w:tc>
        <w:tc>
          <w:tcPr>
            <w:tcW w:w="0" w:type="dxa"/>
            <w:vAlign w:val="bottom"/>
          </w:tcPr>
          <w:p>
            <w:pPr>
              <w:spacing w:after="0"/>
              <w:rPr>
                <w:sz w:val="1"/>
                <w:szCs w:val="1"/>
                <w:color w:val="auto"/>
              </w:rPr>
            </w:pPr>
          </w:p>
        </w:tc>
      </w:tr>
      <w:tr>
        <w:trPr>
          <w:trHeight w:val="230"/>
        </w:trPr>
        <w:tc>
          <w:tcPr>
            <w:tcW w:w="5440" w:type="dxa"/>
            <w:vAlign w:val="bottom"/>
          </w:tcPr>
          <w:p>
            <w:pPr>
              <w:ind w:left="140"/>
              <w:spacing w:after="0"/>
              <w:rPr>
                <w:sz w:val="20"/>
                <w:szCs w:val="20"/>
                <w:color w:val="auto"/>
              </w:rPr>
            </w:pPr>
            <w:r>
              <w:rPr>
                <w:rFonts w:ascii="Arial" w:cs="Arial" w:eastAsia="Arial" w:hAnsi="Arial"/>
                <w:sz w:val="18"/>
                <w:szCs w:val="18"/>
                <w:color w:val="auto"/>
              </w:rPr>
              <w:t>Exercise and vesting of share-based awards</w:t>
            </w:r>
          </w:p>
        </w:tc>
        <w:tc>
          <w:tcPr>
            <w:tcW w:w="1100" w:type="dxa"/>
            <w:vAlign w:val="bottom"/>
          </w:tcPr>
          <w:p>
            <w:pPr>
              <w:jc w:val="right"/>
              <w:spacing w:after="0"/>
              <w:rPr>
                <w:sz w:val="20"/>
                <w:szCs w:val="20"/>
                <w:color w:val="auto"/>
              </w:rPr>
            </w:pPr>
            <w:r>
              <w:rPr>
                <w:rFonts w:ascii="Arial" w:cs="Arial" w:eastAsia="Arial" w:hAnsi="Arial"/>
                <w:sz w:val="18"/>
                <w:szCs w:val="18"/>
                <w:color w:val="auto"/>
              </w:rPr>
              <w:t>1,511,079</w:t>
            </w: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9,844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9,845</w:t>
            </w:r>
          </w:p>
        </w:tc>
        <w:tc>
          <w:tcPr>
            <w:tcW w:w="0" w:type="dxa"/>
            <w:vAlign w:val="bottom"/>
          </w:tcPr>
          <w:p>
            <w:pPr>
              <w:spacing w:after="0"/>
              <w:rPr>
                <w:sz w:val="1"/>
                <w:szCs w:val="1"/>
                <w:color w:val="auto"/>
              </w:rPr>
            </w:pPr>
          </w:p>
        </w:tc>
      </w:tr>
      <w:tr>
        <w:trPr>
          <w:trHeight w:val="175"/>
        </w:trPr>
        <w:tc>
          <w:tcPr>
            <w:tcW w:w="544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0"/>
              </w:rPr>
              <w:t>Tax paid on behalf of employees related to net settlement of share-based</w:t>
            </w: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(483)</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(483)</w:t>
            </w:r>
          </w:p>
        </w:tc>
        <w:tc>
          <w:tcPr>
            <w:tcW w:w="0" w:type="dxa"/>
            <w:vAlign w:val="bottom"/>
          </w:tcPr>
          <w:p>
            <w:pPr>
              <w:spacing w:after="0"/>
              <w:rPr>
                <w:sz w:val="1"/>
                <w:szCs w:val="1"/>
                <w:color w:val="auto"/>
              </w:rPr>
            </w:pPr>
          </w:p>
        </w:tc>
      </w:tr>
      <w:tr>
        <w:trPr>
          <w:trHeight w:val="229"/>
        </w:trPr>
        <w:tc>
          <w:tcPr>
            <w:tcW w:w="5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awards</w:t>
            </w: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tcPr>
          <w:p>
            <w:pPr>
              <w:ind w:left="140"/>
              <w:spacing w:after="0"/>
              <w:rPr>
                <w:sz w:val="20"/>
                <w:szCs w:val="20"/>
                <w:color w:val="auto"/>
              </w:rPr>
            </w:pPr>
            <w:r>
              <w:rPr>
                <w:rFonts w:ascii="Arial" w:cs="Arial" w:eastAsia="Arial" w:hAnsi="Arial"/>
                <w:sz w:val="18"/>
                <w:szCs w:val="18"/>
                <w:color w:val="auto"/>
              </w:rPr>
              <w:t>Share-based compensation expense</w:t>
            </w: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10,175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10,175</w:t>
            </w:r>
          </w:p>
        </w:tc>
        <w:tc>
          <w:tcPr>
            <w:tcW w:w="0" w:type="dxa"/>
            <w:vAlign w:val="bottom"/>
          </w:tcPr>
          <w:p>
            <w:pPr>
              <w:spacing w:after="0"/>
              <w:rPr>
                <w:sz w:val="1"/>
                <w:szCs w:val="1"/>
                <w:color w:val="auto"/>
              </w:rPr>
            </w:pPr>
          </w:p>
        </w:tc>
      </w:tr>
      <w:tr>
        <w:trPr>
          <w:trHeight w:val="229"/>
        </w:trPr>
        <w:tc>
          <w:tcPr>
            <w:tcW w:w="5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Dividends paid</w:t>
            </w: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30"/>
        </w:trPr>
        <w:tc>
          <w:tcPr>
            <w:tcW w:w="54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Net income and comprehensive income</w:t>
            </w:r>
          </w:p>
        </w:tc>
        <w:tc>
          <w:tcPr>
            <w:tcW w:w="110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29,333</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29,333</w:t>
            </w:r>
          </w:p>
        </w:tc>
        <w:tc>
          <w:tcPr>
            <w:tcW w:w="0" w:type="dxa"/>
            <w:vAlign w:val="bottom"/>
          </w:tcPr>
          <w:p>
            <w:pPr>
              <w:spacing w:after="0"/>
              <w:rPr>
                <w:sz w:val="1"/>
                <w:szCs w:val="1"/>
                <w:color w:val="auto"/>
              </w:rPr>
            </w:pPr>
          </w:p>
        </w:tc>
      </w:tr>
      <w:tr>
        <w:trPr>
          <w:trHeight w:val="248"/>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June 27, 2020</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91,418,273</w:t>
            </w:r>
          </w:p>
        </w:tc>
        <w:tc>
          <w:tcPr>
            <w:tcW w:w="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615"/>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91</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762,883</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70,427</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833,401</w:t>
            </w:r>
          </w:p>
        </w:tc>
        <w:tc>
          <w:tcPr>
            <w:tcW w:w="0" w:type="dxa"/>
            <w:vAlign w:val="bottom"/>
          </w:tcPr>
          <w:p>
            <w:pPr>
              <w:spacing w:after="0"/>
              <w:rPr>
                <w:sz w:val="1"/>
                <w:szCs w:val="1"/>
                <w:color w:val="auto"/>
              </w:rPr>
            </w:pP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4" w:right="3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GROCERY OUTLET HOLDING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26 Weeks Ended</w:t>
            </w:r>
          </w:p>
        </w:tc>
        <w:tc>
          <w:tcPr>
            <w:tcW w:w="1020" w:type="dxa"/>
            <w:vAlign w:val="bottom"/>
            <w:tcBorders>
              <w:bottom w:val="single" w:sz="8" w:color="auto"/>
            </w:tcBorders>
          </w:tcPr>
          <w:p>
            <w:pPr>
              <w:spacing w:after="0"/>
              <w:rPr>
                <w:sz w:val="16"/>
                <w:szCs w:val="16"/>
                <w:color w:val="auto"/>
              </w:rPr>
            </w:pPr>
          </w:p>
        </w:tc>
      </w:tr>
      <w:tr>
        <w:trPr>
          <w:trHeight w:val="134"/>
        </w:trPr>
        <w:tc>
          <w:tcPr>
            <w:tcW w:w="8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80" w:type="dxa"/>
            <w:vAlign w:val="bottom"/>
            <w:gridSpan w:val="2"/>
          </w:tcPr>
          <w:p>
            <w:pPr>
              <w:ind w:left="220"/>
              <w:spacing w:after="0" w:line="135" w:lineRule="exact"/>
              <w:rPr>
                <w:sz w:val="20"/>
                <w:szCs w:val="20"/>
                <w:color w:val="auto"/>
              </w:rPr>
            </w:pPr>
            <w:r>
              <w:rPr>
                <w:rFonts w:ascii="Arial" w:cs="Arial" w:eastAsia="Arial" w:hAnsi="Arial"/>
                <w:sz w:val="14"/>
                <w:szCs w:val="14"/>
                <w:b w:val="1"/>
                <w:bCs w:val="1"/>
                <w:color w:val="auto"/>
              </w:rPr>
              <w:t>July 3,</w:t>
            </w:r>
          </w:p>
        </w:tc>
        <w:tc>
          <w:tcPr>
            <w:tcW w:w="460" w:type="dxa"/>
            <w:vAlign w:val="bottom"/>
          </w:tcPr>
          <w:p>
            <w:pPr>
              <w:spacing w:after="0"/>
              <w:rPr>
                <w:sz w:val="11"/>
                <w:szCs w:val="11"/>
                <w:color w:val="auto"/>
              </w:rPr>
            </w:pPr>
          </w:p>
        </w:tc>
        <w:tc>
          <w:tcPr>
            <w:tcW w:w="1020" w:type="dxa"/>
            <w:vAlign w:val="bottom"/>
          </w:tcPr>
          <w:p>
            <w:pPr>
              <w:jc w:val="right"/>
              <w:ind w:right="391"/>
              <w:spacing w:after="0" w:line="135" w:lineRule="exact"/>
              <w:rPr>
                <w:sz w:val="20"/>
                <w:szCs w:val="20"/>
                <w:color w:val="auto"/>
              </w:rPr>
            </w:pPr>
            <w:r>
              <w:rPr>
                <w:rFonts w:ascii="Arial" w:cs="Arial" w:eastAsia="Arial" w:hAnsi="Arial"/>
                <w:sz w:val="14"/>
                <w:szCs w:val="14"/>
                <w:b w:val="1"/>
                <w:bCs w:val="1"/>
                <w:color w:val="auto"/>
                <w:w w:val="92"/>
              </w:rPr>
              <w:t>June 27,</w:t>
            </w:r>
          </w:p>
        </w:tc>
      </w:tr>
      <w:tr>
        <w:trPr>
          <w:trHeight w:val="188"/>
        </w:trPr>
        <w:tc>
          <w:tcPr>
            <w:tcW w:w="81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2020</w:t>
            </w:r>
          </w:p>
        </w:tc>
      </w:tr>
      <w:tr>
        <w:trPr>
          <w:trHeight w:val="211"/>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29"/>
        </w:trPr>
        <w:tc>
          <w:tcPr>
            <w:tcW w:w="816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38,532</w:t>
            </w:r>
          </w:p>
        </w:tc>
        <w:tc>
          <w:tcPr>
            <w:tcW w:w="12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41,975</w:t>
            </w:r>
          </w:p>
        </w:tc>
      </w:tr>
      <w:tr>
        <w:trPr>
          <w:trHeight w:val="230"/>
        </w:trPr>
        <w:tc>
          <w:tcPr>
            <w:tcW w:w="8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8160" w:type="dxa"/>
            <w:vAlign w:val="bottom"/>
          </w:tcPr>
          <w:p>
            <w:pPr>
              <w:ind w:left="220"/>
              <w:spacing w:after="0"/>
              <w:rPr>
                <w:sz w:val="20"/>
                <w:szCs w:val="20"/>
                <w:color w:val="auto"/>
              </w:rPr>
            </w:pPr>
            <w:r>
              <w:rPr>
                <w:rFonts w:ascii="Arial" w:cs="Arial" w:eastAsia="Arial" w:hAnsi="Arial"/>
                <w:sz w:val="18"/>
                <w:szCs w:val="18"/>
                <w:color w:val="auto"/>
              </w:rPr>
              <w:t>Depreciation of property and equipment</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29,969</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23,832</w:t>
            </w:r>
          </w:p>
        </w:tc>
      </w:tr>
      <w:tr>
        <w:trPr>
          <w:trHeight w:val="229"/>
        </w:trPr>
        <w:tc>
          <w:tcPr>
            <w:tcW w:w="8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 of intangible and other assets</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3,842</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3,625</w:t>
            </w:r>
          </w:p>
        </w:tc>
      </w:tr>
      <w:tr>
        <w:trPr>
          <w:trHeight w:val="230"/>
        </w:trPr>
        <w:tc>
          <w:tcPr>
            <w:tcW w:w="8160" w:type="dxa"/>
            <w:vAlign w:val="bottom"/>
          </w:tcPr>
          <w:p>
            <w:pPr>
              <w:ind w:left="220"/>
              <w:spacing w:after="0"/>
              <w:rPr>
                <w:sz w:val="20"/>
                <w:szCs w:val="20"/>
                <w:color w:val="auto"/>
              </w:rPr>
            </w:pPr>
            <w:r>
              <w:rPr>
                <w:rFonts w:ascii="Arial" w:cs="Arial" w:eastAsia="Arial" w:hAnsi="Arial"/>
                <w:sz w:val="18"/>
                <w:szCs w:val="18"/>
                <w:color w:val="auto"/>
              </w:rPr>
              <w:t>Amortization of debt issuance costs and debt discounts</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1,255</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1,137</w:t>
            </w:r>
          </w:p>
        </w:tc>
      </w:tr>
      <w:tr>
        <w:trPr>
          <w:trHeight w:val="229"/>
        </w:trPr>
        <w:tc>
          <w:tcPr>
            <w:tcW w:w="8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Gain on insurance recoveries</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(3,970)</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160" w:type="dxa"/>
            <w:vAlign w:val="bottom"/>
          </w:tcPr>
          <w:p>
            <w:pPr>
              <w:ind w:left="220"/>
              <w:spacing w:after="0"/>
              <w:rPr>
                <w:sz w:val="20"/>
                <w:szCs w:val="20"/>
                <w:color w:val="auto"/>
              </w:rPr>
            </w:pPr>
            <w:r>
              <w:rPr>
                <w:rFonts w:ascii="Arial" w:cs="Arial" w:eastAsia="Arial" w:hAnsi="Arial"/>
                <w:sz w:val="18"/>
                <w:szCs w:val="18"/>
                <w:color w:val="auto"/>
              </w:rPr>
              <w:t>Debt extinguishment and modification costs</w:t>
            </w:r>
          </w:p>
        </w:tc>
        <w:tc>
          <w:tcPr>
            <w:tcW w:w="32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198</w:t>
            </w:r>
          </w:p>
        </w:tc>
      </w:tr>
      <w:tr>
        <w:trPr>
          <w:trHeight w:val="229"/>
        </w:trPr>
        <w:tc>
          <w:tcPr>
            <w:tcW w:w="8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Share-based compensation</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8,149</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30,452</w:t>
            </w:r>
          </w:p>
        </w:tc>
      </w:tr>
      <w:tr>
        <w:trPr>
          <w:trHeight w:val="229"/>
        </w:trPr>
        <w:tc>
          <w:tcPr>
            <w:tcW w:w="8160" w:type="dxa"/>
            <w:vAlign w:val="bottom"/>
          </w:tcPr>
          <w:p>
            <w:pPr>
              <w:ind w:left="220"/>
              <w:spacing w:after="0"/>
              <w:rPr>
                <w:sz w:val="20"/>
                <w:szCs w:val="20"/>
                <w:color w:val="auto"/>
              </w:rPr>
            </w:pPr>
            <w:r>
              <w:rPr>
                <w:rFonts w:ascii="Arial" w:cs="Arial" w:eastAsia="Arial" w:hAnsi="Arial"/>
                <w:sz w:val="18"/>
                <w:szCs w:val="18"/>
                <w:color w:val="auto"/>
              </w:rPr>
              <w:t>Provision for accounts receivable</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2,289</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30"/>
        </w:trPr>
        <w:tc>
          <w:tcPr>
            <w:tcW w:w="8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Proceeds from insurance recoveries - business interruption and inventory</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2,103</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160" w:type="dxa"/>
            <w:vAlign w:val="bottom"/>
          </w:tcPr>
          <w:p>
            <w:pPr>
              <w:ind w:left="220"/>
              <w:spacing w:after="0"/>
              <w:rPr>
                <w:sz w:val="20"/>
                <w:szCs w:val="20"/>
                <w:color w:val="auto"/>
              </w:rPr>
            </w:pPr>
            <w:r>
              <w:rPr>
                <w:rFonts w:ascii="Arial" w:cs="Arial" w:eastAsia="Arial" w:hAnsi="Arial"/>
                <w:sz w:val="18"/>
                <w:szCs w:val="18"/>
                <w:color w:val="auto"/>
              </w:rPr>
              <w:t>Deferred income taxes</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4,567</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(4,783)</w:t>
            </w:r>
          </w:p>
        </w:tc>
      </w:tr>
      <w:tr>
        <w:trPr>
          <w:trHeight w:val="229"/>
        </w:trPr>
        <w:tc>
          <w:tcPr>
            <w:tcW w:w="8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1,166</w:t>
            </w:r>
          </w:p>
        </w:tc>
      </w:tr>
      <w:tr>
        <w:trPr>
          <w:trHeight w:val="230"/>
        </w:trPr>
        <w:tc>
          <w:tcPr>
            <w:tcW w:w="8160" w:type="dxa"/>
            <w:vAlign w:val="bottom"/>
          </w:tcPr>
          <w:p>
            <w:pPr>
              <w:ind w:left="140"/>
              <w:spacing w:after="0"/>
              <w:rPr>
                <w:sz w:val="20"/>
                <w:szCs w:val="20"/>
                <w:color w:val="auto"/>
              </w:rPr>
            </w:pPr>
            <w:r>
              <w:rPr>
                <w:rFonts w:ascii="Arial" w:cs="Arial" w:eastAsia="Arial" w:hAnsi="Arial"/>
                <w:sz w:val="18"/>
                <w:szCs w:val="18"/>
                <w:color w:val="auto"/>
              </w:rPr>
              <w:t>Changes in operating assets and liabilities:</w:t>
            </w: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8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Independent operator and other accounts receivable</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1,869</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(7,244)</w:t>
            </w:r>
          </w:p>
        </w:tc>
      </w:tr>
      <w:tr>
        <w:trPr>
          <w:trHeight w:val="230"/>
        </w:trPr>
        <w:tc>
          <w:tcPr>
            <w:tcW w:w="8160" w:type="dxa"/>
            <w:vAlign w:val="bottom"/>
          </w:tcPr>
          <w:p>
            <w:pPr>
              <w:ind w:left="220"/>
              <w:spacing w:after="0"/>
              <w:rPr>
                <w:sz w:val="20"/>
                <w:szCs w:val="20"/>
                <w:color w:val="auto"/>
              </w:rPr>
            </w:pPr>
            <w:r>
              <w:rPr>
                <w:rFonts w:ascii="Arial" w:cs="Arial" w:eastAsia="Arial" w:hAnsi="Arial"/>
                <w:sz w:val="18"/>
                <w:szCs w:val="18"/>
                <w:color w:val="auto"/>
              </w:rPr>
              <w:t>Merchandise inventories</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(3,015)</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(9,854)</w:t>
            </w:r>
          </w:p>
        </w:tc>
      </w:tr>
      <w:tr>
        <w:trPr>
          <w:trHeight w:val="229"/>
        </w:trPr>
        <w:tc>
          <w:tcPr>
            <w:tcW w:w="8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Prepaid expenses and other current assets</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2,236</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w:t>
            </w:r>
          </w:p>
        </w:tc>
      </w:tr>
      <w:tr>
        <w:trPr>
          <w:trHeight w:val="229"/>
        </w:trPr>
        <w:tc>
          <w:tcPr>
            <w:tcW w:w="8160" w:type="dxa"/>
            <w:vAlign w:val="bottom"/>
          </w:tcPr>
          <w:p>
            <w:pPr>
              <w:ind w:left="220"/>
              <w:spacing w:after="0"/>
              <w:rPr>
                <w:sz w:val="20"/>
                <w:szCs w:val="20"/>
                <w:color w:val="auto"/>
              </w:rPr>
            </w:pPr>
            <w:r>
              <w:rPr>
                <w:rFonts w:ascii="Arial" w:cs="Arial" w:eastAsia="Arial" w:hAnsi="Arial"/>
                <w:sz w:val="18"/>
                <w:szCs w:val="18"/>
                <w:color w:val="auto"/>
              </w:rPr>
              <w:t>Income and other taxes payable</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(742)</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5,901</w:t>
            </w:r>
          </w:p>
        </w:tc>
      </w:tr>
      <w:tr>
        <w:trPr>
          <w:trHeight w:val="230"/>
        </w:trPr>
        <w:tc>
          <w:tcPr>
            <w:tcW w:w="8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Trade accounts payable, accrued compensation and other accrued expenses</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(11,279)</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(8,367)</w:t>
            </w:r>
          </w:p>
        </w:tc>
      </w:tr>
      <w:tr>
        <w:trPr>
          <w:trHeight w:val="230"/>
        </w:trPr>
        <w:tc>
          <w:tcPr>
            <w:tcW w:w="81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Changes in operating lease assets and liabilities, net</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8,570</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11,131</w:t>
            </w:r>
          </w:p>
        </w:tc>
      </w:tr>
      <w:tr>
        <w:trPr>
          <w:trHeight w:val="223"/>
        </w:trPr>
        <w:tc>
          <w:tcPr>
            <w:tcW w:w="81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85,139</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90,056</w:t>
            </w:r>
          </w:p>
        </w:tc>
      </w:tr>
      <w:tr>
        <w:trPr>
          <w:trHeight w:val="230"/>
        </w:trPr>
        <w:tc>
          <w:tcPr>
            <w:tcW w:w="816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8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Advances to independent operators</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(4,945)</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r>
      <w:tr>
        <w:trPr>
          <w:trHeight w:val="230"/>
        </w:trPr>
        <w:tc>
          <w:tcPr>
            <w:tcW w:w="8160" w:type="dxa"/>
            <w:vAlign w:val="bottom"/>
          </w:tcPr>
          <w:p>
            <w:pPr>
              <w:ind w:left="140"/>
              <w:spacing w:after="0"/>
              <w:rPr>
                <w:sz w:val="20"/>
                <w:szCs w:val="20"/>
                <w:color w:val="auto"/>
              </w:rPr>
            </w:pPr>
            <w:r>
              <w:rPr>
                <w:rFonts w:ascii="Arial" w:cs="Arial" w:eastAsia="Arial" w:hAnsi="Arial"/>
                <w:sz w:val="18"/>
                <w:szCs w:val="18"/>
                <w:color w:val="auto"/>
              </w:rPr>
              <w:t>Repayments of advances from independent operators</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2,464</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3,017</w:t>
            </w:r>
          </w:p>
        </w:tc>
      </w:tr>
      <w:tr>
        <w:trPr>
          <w:trHeight w:val="229"/>
        </w:trPr>
        <w:tc>
          <w:tcPr>
            <w:tcW w:w="8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Purchases of property and equipment</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(63,988)</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(49,972)</w:t>
            </w:r>
          </w:p>
        </w:tc>
      </w:tr>
      <w:tr>
        <w:trPr>
          <w:trHeight w:val="230"/>
        </w:trPr>
        <w:tc>
          <w:tcPr>
            <w:tcW w:w="8160" w:type="dxa"/>
            <w:vAlign w:val="bottom"/>
          </w:tcPr>
          <w:p>
            <w:pPr>
              <w:ind w:left="140"/>
              <w:spacing w:after="0"/>
              <w:rPr>
                <w:sz w:val="20"/>
                <w:szCs w:val="20"/>
                <w:color w:val="auto"/>
              </w:rPr>
            </w:pPr>
            <w:r>
              <w:rPr>
                <w:rFonts w:ascii="Arial" w:cs="Arial" w:eastAsia="Arial" w:hAnsi="Arial"/>
                <w:sz w:val="18"/>
                <w:szCs w:val="18"/>
                <w:color w:val="auto"/>
              </w:rPr>
              <w:t>Proceeds from sales of assets</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216</w:t>
            </w:r>
          </w:p>
        </w:tc>
      </w:tr>
      <w:tr>
        <w:trPr>
          <w:trHeight w:val="230"/>
        </w:trPr>
        <w:tc>
          <w:tcPr>
            <w:tcW w:w="8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Intangible assets and licenses</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(3,637)</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(2,431)</w:t>
            </w:r>
          </w:p>
        </w:tc>
      </w:tr>
      <w:tr>
        <w:trPr>
          <w:trHeight w:val="230"/>
        </w:trPr>
        <w:tc>
          <w:tcPr>
            <w:tcW w:w="81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Proceeds from insurance recoveries - property and equipment</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1,867</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1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Net cash used in investing activities</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(68,219)</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(52,170)</w:t>
            </w:r>
          </w:p>
        </w:tc>
      </w:tr>
      <w:tr>
        <w:trPr>
          <w:trHeight w:val="230"/>
        </w:trPr>
        <w:tc>
          <w:tcPr>
            <w:tcW w:w="816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8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Proceeds from exercise of stock options</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4,992</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15,878</w:t>
            </w:r>
          </w:p>
        </w:tc>
      </w:tr>
      <w:tr>
        <w:trPr>
          <w:trHeight w:val="230"/>
        </w:trPr>
        <w:tc>
          <w:tcPr>
            <w:tcW w:w="8160" w:type="dxa"/>
            <w:vAlign w:val="bottom"/>
          </w:tcPr>
          <w:p>
            <w:pPr>
              <w:ind w:left="140"/>
              <w:spacing w:after="0"/>
              <w:rPr>
                <w:sz w:val="20"/>
                <w:szCs w:val="20"/>
                <w:color w:val="auto"/>
              </w:rPr>
            </w:pPr>
            <w:r>
              <w:rPr>
                <w:rFonts w:ascii="Arial" w:cs="Arial" w:eastAsia="Arial" w:hAnsi="Arial"/>
                <w:sz w:val="18"/>
                <w:szCs w:val="18"/>
                <w:color w:val="auto"/>
              </w:rPr>
              <w:t>Proceeds from revolving credit facility loan</w:t>
            </w:r>
          </w:p>
        </w:tc>
        <w:tc>
          <w:tcPr>
            <w:tcW w:w="32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90,000</w:t>
            </w:r>
          </w:p>
        </w:tc>
      </w:tr>
      <w:tr>
        <w:trPr>
          <w:trHeight w:val="230"/>
        </w:trPr>
        <w:tc>
          <w:tcPr>
            <w:tcW w:w="8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Principal payments on revolving credit facility loan</w:t>
            </w:r>
          </w:p>
        </w:tc>
        <w:tc>
          <w:tcPr>
            <w:tcW w:w="3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(90,000)</w:t>
            </w:r>
          </w:p>
        </w:tc>
      </w:tr>
      <w:tr>
        <w:trPr>
          <w:trHeight w:val="230"/>
        </w:trPr>
        <w:tc>
          <w:tcPr>
            <w:tcW w:w="8160" w:type="dxa"/>
            <w:vAlign w:val="bottom"/>
          </w:tcPr>
          <w:p>
            <w:pPr>
              <w:ind w:left="140"/>
              <w:spacing w:after="0"/>
              <w:rPr>
                <w:sz w:val="20"/>
                <w:szCs w:val="20"/>
                <w:color w:val="auto"/>
              </w:rPr>
            </w:pPr>
            <w:r>
              <w:rPr>
                <w:rFonts w:ascii="Arial" w:cs="Arial" w:eastAsia="Arial" w:hAnsi="Arial"/>
                <w:sz w:val="18"/>
                <w:szCs w:val="18"/>
                <w:color w:val="auto"/>
              </w:rPr>
              <w:t>Payments made for net settlement of employee share-based compensation awards</w:t>
            </w:r>
          </w:p>
        </w:tc>
        <w:tc>
          <w:tcPr>
            <w:tcW w:w="32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(483)</w:t>
            </w:r>
          </w:p>
        </w:tc>
      </w:tr>
      <w:tr>
        <w:trPr>
          <w:trHeight w:val="229"/>
        </w:trPr>
        <w:tc>
          <w:tcPr>
            <w:tcW w:w="8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Principal payments on term loans</w:t>
            </w:r>
          </w:p>
        </w:tc>
        <w:tc>
          <w:tcPr>
            <w:tcW w:w="3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r>
      <w:tr>
        <w:trPr>
          <w:trHeight w:val="230"/>
        </w:trPr>
        <w:tc>
          <w:tcPr>
            <w:tcW w:w="8160" w:type="dxa"/>
            <w:vAlign w:val="bottom"/>
          </w:tcPr>
          <w:p>
            <w:pPr>
              <w:ind w:left="140"/>
              <w:spacing w:after="0"/>
              <w:rPr>
                <w:sz w:val="20"/>
                <w:szCs w:val="20"/>
                <w:color w:val="auto"/>
              </w:rPr>
            </w:pPr>
            <w:r>
              <w:rPr>
                <w:rFonts w:ascii="Arial" w:cs="Arial" w:eastAsia="Arial" w:hAnsi="Arial"/>
                <w:sz w:val="18"/>
                <w:szCs w:val="18"/>
                <w:color w:val="auto"/>
              </w:rPr>
              <w:t>Principal payments on other borrowings</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(518)</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(447)</w:t>
            </w:r>
          </w:p>
        </w:tc>
      </w:tr>
      <w:tr>
        <w:trPr>
          <w:trHeight w:val="230"/>
        </w:trPr>
        <w:tc>
          <w:tcPr>
            <w:tcW w:w="8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Dividends paid</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w:t>
            </w:r>
          </w:p>
        </w:tc>
      </w:tr>
      <w:tr>
        <w:trPr>
          <w:trHeight w:val="230"/>
        </w:trPr>
        <w:tc>
          <w:tcPr>
            <w:tcW w:w="8160" w:type="dxa"/>
            <w:vAlign w:val="bottom"/>
          </w:tcPr>
          <w:p>
            <w:pPr>
              <w:ind w:left="140"/>
              <w:spacing w:after="0"/>
              <w:rPr>
                <w:sz w:val="20"/>
                <w:szCs w:val="20"/>
                <w:color w:val="auto"/>
              </w:rPr>
            </w:pPr>
            <w:r>
              <w:rPr>
                <w:rFonts w:ascii="Arial" w:cs="Arial" w:eastAsia="Arial" w:hAnsi="Arial"/>
                <w:sz w:val="18"/>
                <w:szCs w:val="18"/>
                <w:color w:val="auto"/>
              </w:rPr>
              <w:t>Debt issuance costs paid</w:t>
            </w:r>
          </w:p>
        </w:tc>
        <w:tc>
          <w:tcPr>
            <w:tcW w:w="32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(701)</w:t>
            </w:r>
          </w:p>
        </w:tc>
      </w:tr>
      <w:tr>
        <w:trPr>
          <w:trHeight w:val="223"/>
        </w:trPr>
        <w:tc>
          <w:tcPr>
            <w:tcW w:w="8160" w:type="dxa"/>
            <w:vAlign w:val="bottom"/>
            <w:tcBorders>
              <w:top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Net cash provided by financing activities</w:t>
            </w: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4,377</w:t>
            </w:r>
          </w:p>
        </w:tc>
        <w:tc>
          <w:tcPr>
            <w:tcW w:w="12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13,816</w:t>
            </w:r>
          </w:p>
        </w:tc>
      </w:tr>
      <w:tr>
        <w:trPr>
          <w:trHeight w:val="223"/>
        </w:trPr>
        <w:tc>
          <w:tcPr>
            <w:tcW w:w="8160" w:type="dxa"/>
            <w:vAlign w:val="bottom"/>
          </w:tcPr>
          <w:p>
            <w:pPr>
              <w:ind w:left="20"/>
              <w:spacing w:after="0"/>
              <w:rPr>
                <w:sz w:val="20"/>
                <w:szCs w:val="20"/>
                <w:color w:val="auto"/>
              </w:rPr>
            </w:pPr>
            <w:r>
              <w:rPr>
                <w:rFonts w:ascii="Arial" w:cs="Arial" w:eastAsia="Arial" w:hAnsi="Arial"/>
                <w:sz w:val="18"/>
                <w:szCs w:val="18"/>
                <w:color w:val="auto"/>
              </w:rPr>
              <w:t>Net increase in cash and cash equivalents</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21,297</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51,702</w:t>
            </w:r>
          </w:p>
        </w:tc>
      </w:tr>
      <w:tr>
        <w:trPr>
          <w:trHeight w:val="229"/>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 at beginning of period</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105,326</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28,101</w:t>
            </w:r>
          </w:p>
        </w:tc>
      </w:tr>
      <w:tr>
        <w:trPr>
          <w:trHeight w:val="223"/>
        </w:trPr>
        <w:tc>
          <w:tcPr>
            <w:tcW w:w="8160" w:type="dxa"/>
            <w:vAlign w:val="bottom"/>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126,623</w:t>
            </w:r>
          </w:p>
        </w:tc>
        <w:tc>
          <w:tcPr>
            <w:tcW w:w="12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79,803</w:t>
            </w:r>
          </w:p>
        </w:tc>
      </w:tr>
      <w:tr>
        <w:trPr>
          <w:trHeight w:val="20"/>
        </w:trPr>
        <w:tc>
          <w:tcPr>
            <w:tcW w:w="8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4" w:right="3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GROCERY OUTLET HOLDING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 and Summary of Significant Accounting Policies</w:t>
      </w:r>
    </w:p>
    <w:p>
      <w:pPr>
        <w:spacing w:after="0" w:line="117"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8"/>
          <w:szCs w:val="18"/>
          <w:b w:val="1"/>
          <w:bCs w:val="1"/>
          <w:color w:val="auto"/>
        </w:rPr>
        <w:t xml:space="preserve">Description of Business </w:t>
      </w:r>
      <w:r>
        <w:rPr>
          <w:rFonts w:ascii="Arial" w:cs="Arial" w:eastAsia="Arial" w:hAnsi="Arial"/>
          <w:sz w:val="18"/>
          <w:szCs w:val="18"/>
          <w:color w:val="auto"/>
        </w:rPr>
        <w:t>— Based in Emeryville, California, and incorporated in Delaware in 2014, Grocery Outlet Holding Corp. (together with its</w:t>
      </w:r>
      <w:r>
        <w:rPr>
          <w:rFonts w:ascii="Arial" w:cs="Arial" w:eastAsia="Arial" w:hAnsi="Arial"/>
          <w:sz w:val="18"/>
          <w:szCs w:val="18"/>
          <w:b w:val="1"/>
          <w:bCs w:val="1"/>
          <w:color w:val="auto"/>
        </w:rPr>
        <w:t xml:space="preserve"> </w:t>
      </w:r>
      <w:r>
        <w:rPr>
          <w:rFonts w:ascii="Arial" w:cs="Arial" w:eastAsia="Arial" w:hAnsi="Arial"/>
          <w:sz w:val="18"/>
          <w:szCs w:val="18"/>
          <w:color w:val="auto"/>
        </w:rPr>
        <w:t>wholly owned subsidiaries, collectively, "Grocery Outlet," "we," or the "Company") is a high-growth, extreme value retailer of quality, name-brand consumables and fresh products sold through a network of independently operated stores. As of July 3, 2021, we had 400 stores throughout California, Washington, Oregon, Pennsylvania, Idaho and Nevada.</w:t>
      </w:r>
    </w:p>
    <w:p>
      <w:pPr>
        <w:spacing w:after="0" w:line="72" w:lineRule="exact"/>
        <w:rPr>
          <w:sz w:val="20"/>
          <w:szCs w:val="20"/>
          <w:color w:val="auto"/>
        </w:rPr>
      </w:pPr>
    </w:p>
    <w:p>
      <w:pPr>
        <w:jc w:val="both"/>
        <w:ind w:firstLine="486"/>
        <w:spacing w:after="0" w:line="258" w:lineRule="auto"/>
        <w:rPr>
          <w:sz w:val="20"/>
          <w:szCs w:val="20"/>
          <w:color w:val="auto"/>
        </w:rPr>
      </w:pPr>
      <w:r>
        <w:rPr>
          <w:rFonts w:ascii="Arial" w:cs="Arial" w:eastAsia="Arial" w:hAnsi="Arial"/>
          <w:sz w:val="18"/>
          <w:szCs w:val="18"/>
          <w:b w:val="1"/>
          <w:bCs w:val="1"/>
          <w:color w:val="auto"/>
        </w:rPr>
        <w:t xml:space="preserve">Secondary Public Offerings </w:t>
      </w:r>
      <w:r>
        <w:rPr>
          <w:rFonts w:ascii="Arial" w:cs="Arial" w:eastAsia="Arial" w:hAnsi="Arial"/>
          <w:sz w:val="18"/>
          <w:szCs w:val="18"/>
          <w:color w:val="auto"/>
        </w:rPr>
        <w:t>— On February 3, 2020, certain of our selling stockholders completed a secondary public offering of shares of our</w:t>
      </w:r>
      <w:r>
        <w:rPr>
          <w:rFonts w:ascii="Arial" w:cs="Arial" w:eastAsia="Arial" w:hAnsi="Arial"/>
          <w:sz w:val="18"/>
          <w:szCs w:val="18"/>
          <w:b w:val="1"/>
          <w:bCs w:val="1"/>
          <w:color w:val="auto"/>
        </w:rPr>
        <w:t xml:space="preserve"> </w:t>
      </w:r>
      <w:r>
        <w:rPr>
          <w:rFonts w:ascii="Arial" w:cs="Arial" w:eastAsia="Arial" w:hAnsi="Arial"/>
          <w:sz w:val="18"/>
          <w:szCs w:val="18"/>
          <w:color w:val="auto"/>
        </w:rPr>
        <w:t>common stock. We did not receive any of the proceeds from the sale of these shares by the selling stockholders. We incurred related offering costs of $1.1 million which we recognized in selling, general and administrative expenses ("SG&amp;A") during the first quarter of fiscal 2020. We received $1.4 million in cash (excluding withholding taxes) in connection with the exercise of 191,470 options by certain stockholders participating in this secondary public offering.</w:t>
      </w:r>
    </w:p>
    <w:p>
      <w:pPr>
        <w:spacing w:after="0" w:line="79"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On April 27, 2020, certain of our selling stockholders completed another secondary public offering of shares of our common stock. We did not receive any of the proceeds from the sale of these shares by the selling stockholders. We incurred related offering costs of $1.0 million which we recognized in SG&amp;A during the second quarter of fiscal 2020. We received $1.6 million in cash (excluding withholding taxes) in connection with the exercise of 269,000 options by certain stockholders participating in this secondary public offering.</w:t>
      </w:r>
    </w:p>
    <w:p>
      <w:pPr>
        <w:spacing w:after="0" w:line="79"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On May 28, 2020, the stockholder affiliated with our former private equity sponsor, Hellman and Friedman LLC, distributed the remainder of its holdings representing 9.6 million shares of our common stock to its equity holders. We did not receive any proceeds or incur any material costs related to this distribution.</w:t>
      </w:r>
    </w:p>
    <w:p>
      <w:pPr>
        <w:spacing w:after="0" w:line="72"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b w:val="1"/>
          <w:bCs w:val="1"/>
          <w:color w:val="auto"/>
        </w:rPr>
        <w:t xml:space="preserve">Basis of Presentation </w:t>
      </w:r>
      <w:r>
        <w:rPr>
          <w:rFonts w:ascii="Arial" w:cs="Arial" w:eastAsia="Arial" w:hAnsi="Arial"/>
          <w:sz w:val="17"/>
          <w:szCs w:val="17"/>
          <w:color w:val="auto"/>
        </w:rPr>
        <w:t>— The accompanying unaudited condensed consolidated financial statements have been prepared in accordance with</w:t>
      </w:r>
      <w:r>
        <w:rPr>
          <w:rFonts w:ascii="Arial" w:cs="Arial" w:eastAsia="Arial" w:hAnsi="Arial"/>
          <w:sz w:val="17"/>
          <w:szCs w:val="17"/>
          <w:b w:val="1"/>
          <w:bCs w:val="1"/>
          <w:color w:val="auto"/>
        </w:rPr>
        <w:t xml:space="preserve"> </w:t>
      </w:r>
      <w:r>
        <w:rPr>
          <w:rFonts w:ascii="Arial" w:cs="Arial" w:eastAsia="Arial" w:hAnsi="Arial"/>
          <w:sz w:val="17"/>
          <w:szCs w:val="17"/>
          <w:color w:val="auto"/>
        </w:rPr>
        <w:t>accounting principles generally accepted in the United States of America ("GAAP") and the applicable rules and regulations of the United States ("U.S.") Securities and Exchange Commission (the "SEC") for interim reporting. Certain information and note disclosures included in our annual financial statements prepared in accordance with GAAP have been condensed or omitted pursuant to such rules and regulations. The accompanying unaudited condensed consolidated financial statements should be read in conjunction with the audited consolidated financial statements included in our Annual Report on Form 10-K for the fiscal year ended January 2, 2021 filed with the SEC on March 2, 2021. The condensed consolidated balance sheet as of January 2, 2021 included herein has been derived from those audited consolidated financial statements.</w:t>
      </w:r>
    </w:p>
    <w:p>
      <w:pPr>
        <w:spacing w:after="0" w:line="68" w:lineRule="exact"/>
        <w:rPr>
          <w:sz w:val="20"/>
          <w:szCs w:val="20"/>
          <w:color w:val="auto"/>
        </w:rPr>
      </w:pPr>
    </w:p>
    <w:p>
      <w:pPr>
        <w:jc w:val="both"/>
        <w:ind w:firstLine="486"/>
        <w:spacing w:after="0" w:line="301" w:lineRule="auto"/>
        <w:rPr>
          <w:sz w:val="20"/>
          <w:szCs w:val="20"/>
          <w:color w:val="auto"/>
        </w:rPr>
      </w:pPr>
      <w:r>
        <w:rPr>
          <w:rFonts w:ascii="Arial" w:cs="Arial" w:eastAsia="Arial" w:hAnsi="Arial"/>
          <w:sz w:val="16"/>
          <w:szCs w:val="16"/>
          <w:color w:val="auto"/>
        </w:rPr>
        <w:t>Our unaudited condensed consolidated financial statements include the accounts of Grocery Outlet Holding Corp. and its wholly owned subsidiaries. All intercompany balances and transactions were eliminated. In the opinion of management, these condensed consolidated financial statements include all adjustments, consisting of normal recurring adjustments, necessary for a fair statement of the results for the periods presented. The interim results of operations and cash flows are not necessarily indicative of those results and cash flows expected for any future interim or annual period.</w:t>
      </w:r>
    </w:p>
    <w:p>
      <w:pPr>
        <w:spacing w:after="0" w:line="45"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8"/>
          <w:szCs w:val="18"/>
          <w:b w:val="1"/>
          <w:bCs w:val="1"/>
          <w:color w:val="auto"/>
        </w:rPr>
        <w:t xml:space="preserve">Use of Estimates </w:t>
      </w:r>
      <w:r>
        <w:rPr>
          <w:rFonts w:ascii="Arial" w:cs="Arial" w:eastAsia="Arial" w:hAnsi="Arial"/>
          <w:sz w:val="18"/>
          <w:szCs w:val="18"/>
          <w:color w:val="auto"/>
        </w:rPr>
        <w:t>— The preparation of consolidated financial statements in conformity with GAAP requires management to make estimates and</w:t>
      </w:r>
      <w:r>
        <w:rPr>
          <w:rFonts w:ascii="Arial" w:cs="Arial" w:eastAsia="Arial" w:hAnsi="Arial"/>
          <w:sz w:val="18"/>
          <w:szCs w:val="18"/>
          <w:b w:val="1"/>
          <w:bCs w:val="1"/>
          <w:color w:val="auto"/>
        </w:rPr>
        <w:t xml:space="preserve"> </w:t>
      </w:r>
      <w:r>
        <w:rPr>
          <w:rFonts w:ascii="Arial" w:cs="Arial" w:eastAsia="Arial" w:hAnsi="Arial"/>
          <w:sz w:val="18"/>
          <w:szCs w:val="18"/>
          <w:color w:val="auto"/>
        </w:rPr>
        <w:t>assumptions that affect the reported amounts of assets and liabilities, disclosure of contingent assets and liabilities at the date of the financial statements and the reported amounts of revenues and expenses during the reporting period. Actual results can differ from these estimates depending upon certain risks and uncertainties. Changes in these estimates are recorded when known.</w:t>
      </w:r>
    </w:p>
    <w:p>
      <w:pPr>
        <w:spacing w:after="0" w:line="72" w:lineRule="exact"/>
        <w:rPr>
          <w:sz w:val="20"/>
          <w:szCs w:val="20"/>
          <w:color w:val="auto"/>
        </w:rPr>
      </w:pPr>
    </w:p>
    <w:p>
      <w:pPr>
        <w:jc w:val="both"/>
        <w:ind w:firstLine="486"/>
        <w:spacing w:after="0" w:line="282" w:lineRule="auto"/>
        <w:rPr>
          <w:sz w:val="20"/>
          <w:szCs w:val="20"/>
          <w:color w:val="auto"/>
        </w:rPr>
      </w:pPr>
      <w:r>
        <w:rPr>
          <w:rFonts w:ascii="Arial" w:cs="Arial" w:eastAsia="Arial" w:hAnsi="Arial"/>
          <w:sz w:val="18"/>
          <w:szCs w:val="18"/>
          <w:b w:val="1"/>
          <w:bCs w:val="1"/>
          <w:color w:val="auto"/>
        </w:rPr>
        <w:t xml:space="preserve">Segment Reporting </w:t>
      </w:r>
      <w:r>
        <w:rPr>
          <w:rFonts w:ascii="Arial" w:cs="Arial" w:eastAsia="Arial" w:hAnsi="Arial"/>
          <w:sz w:val="18"/>
          <w:szCs w:val="18"/>
          <w:color w:val="auto"/>
        </w:rPr>
        <w:t>— We manage our business as one operating segment. All of our sales were made to customers located in the United States and</w:t>
      </w:r>
      <w:r>
        <w:rPr>
          <w:rFonts w:ascii="Arial" w:cs="Arial" w:eastAsia="Arial" w:hAnsi="Arial"/>
          <w:sz w:val="18"/>
          <w:szCs w:val="18"/>
          <w:b w:val="1"/>
          <w:bCs w:val="1"/>
          <w:color w:val="auto"/>
        </w:rPr>
        <w:t xml:space="preserve"> </w:t>
      </w:r>
      <w:r>
        <w:rPr>
          <w:rFonts w:ascii="Arial" w:cs="Arial" w:eastAsia="Arial" w:hAnsi="Arial"/>
          <w:sz w:val="18"/>
          <w:szCs w:val="18"/>
          <w:color w:val="auto"/>
        </w:rPr>
        <w:t>all property and equipment is located in the United States.</w:t>
      </w:r>
    </w:p>
    <w:p>
      <w:pPr>
        <w:spacing w:after="0" w:line="54"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8"/>
          <w:szCs w:val="18"/>
          <w:b w:val="1"/>
          <w:bCs w:val="1"/>
          <w:color w:val="auto"/>
        </w:rPr>
        <w:t xml:space="preserve">Merchandise Inventories </w:t>
      </w:r>
      <w:r>
        <w:rPr>
          <w:rFonts w:ascii="Arial" w:cs="Arial" w:eastAsia="Arial" w:hAnsi="Arial"/>
          <w:sz w:val="18"/>
          <w:szCs w:val="18"/>
          <w:color w:val="auto"/>
        </w:rPr>
        <w:t>— Merchandise inventories are valued at the lower of cost or net realizable value. Cost is determined by the weighted-average cost method for warehouse inventories and the retail inventory method for store inventories. We provide for estimated inventory losses between physical inventory counts based on historical averages. This provision is adjusted periodically to reflect the actual shrink results of the physical inventory counts.</w:t>
      </w:r>
    </w:p>
    <w:p>
      <w:pPr>
        <w:spacing w:after="0" w:line="72" w:lineRule="exact"/>
        <w:rPr>
          <w:sz w:val="20"/>
          <w:szCs w:val="20"/>
          <w:color w:val="auto"/>
        </w:rPr>
      </w:pPr>
    </w:p>
    <w:p>
      <w:pPr>
        <w:jc w:val="both"/>
        <w:ind w:firstLine="486"/>
        <w:spacing w:after="0" w:line="298" w:lineRule="auto"/>
        <w:rPr>
          <w:sz w:val="20"/>
          <w:szCs w:val="20"/>
          <w:color w:val="auto"/>
        </w:rPr>
      </w:pPr>
      <w:r>
        <w:rPr>
          <w:rFonts w:ascii="Arial" w:cs="Arial" w:eastAsia="Arial" w:hAnsi="Arial"/>
          <w:sz w:val="16"/>
          <w:szCs w:val="16"/>
          <w:b w:val="1"/>
          <w:bCs w:val="1"/>
          <w:color w:val="auto"/>
        </w:rPr>
        <w:t xml:space="preserve">Leases </w:t>
      </w:r>
      <w:r>
        <w:rPr>
          <w:rFonts w:ascii="Arial" w:cs="Arial" w:eastAsia="Arial" w:hAnsi="Arial"/>
          <w:sz w:val="16"/>
          <w:szCs w:val="16"/>
          <w:color w:val="auto"/>
        </w:rPr>
        <w:t>— We determine if an arrangement is a lease at inception. Operating leases are included in operating lease right-of-use assets, current lease</w:t>
      </w:r>
      <w:r>
        <w:rPr>
          <w:rFonts w:ascii="Arial" w:cs="Arial" w:eastAsia="Arial" w:hAnsi="Arial"/>
          <w:sz w:val="16"/>
          <w:szCs w:val="16"/>
          <w:b w:val="1"/>
          <w:bCs w:val="1"/>
          <w:color w:val="auto"/>
        </w:rPr>
        <w:t xml:space="preserve"> </w:t>
      </w:r>
      <w:r>
        <w:rPr>
          <w:rFonts w:ascii="Arial" w:cs="Arial" w:eastAsia="Arial" w:hAnsi="Arial"/>
          <w:sz w:val="16"/>
          <w:szCs w:val="16"/>
          <w:color w:val="auto"/>
        </w:rPr>
        <w:t>liabilities, and long-term lease liabilities on our condensed consolidated balance sheets. Finance leases are included in other assets, current lease liabilities, and long-term lease liabilities on our condensed consolidated balance sheets. Right-of-use assets represent our right to use an underlying asset for the lease term and lease liabilities represent our obligation to make lease payments arising from the lease over the same term. Right-of-use assets and liabilities are recognized at commencement date based on the present value of the lease payments over the lease term,</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4" w:right="3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6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reduced by landlord incentives. As most of our leases do not provide an implicit rate, we use our incremental borrowing rate, which is estimated to approximate the interest rate on a collateralized basis with similar terms and payments based on the information available at the commencement date, to determine the present value of our lease payments. Our lease terms may include options to extend or terminate the lease when it is reasonably certain that we will exercise that option. Lease expense for operating lease payments is recognized on a straight-line basis over the lease term. Amortization of finance lease right-of-use assets, interest expense on finance lease liabilities and operating and financing cash flows for finance leases are immaterial.</w:t>
      </w:r>
    </w:p>
    <w:p>
      <w:pPr>
        <w:spacing w:after="0" w:line="53"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We have lease agreements with retail facilities for store locations, distribution centers, office space and equipment with lease and non-lease components, which are accounted for separately. Leases with an initial term of 12 months or less are not recorded on the balance sheet; lease expense for these leases is recognized on a straight-line basis over the lease term. The short-term lease expense is reflective of the short-term lease commitments on a go-forward basis. We sublease certain real estate to unrelated third parties under non-cancelable leases and the sublease portfolio consists of operating leases for retail stores.</w:t>
      </w:r>
    </w:p>
    <w:p>
      <w:pPr>
        <w:spacing w:after="0" w:line="76"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8"/>
          <w:szCs w:val="18"/>
          <w:b w:val="1"/>
          <w:bCs w:val="1"/>
          <w:color w:val="auto"/>
        </w:rPr>
        <w:t xml:space="preserve">Fair Value Measurements </w:t>
      </w:r>
      <w:r>
        <w:rPr>
          <w:rFonts w:ascii="Arial" w:cs="Arial" w:eastAsia="Arial" w:hAnsi="Arial"/>
          <w:sz w:val="18"/>
          <w:szCs w:val="18"/>
          <w:color w:val="auto"/>
        </w:rPr>
        <w:t>— Fair value is defined as the exchange price, or exit price, representing the amount that would be received to sell an</w:t>
      </w:r>
      <w:r>
        <w:rPr>
          <w:rFonts w:ascii="Arial" w:cs="Arial" w:eastAsia="Arial" w:hAnsi="Arial"/>
          <w:sz w:val="18"/>
          <w:szCs w:val="18"/>
          <w:b w:val="1"/>
          <w:bCs w:val="1"/>
          <w:color w:val="auto"/>
        </w:rPr>
        <w:t xml:space="preserve"> </w:t>
      </w:r>
      <w:r>
        <w:rPr>
          <w:rFonts w:ascii="Arial" w:cs="Arial" w:eastAsia="Arial" w:hAnsi="Arial"/>
          <w:sz w:val="18"/>
          <w:szCs w:val="18"/>
          <w:color w:val="auto"/>
        </w:rPr>
        <w:t>asset or paid to transfer a liability in an orderly transaction between market participants. The fair value of financial instruments is categorized based upon the level of judgment associated with the inputs used to measure their fair values. Fair value is measured using inputs from the three levels of the fair value hierarchy, which are described as follows:</w:t>
      </w:r>
    </w:p>
    <w:p>
      <w:pPr>
        <w:spacing w:after="0" w:line="7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Level 1 </w:t>
      </w:r>
      <w:r>
        <w:rPr>
          <w:rFonts w:ascii="Arial" w:cs="Arial" w:eastAsia="Arial" w:hAnsi="Arial"/>
          <w:sz w:val="18"/>
          <w:szCs w:val="18"/>
          <w:color w:val="auto"/>
        </w:rPr>
        <w:t>— Quoted prices in active markets for identical assets or liabilities</w:t>
      </w:r>
    </w:p>
    <w:p>
      <w:pPr>
        <w:spacing w:after="0" w:line="6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Level 2 </w:t>
      </w:r>
      <w:r>
        <w:rPr>
          <w:rFonts w:ascii="Arial" w:cs="Arial" w:eastAsia="Arial" w:hAnsi="Arial"/>
          <w:sz w:val="18"/>
          <w:szCs w:val="18"/>
          <w:color w:val="auto"/>
        </w:rPr>
        <w:t>— Quoted prices for similar assets and liabilities in active markets or inputs that are observable</w:t>
      </w:r>
    </w:p>
    <w:p>
      <w:pPr>
        <w:spacing w:after="0" w:line="63" w:lineRule="exact"/>
        <w:rPr>
          <w:sz w:val="20"/>
          <w:szCs w:val="20"/>
          <w:color w:val="auto"/>
        </w:rPr>
      </w:pPr>
    </w:p>
    <w:p>
      <w:pPr>
        <w:ind w:left="1540" w:hanging="890"/>
        <w:spacing w:after="0" w:line="282" w:lineRule="auto"/>
        <w:rPr>
          <w:sz w:val="20"/>
          <w:szCs w:val="20"/>
          <w:color w:val="auto"/>
        </w:rPr>
      </w:pPr>
      <w:r>
        <w:rPr>
          <w:rFonts w:ascii="Arial" w:cs="Arial" w:eastAsia="Arial" w:hAnsi="Arial"/>
          <w:sz w:val="18"/>
          <w:szCs w:val="18"/>
          <w:b w:val="1"/>
          <w:bCs w:val="1"/>
          <w:color w:val="auto"/>
        </w:rPr>
        <w:t xml:space="preserve">Level 3 </w:t>
      </w:r>
      <w:r>
        <w:rPr>
          <w:rFonts w:ascii="Arial" w:cs="Arial" w:eastAsia="Arial" w:hAnsi="Arial"/>
          <w:sz w:val="18"/>
          <w:szCs w:val="18"/>
          <w:color w:val="auto"/>
        </w:rPr>
        <w:t>— Unobservable inputs in which there is little or no market data, which requires us to develop our own assumptions when pricing the</w:t>
      </w:r>
      <w:r>
        <w:rPr>
          <w:rFonts w:ascii="Arial" w:cs="Arial" w:eastAsia="Arial" w:hAnsi="Arial"/>
          <w:sz w:val="18"/>
          <w:szCs w:val="18"/>
          <w:b w:val="1"/>
          <w:bCs w:val="1"/>
          <w:color w:val="auto"/>
        </w:rPr>
        <w:t xml:space="preserve"> </w:t>
      </w:r>
      <w:r>
        <w:rPr>
          <w:rFonts w:ascii="Arial" w:cs="Arial" w:eastAsia="Arial" w:hAnsi="Arial"/>
          <w:sz w:val="18"/>
          <w:szCs w:val="18"/>
          <w:color w:val="auto"/>
        </w:rPr>
        <w:t>financial instruments, such as cash flow modeling assumptions</w:t>
      </w:r>
    </w:p>
    <w:p>
      <w:pPr>
        <w:spacing w:after="0" w:line="58"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The assets’ or liabilities’ fair value measurement level within the fair value hierarchy is based on the lowest level of any input that is significant to the fair value measurement. The fair value framework requires that we maximize the use of observable inputs and minimize the use of unobservable inputs when measuring fair value.</w:t>
      </w:r>
    </w:p>
    <w:p>
      <w:pPr>
        <w:spacing w:after="0" w:line="76"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There were no assets or liabilities measured at fair value on a recurring basis as of July 3, 2021 or January 2, 2021. Generally, assets are recorded at fair value on a nonrecurring basis as a result of impairment charges. There were no transfers of assets or liabilities between levels within the fair value hierarchy as of July 3, 2021 or January 2, 2021.</w:t>
      </w:r>
    </w:p>
    <w:p>
      <w:pPr>
        <w:spacing w:after="0" w:line="7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financial assets and liabilities are carried at cost, which generally approximates their fair value, as described below:</w:t>
      </w:r>
    </w:p>
    <w:p>
      <w:pPr>
        <w:spacing w:after="0" w:line="117"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i w:val="1"/>
          <w:iCs w:val="1"/>
          <w:color w:val="auto"/>
        </w:rPr>
        <w:t xml:space="preserve">Cash and cash equivalents, independent operator ("IO") receivables, other accounts receivable and accounts payable </w:t>
      </w:r>
      <w:r>
        <w:rPr>
          <w:rFonts w:ascii="Arial" w:cs="Arial" w:eastAsia="Arial" w:hAnsi="Arial"/>
          <w:sz w:val="18"/>
          <w:szCs w:val="18"/>
          <w:color w:val="auto"/>
        </w:rPr>
        <w:t>— The carrying value of such</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instruments approximates their fair value due to factors such as their short-term nature or their variable interest rates.</w:t>
      </w:r>
    </w:p>
    <w:p>
      <w:pPr>
        <w:spacing w:after="0" w:line="62"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i w:val="1"/>
          <w:iCs w:val="1"/>
          <w:color w:val="auto"/>
        </w:rPr>
        <w:t xml:space="preserve">IO notes receivable (net) </w:t>
      </w:r>
      <w:r>
        <w:rPr>
          <w:rFonts w:ascii="Arial" w:cs="Arial" w:eastAsia="Arial" w:hAnsi="Arial"/>
          <w:sz w:val="18"/>
          <w:szCs w:val="18"/>
          <w:color w:val="auto"/>
        </w:rPr>
        <w:t>— The carrying value of such financial instruments approximates their fair value due to the effect of the related allowance</w:t>
      </w:r>
      <w:r>
        <w:rPr>
          <w:rFonts w:ascii="Arial" w:cs="Arial" w:eastAsia="Arial" w:hAnsi="Arial"/>
          <w:sz w:val="18"/>
          <w:szCs w:val="18"/>
          <w:i w:val="1"/>
          <w:iCs w:val="1"/>
          <w:color w:val="auto"/>
        </w:rPr>
        <w:t xml:space="preserve"> </w:t>
      </w:r>
      <w:r>
        <w:rPr>
          <w:rFonts w:ascii="Arial" w:cs="Arial" w:eastAsia="Arial" w:hAnsi="Arial"/>
          <w:sz w:val="18"/>
          <w:szCs w:val="18"/>
          <w:color w:val="auto"/>
        </w:rPr>
        <w:t>for expected credit losses.</w:t>
      </w:r>
    </w:p>
    <w:p>
      <w:pPr>
        <w:spacing w:after="0" w:line="62"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i w:val="1"/>
          <w:iCs w:val="1"/>
          <w:color w:val="auto"/>
        </w:rPr>
        <w:t xml:space="preserve">Notes payable and term loans </w:t>
      </w:r>
      <w:r>
        <w:rPr>
          <w:rFonts w:ascii="Arial" w:cs="Arial" w:eastAsia="Arial" w:hAnsi="Arial"/>
          <w:sz w:val="18"/>
          <w:szCs w:val="18"/>
          <w:color w:val="auto"/>
        </w:rPr>
        <w:t>— The carrying value of such financial instruments approximates their fair value since the stated interest rates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approximates market rates for loans with similar terms for borrowers with similar credit profiles. However, in accordance with Accounting Standards Codification (“ASC”) Topic 825, </w:t>
      </w:r>
      <w:r>
        <w:rPr>
          <w:rFonts w:ascii="Arial" w:cs="Arial" w:eastAsia="Arial" w:hAnsi="Arial"/>
          <w:sz w:val="18"/>
          <w:szCs w:val="18"/>
          <w:i w:val="1"/>
          <w:iCs w:val="1"/>
          <w:color w:val="auto"/>
        </w:rPr>
        <w:t>Financial Instruments</w:t>
      </w:r>
      <w:r>
        <w:rPr>
          <w:rFonts w:ascii="Arial" w:cs="Arial" w:eastAsia="Arial" w:hAnsi="Arial"/>
          <w:sz w:val="18"/>
          <w:szCs w:val="18"/>
          <w:color w:val="auto"/>
        </w:rPr>
        <w:t>, the fair values of our term loans as of July 3, 2021 and January 2, 2021 are disclosed in the below table.</w:t>
      </w:r>
    </w:p>
    <w:p>
      <w:pPr>
        <w:spacing w:after="0" w:line="79"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following table sets forth by level within the fair value hierarchy the carrying amounts and estimated fair values of our significant financial liabilities that are not recorded at fair value on the condensed consolidated balance sheets (amounts in thousands):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498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520" w:type="dxa"/>
            <w:vAlign w:val="bottom"/>
            <w:tcBorders>
              <w:top w:val="single" w:sz="8" w:color="auto"/>
            </w:tcBorders>
            <w:gridSpan w:val="3"/>
          </w:tcPr>
          <w:p>
            <w:pPr>
              <w:jc w:val="right"/>
              <w:ind w:right="179"/>
              <w:spacing w:after="0" w:line="149" w:lineRule="exact"/>
              <w:rPr>
                <w:sz w:val="20"/>
                <w:szCs w:val="20"/>
                <w:color w:val="auto"/>
              </w:rPr>
            </w:pPr>
            <w:r>
              <w:rPr>
                <w:rFonts w:ascii="Arial" w:cs="Arial" w:eastAsia="Arial" w:hAnsi="Arial"/>
                <w:sz w:val="14"/>
                <w:szCs w:val="14"/>
                <w:b w:val="1"/>
                <w:bCs w:val="1"/>
                <w:color w:val="auto"/>
              </w:rPr>
              <w:t>July 3,</w:t>
            </w:r>
          </w:p>
        </w:tc>
        <w:tc>
          <w:tcPr>
            <w:tcW w:w="10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580" w:type="dxa"/>
            <w:vAlign w:val="bottom"/>
            <w:tcBorders>
              <w:top w:val="single" w:sz="8" w:color="auto"/>
            </w:tcBorders>
            <w:gridSpan w:val="3"/>
          </w:tcPr>
          <w:p>
            <w:pPr>
              <w:jc w:val="right"/>
              <w:ind w:right="119"/>
              <w:spacing w:after="0" w:line="149" w:lineRule="exact"/>
              <w:rPr>
                <w:sz w:val="20"/>
                <w:szCs w:val="20"/>
                <w:color w:val="auto"/>
              </w:rPr>
            </w:pPr>
            <w:r>
              <w:rPr>
                <w:rFonts w:ascii="Arial" w:cs="Arial" w:eastAsia="Arial" w:hAnsi="Arial"/>
                <w:sz w:val="14"/>
                <w:szCs w:val="14"/>
                <w:b w:val="1"/>
                <w:bCs w:val="1"/>
                <w:color w:val="auto"/>
              </w:rPr>
              <w:t>January 2,</w:t>
            </w:r>
          </w:p>
        </w:tc>
        <w:tc>
          <w:tcPr>
            <w:tcW w:w="10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498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ind w:right="239"/>
              <w:spacing w:after="0"/>
              <w:rPr>
                <w:sz w:val="20"/>
                <w:szCs w:val="20"/>
                <w:color w:val="auto"/>
              </w:rPr>
            </w:pPr>
            <w:r>
              <w:rPr>
                <w:rFonts w:ascii="Arial" w:cs="Arial" w:eastAsia="Arial" w:hAnsi="Arial"/>
                <w:sz w:val="14"/>
                <w:szCs w:val="14"/>
                <w:b w:val="1"/>
                <w:bCs w:val="1"/>
                <w:color w:val="auto"/>
              </w:rPr>
              <w:t>2021</w:t>
            </w:r>
          </w:p>
        </w:tc>
        <w:tc>
          <w:tcPr>
            <w:tcW w:w="10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ind w:right="299"/>
              <w:spacing w:after="0"/>
              <w:rPr>
                <w:sz w:val="20"/>
                <w:szCs w:val="20"/>
                <w:color w:val="auto"/>
              </w:rPr>
            </w:pPr>
            <w:r>
              <w:rPr>
                <w:rFonts w:ascii="Arial" w:cs="Arial" w:eastAsia="Arial" w:hAnsi="Arial"/>
                <w:sz w:val="14"/>
                <w:szCs w:val="14"/>
                <w:b w:val="1"/>
                <w:bCs w:val="1"/>
                <w:color w:val="auto"/>
              </w:rPr>
              <w:t>2021</w:t>
            </w: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4980" w:type="dxa"/>
            <w:vAlign w:val="bottom"/>
          </w:tcPr>
          <w:p>
            <w:pPr>
              <w:spacing w:after="0"/>
              <w:rPr>
                <w:sz w:val="11"/>
                <w:szCs w:val="11"/>
                <w:color w:val="auto"/>
              </w:rPr>
            </w:pPr>
          </w:p>
        </w:tc>
        <w:tc>
          <w:tcPr>
            <w:tcW w:w="158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 xml:space="preserve">Carrying Amount </w:t>
            </w:r>
            <w:r>
              <w:rPr>
                <w:rFonts w:ascii="Arial" w:cs="Arial" w:eastAsia="Arial" w:hAnsi="Arial"/>
                <w:sz w:val="23"/>
                <w:szCs w:val="23"/>
                <w:b w:val="1"/>
                <w:bCs w:val="1"/>
                <w:color w:val="auto"/>
                <w:vertAlign w:val="superscript"/>
              </w:rPr>
              <w:t>(1)</w:t>
            </w:r>
          </w:p>
        </w:tc>
        <w:tc>
          <w:tcPr>
            <w:tcW w:w="1500" w:type="dxa"/>
            <w:vAlign w:val="bottom"/>
            <w:gridSpan w:val="2"/>
          </w:tcPr>
          <w:p>
            <w:pPr>
              <w:jc w:val="center"/>
              <w:spacing w:after="0" w:line="130" w:lineRule="exact"/>
              <w:rPr>
                <w:sz w:val="20"/>
                <w:szCs w:val="20"/>
                <w:color w:val="auto"/>
              </w:rPr>
            </w:pPr>
            <w:r>
              <w:rPr>
                <w:rFonts w:ascii="Arial" w:cs="Arial" w:eastAsia="Arial" w:hAnsi="Arial"/>
                <w:sz w:val="14"/>
                <w:szCs w:val="14"/>
                <w:b w:val="1"/>
                <w:bCs w:val="1"/>
                <w:color w:val="auto"/>
                <w:w w:val="94"/>
              </w:rPr>
              <w:t>Estimated Fair Value</w:t>
            </w:r>
          </w:p>
        </w:tc>
        <w:tc>
          <w:tcPr>
            <w:tcW w:w="100" w:type="dxa"/>
            <w:vAlign w:val="bottom"/>
          </w:tcPr>
          <w:p>
            <w:pPr>
              <w:spacing w:after="0"/>
              <w:rPr>
                <w:sz w:val="11"/>
                <w:szCs w:val="11"/>
                <w:color w:val="auto"/>
              </w:rPr>
            </w:pPr>
          </w:p>
        </w:tc>
        <w:tc>
          <w:tcPr>
            <w:tcW w:w="160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 xml:space="preserve">Carrying Amount </w:t>
            </w:r>
            <w:r>
              <w:rPr>
                <w:rFonts w:ascii="Arial" w:cs="Arial" w:eastAsia="Arial" w:hAnsi="Arial"/>
                <w:sz w:val="23"/>
                <w:szCs w:val="23"/>
                <w:b w:val="1"/>
                <w:bCs w:val="1"/>
                <w:color w:val="auto"/>
                <w:vertAlign w:val="superscript"/>
              </w:rPr>
              <w:t>(1)</w:t>
            </w:r>
          </w:p>
        </w:tc>
        <w:tc>
          <w:tcPr>
            <w:tcW w:w="1480" w:type="dxa"/>
            <w:vAlign w:val="bottom"/>
            <w:gridSpan w:val="2"/>
          </w:tcPr>
          <w:p>
            <w:pPr>
              <w:jc w:val="center"/>
              <w:spacing w:after="0" w:line="130" w:lineRule="exact"/>
              <w:rPr>
                <w:sz w:val="20"/>
                <w:szCs w:val="20"/>
                <w:color w:val="auto"/>
              </w:rPr>
            </w:pPr>
            <w:r>
              <w:rPr>
                <w:rFonts w:ascii="Arial" w:cs="Arial" w:eastAsia="Arial" w:hAnsi="Arial"/>
                <w:sz w:val="14"/>
                <w:szCs w:val="14"/>
                <w:b w:val="1"/>
                <w:bCs w:val="1"/>
                <w:color w:val="auto"/>
                <w:w w:val="95"/>
              </w:rPr>
              <w:t>Estimated Fair Value</w:t>
            </w:r>
          </w:p>
        </w:tc>
        <w:tc>
          <w:tcPr>
            <w:tcW w:w="0" w:type="dxa"/>
            <w:vAlign w:val="bottom"/>
          </w:tcPr>
          <w:p>
            <w:pPr>
              <w:spacing w:after="0"/>
              <w:rPr>
                <w:sz w:val="1"/>
                <w:szCs w:val="1"/>
                <w:color w:val="auto"/>
              </w:rPr>
            </w:pPr>
          </w:p>
        </w:tc>
      </w:tr>
      <w:tr>
        <w:trPr>
          <w:trHeight w:val="162"/>
        </w:trPr>
        <w:tc>
          <w:tcPr>
            <w:tcW w:w="4980" w:type="dxa"/>
            <w:vAlign w:val="bottom"/>
          </w:tcPr>
          <w:p>
            <w:pPr>
              <w:spacing w:after="0"/>
              <w:rPr>
                <w:sz w:val="14"/>
                <w:szCs w:val="14"/>
                <w:color w:val="auto"/>
              </w:rPr>
            </w:pPr>
          </w:p>
        </w:tc>
        <w:tc>
          <w:tcPr>
            <w:tcW w:w="1580" w:type="dxa"/>
            <w:vAlign w:val="bottom"/>
            <w:gridSpan w:val="3"/>
            <w:vMerge w:val="continue"/>
          </w:tcPr>
          <w:p>
            <w:pPr>
              <w:spacing w:after="0"/>
              <w:rPr>
                <w:sz w:val="14"/>
                <w:szCs w:val="14"/>
                <w:color w:val="auto"/>
              </w:rPr>
            </w:pPr>
          </w:p>
        </w:tc>
        <w:tc>
          <w:tcPr>
            <w:tcW w:w="420" w:type="dxa"/>
            <w:vAlign w:val="bottom"/>
          </w:tcPr>
          <w:p>
            <w:pPr>
              <w:spacing w:after="0"/>
              <w:rPr>
                <w:sz w:val="14"/>
                <w:szCs w:val="14"/>
                <w:color w:val="auto"/>
              </w:rPr>
            </w:pPr>
          </w:p>
        </w:tc>
        <w:tc>
          <w:tcPr>
            <w:tcW w:w="1080" w:type="dxa"/>
            <w:vAlign w:val="bottom"/>
          </w:tcPr>
          <w:p>
            <w:pPr>
              <w:jc w:val="right"/>
              <w:ind w:right="606"/>
              <w:spacing w:after="0"/>
              <w:rPr>
                <w:sz w:val="20"/>
                <w:szCs w:val="20"/>
                <w:color w:val="auto"/>
              </w:rPr>
            </w:pPr>
            <w:r>
              <w:rPr>
                <w:rFonts w:ascii="Arial" w:cs="Arial" w:eastAsia="Arial" w:hAnsi="Arial"/>
                <w:sz w:val="12"/>
                <w:szCs w:val="12"/>
                <w:b w:val="1"/>
                <w:bCs w:val="1"/>
                <w:color w:val="auto"/>
              </w:rPr>
              <w:t>(2)</w:t>
            </w:r>
          </w:p>
        </w:tc>
        <w:tc>
          <w:tcPr>
            <w:tcW w:w="100" w:type="dxa"/>
            <w:vAlign w:val="bottom"/>
          </w:tcPr>
          <w:p>
            <w:pPr>
              <w:spacing w:after="0"/>
              <w:rPr>
                <w:sz w:val="14"/>
                <w:szCs w:val="14"/>
                <w:color w:val="auto"/>
              </w:rPr>
            </w:pPr>
          </w:p>
        </w:tc>
        <w:tc>
          <w:tcPr>
            <w:tcW w:w="1600" w:type="dxa"/>
            <w:vAlign w:val="bottom"/>
            <w:gridSpan w:val="3"/>
            <w:vMerge w:val="continue"/>
          </w:tcPr>
          <w:p>
            <w:pPr>
              <w:spacing w:after="0"/>
              <w:rPr>
                <w:sz w:val="14"/>
                <w:szCs w:val="14"/>
                <w:color w:val="auto"/>
              </w:rPr>
            </w:pPr>
          </w:p>
        </w:tc>
        <w:tc>
          <w:tcPr>
            <w:tcW w:w="460" w:type="dxa"/>
            <w:vAlign w:val="bottom"/>
          </w:tcPr>
          <w:p>
            <w:pPr>
              <w:spacing w:after="0"/>
              <w:rPr>
                <w:sz w:val="14"/>
                <w:szCs w:val="14"/>
                <w:color w:val="auto"/>
              </w:rPr>
            </w:pPr>
          </w:p>
        </w:tc>
        <w:tc>
          <w:tcPr>
            <w:tcW w:w="1020" w:type="dxa"/>
            <w:vAlign w:val="bottom"/>
          </w:tcPr>
          <w:p>
            <w:pPr>
              <w:jc w:val="right"/>
              <w:ind w:right="606"/>
              <w:spacing w:after="0"/>
              <w:rPr>
                <w:sz w:val="20"/>
                <w:szCs w:val="20"/>
                <w:color w:val="auto"/>
              </w:rPr>
            </w:pPr>
            <w:r>
              <w:rPr>
                <w:rFonts w:ascii="Arial" w:cs="Arial" w:eastAsia="Arial" w:hAnsi="Arial"/>
                <w:sz w:val="12"/>
                <w:szCs w:val="12"/>
                <w:b w:val="1"/>
                <w:bCs w:val="1"/>
                <w:color w:val="auto"/>
              </w:rPr>
              <w:t>(2)</w:t>
            </w:r>
          </w:p>
        </w:tc>
        <w:tc>
          <w:tcPr>
            <w:tcW w:w="0" w:type="dxa"/>
            <w:vAlign w:val="bottom"/>
          </w:tcPr>
          <w:p>
            <w:pPr>
              <w:spacing w:after="0"/>
              <w:rPr>
                <w:sz w:val="1"/>
                <w:szCs w:val="1"/>
                <w:color w:val="auto"/>
              </w:rPr>
            </w:pPr>
          </w:p>
        </w:tc>
      </w:tr>
      <w:tr>
        <w:trPr>
          <w:trHeight w:val="210"/>
        </w:trPr>
        <w:tc>
          <w:tcPr>
            <w:tcW w:w="4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Financial Liabilities:</w:t>
            </w:r>
          </w:p>
        </w:tc>
        <w:tc>
          <w:tcPr>
            <w:tcW w:w="4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80" w:type="dxa"/>
            <w:vAlign w:val="bottom"/>
          </w:tcPr>
          <w:p>
            <w:pPr>
              <w:ind w:left="20"/>
              <w:spacing w:after="0"/>
              <w:rPr>
                <w:sz w:val="20"/>
                <w:szCs w:val="20"/>
                <w:color w:val="auto"/>
              </w:rPr>
            </w:pPr>
            <w:r>
              <w:rPr>
                <w:rFonts w:ascii="Arial" w:cs="Arial" w:eastAsia="Arial" w:hAnsi="Arial"/>
                <w:sz w:val="18"/>
                <w:szCs w:val="18"/>
                <w:color w:val="auto"/>
              </w:rPr>
              <w:t>Term loans (Level 2)</w:t>
            </w:r>
          </w:p>
        </w:tc>
        <w:tc>
          <w:tcPr>
            <w:tcW w:w="480" w:type="dxa"/>
            <w:vAlign w:val="bottom"/>
          </w:tcPr>
          <w:p>
            <w:pPr>
              <w:jc w:val="right"/>
              <w:ind w:right="279"/>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2"/>
              <w:spacing w:after="0"/>
              <w:rPr>
                <w:sz w:val="20"/>
                <w:szCs w:val="20"/>
                <w:color w:val="auto"/>
              </w:rPr>
            </w:pPr>
            <w:r>
              <w:rPr>
                <w:rFonts w:ascii="Arial" w:cs="Arial" w:eastAsia="Arial" w:hAnsi="Arial"/>
                <w:sz w:val="18"/>
                <w:szCs w:val="18"/>
                <w:color w:val="auto"/>
              </w:rPr>
              <w:t>458,887</w:t>
            </w:r>
          </w:p>
        </w:tc>
        <w:tc>
          <w:tcPr>
            <w:tcW w:w="100" w:type="dxa"/>
            <w:vAlign w:val="bottom"/>
          </w:tcPr>
          <w:p>
            <w:pPr>
              <w:spacing w:after="0"/>
              <w:rPr>
                <w:sz w:val="20"/>
                <w:szCs w:val="20"/>
                <w:color w:val="auto"/>
              </w:rPr>
            </w:pPr>
          </w:p>
        </w:tc>
        <w:tc>
          <w:tcPr>
            <w:tcW w:w="420" w:type="dxa"/>
            <w:vAlign w:val="bottom"/>
          </w:tcPr>
          <w:p>
            <w:pPr>
              <w:jc w:val="right"/>
              <w:ind w:right="219"/>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6"/>
              <w:spacing w:after="0"/>
              <w:rPr>
                <w:sz w:val="20"/>
                <w:szCs w:val="20"/>
                <w:color w:val="auto"/>
              </w:rPr>
            </w:pPr>
            <w:r>
              <w:rPr>
                <w:rFonts w:ascii="Arial" w:cs="Arial" w:eastAsia="Arial" w:hAnsi="Arial"/>
                <w:sz w:val="18"/>
                <w:szCs w:val="18"/>
                <w:color w:val="auto"/>
              </w:rPr>
              <w:t>459,425</w:t>
            </w:r>
          </w:p>
        </w:tc>
        <w:tc>
          <w:tcPr>
            <w:tcW w:w="100" w:type="dxa"/>
            <w:vAlign w:val="bottom"/>
          </w:tcPr>
          <w:p>
            <w:pPr>
              <w:spacing w:after="0"/>
              <w:rPr>
                <w:sz w:val="20"/>
                <w:szCs w:val="20"/>
                <w:color w:val="auto"/>
              </w:rPr>
            </w:pPr>
          </w:p>
        </w:tc>
        <w:tc>
          <w:tcPr>
            <w:tcW w:w="480" w:type="dxa"/>
            <w:vAlign w:val="bottom"/>
          </w:tcPr>
          <w:p>
            <w:pPr>
              <w:jc w:val="right"/>
              <w:ind w:right="279"/>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458,757</w:t>
            </w:r>
          </w:p>
        </w:tc>
        <w:tc>
          <w:tcPr>
            <w:tcW w:w="120" w:type="dxa"/>
            <w:vAlign w:val="bottom"/>
          </w:tcPr>
          <w:p>
            <w:pPr>
              <w:spacing w:after="0"/>
              <w:rPr>
                <w:sz w:val="20"/>
                <w:szCs w:val="20"/>
                <w:color w:val="auto"/>
              </w:rPr>
            </w:pPr>
          </w:p>
        </w:tc>
        <w:tc>
          <w:tcPr>
            <w:tcW w:w="460" w:type="dxa"/>
            <w:vAlign w:val="bottom"/>
          </w:tcPr>
          <w:p>
            <w:pPr>
              <w:jc w:val="right"/>
              <w:ind w:right="279"/>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6"/>
              <w:spacing w:after="0"/>
              <w:rPr>
                <w:sz w:val="20"/>
                <w:szCs w:val="20"/>
                <w:color w:val="auto"/>
              </w:rPr>
            </w:pPr>
            <w:r>
              <w:rPr>
                <w:rFonts w:ascii="Arial" w:cs="Arial" w:eastAsia="Arial" w:hAnsi="Arial"/>
                <w:sz w:val="18"/>
                <w:szCs w:val="18"/>
                <w:color w:val="auto"/>
              </w:rPr>
              <w:t>460,000</w:t>
            </w:r>
          </w:p>
        </w:tc>
        <w:tc>
          <w:tcPr>
            <w:tcW w:w="0" w:type="dxa"/>
            <w:vAlign w:val="bottom"/>
          </w:tcPr>
          <w:p>
            <w:pPr>
              <w:spacing w:after="0"/>
              <w:rPr>
                <w:sz w:val="1"/>
                <w:szCs w:val="1"/>
                <w:color w:val="auto"/>
              </w:rPr>
            </w:pPr>
          </w:p>
        </w:tc>
      </w:tr>
    </w:tbl>
    <w:p>
      <w:pPr>
        <w:spacing w:after="0" w:line="97"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w:t>
      </w:r>
    </w:p>
    <w:p>
      <w:pPr>
        <w:spacing w:after="0" w:line="49" w:lineRule="exact"/>
        <w:rPr>
          <w:sz w:val="20"/>
          <w:szCs w:val="20"/>
          <w:color w:val="auto"/>
        </w:rPr>
      </w:pPr>
    </w:p>
    <w:p>
      <w:pPr>
        <w:ind w:left="500" w:hanging="492"/>
        <w:spacing w:after="0"/>
        <w:tabs>
          <w:tab w:leader="none" w:pos="50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carrying amounts as of July 3, 2021 and January 2, 2021 are net of unamortized debt discounts of $1.1 million and $1.2 million, respectively.</w:t>
      </w:r>
    </w:p>
    <w:p>
      <w:pPr>
        <w:spacing w:after="0" w:line="59" w:lineRule="exact"/>
        <w:rPr>
          <w:rFonts w:ascii="Arial" w:cs="Arial" w:eastAsia="Arial" w:hAnsi="Arial"/>
          <w:sz w:val="16"/>
          <w:szCs w:val="16"/>
          <w:color w:val="auto"/>
        </w:rPr>
      </w:pPr>
    </w:p>
    <w:p>
      <w:pPr>
        <w:ind w:left="500" w:right="20" w:hanging="492"/>
        <w:spacing w:after="0" w:line="275" w:lineRule="auto"/>
        <w:tabs>
          <w:tab w:leader="none" w:pos="50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estimated fair value of our term loans was determined based on the average quoted bid-ask prices for the term loans in an over-the-counter market on the last trading day of the periods presented.</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4"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56"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b w:val="1"/>
          <w:bCs w:val="1"/>
          <w:i w:val="1"/>
          <w:iCs w:val="1"/>
          <w:color w:val="auto"/>
        </w:rPr>
        <w:t xml:space="preserve">Net Sales </w:t>
      </w:r>
      <w:r>
        <w:rPr>
          <w:rFonts w:ascii="Arial" w:cs="Arial" w:eastAsia="Arial" w:hAnsi="Arial"/>
          <w:sz w:val="18"/>
          <w:szCs w:val="18"/>
          <w:color w:val="auto"/>
        </w:rPr>
        <w:t>— We recognize revenue from the sale of products at the point of sale, net of any taxes or deposits collected and remitted to governmental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authorities. Our performance obligations are satisfied upon the transfer of goods to the customer, at the point of sale, and payment from customers is also due at the time of sale. Discounts provided to customers by us are recognized at the time of sale as a reduction in sales as the products are sold. Discounts provided by IOs are not recognized as a reduction in sales as these are provided solely by the IO who bears the incremental costs arising from the discount. We do not accept manufacturer coupons.</w:t>
      </w:r>
    </w:p>
    <w:p>
      <w:pPr>
        <w:spacing w:after="0" w:line="80"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We do not have any material contract assets or receivables from contracts with customers, any revenue recognized in the current year from performance obligations satisfied in previous periods, any performance obligations, or any material costs to obtain or fulfill a contract as of July 3, 2021 and January 2, 2021.</w:t>
      </w:r>
    </w:p>
    <w:p>
      <w:pPr>
        <w:spacing w:after="0" w:line="76"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b w:val="1"/>
          <w:bCs w:val="1"/>
          <w:i w:val="1"/>
          <w:iCs w:val="1"/>
          <w:color w:val="auto"/>
        </w:rPr>
        <w:t xml:space="preserve">Gift Cards </w:t>
      </w:r>
      <w:r>
        <w:rPr>
          <w:rFonts w:ascii="Arial" w:cs="Arial" w:eastAsia="Arial" w:hAnsi="Arial"/>
          <w:sz w:val="18"/>
          <w:szCs w:val="18"/>
          <w:color w:val="auto"/>
        </w:rPr>
        <w:t>— We record a deferred revenue liability when a Grocery Outlet gift card is sold. Revenue related to gift cards is recognized as the gift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cards are redeemed, which is when we have satisfied our performance obligation. While gift cards are generally redeemed within 12 months, some are never fully redeemed. We reduce the liability and recognize revenue for the unused portion of the gift cards (“breakage”) under the proportional method, where recognition of breakage income is based upon the historical run-off rate of unredeemed gift cards. Our gift card deferred revenue liability was $2.4 million and $3.2 million as of July 3, 2021 and January 2, 2021, respectively. Breakage amounts were immaterial for the 13 and 26 weeks ended July 3, 2021 and June 27, 2020.</w:t>
      </w:r>
    </w:p>
    <w:p>
      <w:pPr>
        <w:spacing w:after="0" w:line="84" w:lineRule="exact"/>
        <w:rPr>
          <w:sz w:val="20"/>
          <w:szCs w:val="20"/>
          <w:color w:val="auto"/>
        </w:rPr>
      </w:pPr>
    </w:p>
    <w:p>
      <w:pPr>
        <w:ind w:left="500"/>
        <w:spacing w:after="0"/>
        <w:rPr>
          <w:sz w:val="20"/>
          <w:szCs w:val="20"/>
          <w:color w:val="auto"/>
        </w:rPr>
      </w:pPr>
      <w:r>
        <w:rPr>
          <w:rFonts w:ascii="Arial" w:cs="Arial" w:eastAsia="Arial" w:hAnsi="Arial"/>
          <w:sz w:val="17"/>
          <w:szCs w:val="17"/>
          <w:b w:val="1"/>
          <w:bCs w:val="1"/>
          <w:i w:val="1"/>
          <w:iCs w:val="1"/>
          <w:color w:val="auto"/>
        </w:rPr>
        <w:t xml:space="preserve">Disaggregated Revenues </w:t>
      </w:r>
      <w:r>
        <w:rPr>
          <w:rFonts w:ascii="Arial" w:cs="Arial" w:eastAsia="Arial" w:hAnsi="Arial"/>
          <w:sz w:val="17"/>
          <w:szCs w:val="17"/>
          <w:color w:val="auto"/>
        </w:rPr>
        <w:t>— The following table presents sales revenue by type of product for the periods indicated (amounts in thousands):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13 Weeks Ended</w:t>
            </w: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26 Weeks Ended</w:t>
            </w:r>
          </w:p>
        </w:tc>
        <w:tc>
          <w:tcPr>
            <w:tcW w:w="1020" w:type="dxa"/>
            <w:vAlign w:val="bottom"/>
            <w:tcBorders>
              <w:bottom w:val="single" w:sz="8" w:color="auto"/>
            </w:tcBorders>
          </w:tcPr>
          <w:p>
            <w:pPr>
              <w:spacing w:after="0"/>
              <w:rPr>
                <w:sz w:val="16"/>
                <w:szCs w:val="16"/>
                <w:color w:val="auto"/>
              </w:rPr>
            </w:pPr>
          </w:p>
        </w:tc>
      </w:tr>
      <w:tr>
        <w:trPr>
          <w:trHeight w:val="135"/>
        </w:trPr>
        <w:tc>
          <w:tcPr>
            <w:tcW w:w="49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60" w:type="dxa"/>
            <w:vAlign w:val="bottom"/>
            <w:gridSpan w:val="2"/>
          </w:tcPr>
          <w:p>
            <w:pPr>
              <w:ind w:left="220"/>
              <w:spacing w:after="0" w:line="135" w:lineRule="exact"/>
              <w:rPr>
                <w:sz w:val="20"/>
                <w:szCs w:val="20"/>
                <w:color w:val="auto"/>
              </w:rPr>
            </w:pPr>
            <w:r>
              <w:rPr>
                <w:rFonts w:ascii="Arial" w:cs="Arial" w:eastAsia="Arial" w:hAnsi="Arial"/>
                <w:sz w:val="14"/>
                <w:szCs w:val="14"/>
                <w:b w:val="1"/>
                <w:bCs w:val="1"/>
                <w:color w:val="auto"/>
              </w:rPr>
              <w:t>July 3,</w:t>
            </w:r>
          </w:p>
        </w:tc>
        <w:tc>
          <w:tcPr>
            <w:tcW w:w="480" w:type="dxa"/>
            <w:vAlign w:val="bottom"/>
          </w:tcPr>
          <w:p>
            <w:pPr>
              <w:spacing w:after="0"/>
              <w:rPr>
                <w:sz w:val="11"/>
                <w:szCs w:val="11"/>
                <w:color w:val="auto"/>
              </w:rPr>
            </w:pPr>
          </w:p>
        </w:tc>
        <w:tc>
          <w:tcPr>
            <w:tcW w:w="1020" w:type="dxa"/>
            <w:vAlign w:val="bottom"/>
          </w:tcPr>
          <w:p>
            <w:pPr>
              <w:jc w:val="right"/>
              <w:ind w:right="417"/>
              <w:spacing w:after="0" w:line="135" w:lineRule="exact"/>
              <w:rPr>
                <w:sz w:val="20"/>
                <w:szCs w:val="20"/>
                <w:color w:val="auto"/>
              </w:rPr>
            </w:pPr>
            <w:r>
              <w:rPr>
                <w:rFonts w:ascii="Arial" w:cs="Arial" w:eastAsia="Arial" w:hAnsi="Arial"/>
                <w:sz w:val="14"/>
                <w:szCs w:val="14"/>
                <w:b w:val="1"/>
                <w:bCs w:val="1"/>
                <w:color w:val="auto"/>
                <w:w w:val="89"/>
              </w:rPr>
              <w:t>June 27,</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80" w:type="dxa"/>
            <w:vAlign w:val="bottom"/>
            <w:gridSpan w:val="2"/>
          </w:tcPr>
          <w:p>
            <w:pPr>
              <w:ind w:left="220"/>
              <w:spacing w:after="0" w:line="135" w:lineRule="exact"/>
              <w:rPr>
                <w:sz w:val="20"/>
                <w:szCs w:val="20"/>
                <w:color w:val="auto"/>
              </w:rPr>
            </w:pPr>
            <w:r>
              <w:rPr>
                <w:rFonts w:ascii="Arial" w:cs="Arial" w:eastAsia="Arial" w:hAnsi="Arial"/>
                <w:sz w:val="14"/>
                <w:szCs w:val="14"/>
                <w:b w:val="1"/>
                <w:bCs w:val="1"/>
                <w:color w:val="auto"/>
              </w:rPr>
              <w:t>July 3,</w:t>
            </w:r>
          </w:p>
        </w:tc>
        <w:tc>
          <w:tcPr>
            <w:tcW w:w="460" w:type="dxa"/>
            <w:vAlign w:val="bottom"/>
          </w:tcPr>
          <w:p>
            <w:pPr>
              <w:spacing w:after="0"/>
              <w:rPr>
                <w:sz w:val="11"/>
                <w:szCs w:val="11"/>
                <w:color w:val="auto"/>
              </w:rPr>
            </w:pPr>
          </w:p>
        </w:tc>
        <w:tc>
          <w:tcPr>
            <w:tcW w:w="1020" w:type="dxa"/>
            <w:vAlign w:val="bottom"/>
          </w:tcPr>
          <w:p>
            <w:pPr>
              <w:jc w:val="right"/>
              <w:ind w:right="397"/>
              <w:spacing w:after="0" w:line="135" w:lineRule="exact"/>
              <w:rPr>
                <w:sz w:val="20"/>
                <w:szCs w:val="20"/>
                <w:color w:val="auto"/>
              </w:rPr>
            </w:pPr>
            <w:r>
              <w:rPr>
                <w:rFonts w:ascii="Arial" w:cs="Arial" w:eastAsia="Arial" w:hAnsi="Arial"/>
                <w:sz w:val="14"/>
                <w:szCs w:val="14"/>
                <w:b w:val="1"/>
                <w:bCs w:val="1"/>
                <w:color w:val="auto"/>
                <w:w w:val="92"/>
              </w:rPr>
              <w:t>June 27,</w:t>
            </w:r>
          </w:p>
        </w:tc>
      </w:tr>
      <w:tr>
        <w:trPr>
          <w:trHeight w:val="188"/>
        </w:trPr>
        <w:tc>
          <w:tcPr>
            <w:tcW w:w="49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2020</w:t>
            </w:r>
          </w:p>
        </w:tc>
      </w:tr>
      <w:tr>
        <w:trPr>
          <w:trHeight w:val="224"/>
        </w:trPr>
        <w:tc>
          <w:tcPr>
            <w:tcW w:w="4980" w:type="dxa"/>
            <w:vAlign w:val="bottom"/>
            <w:shd w:val="clear" w:color="auto" w:fill="CCEEFF"/>
          </w:tcPr>
          <w:p>
            <w:pPr>
              <w:ind w:left="20"/>
              <w:spacing w:after="0" w:line="225" w:lineRule="exact"/>
              <w:rPr>
                <w:sz w:val="20"/>
                <w:szCs w:val="20"/>
                <w:color w:val="auto"/>
              </w:rPr>
            </w:pPr>
            <w:r>
              <w:rPr>
                <w:rFonts w:ascii="Arial" w:cs="Arial" w:eastAsia="Arial" w:hAnsi="Arial"/>
                <w:sz w:val="17"/>
                <w:szCs w:val="17"/>
                <w:color w:val="auto"/>
              </w:rPr>
              <w:t xml:space="preserve">Perishable </w:t>
            </w:r>
            <w:r>
              <w:rPr>
                <w:rFonts w:ascii="Arial" w:cs="Arial" w:eastAsia="Arial" w:hAnsi="Arial"/>
                <w:sz w:val="26"/>
                <w:szCs w:val="26"/>
                <w:color w:val="auto"/>
                <w:vertAlign w:val="superscript"/>
              </w:rPr>
              <w:t>(1)</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270,856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275,819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532,274</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529,267</w:t>
            </w:r>
          </w:p>
        </w:tc>
      </w:tr>
      <w:tr>
        <w:trPr>
          <w:trHeight w:val="229"/>
        </w:trPr>
        <w:tc>
          <w:tcPr>
            <w:tcW w:w="498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7"/>
                <w:szCs w:val="17"/>
                <w:color w:val="auto"/>
              </w:rPr>
              <w:t xml:space="preserve">Non-perishable </w:t>
            </w:r>
            <w:r>
              <w:rPr>
                <w:rFonts w:ascii="Arial" w:cs="Arial" w:eastAsia="Arial" w:hAnsi="Arial"/>
                <w:sz w:val="26"/>
                <w:szCs w:val="26"/>
                <w:color w:val="auto"/>
                <w:vertAlign w:val="superscript"/>
              </w:rPr>
              <w:t>(2)</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504,679</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527,610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995,727</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1,034,470</w:t>
            </w:r>
          </w:p>
        </w:tc>
      </w:tr>
      <w:tr>
        <w:trPr>
          <w:trHeight w:val="248"/>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sales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775,535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803,429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1,528,001</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1,563,737</w:t>
            </w: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w:t>
      </w:r>
    </w:p>
    <w:p>
      <w:pPr>
        <w:spacing w:after="0" w:line="49" w:lineRule="exact"/>
        <w:rPr>
          <w:sz w:val="20"/>
          <w:szCs w:val="20"/>
          <w:color w:val="auto"/>
        </w:rPr>
      </w:pPr>
    </w:p>
    <w:p>
      <w:pPr>
        <w:ind w:left="360" w:hanging="352"/>
        <w:spacing w:after="0"/>
        <w:tabs>
          <w:tab w:leader="none" w:pos="360" w:val="left"/>
        </w:tabs>
        <w:numPr>
          <w:ilvl w:val="0"/>
          <w:numId w:val="4"/>
        </w:numPr>
        <w:rPr>
          <w:rFonts w:ascii="Arial" w:cs="Arial" w:eastAsia="Arial" w:hAnsi="Arial"/>
          <w:sz w:val="16"/>
          <w:szCs w:val="16"/>
          <w:color w:val="auto"/>
        </w:rPr>
      </w:pPr>
      <w:r>
        <w:rPr>
          <w:rFonts w:ascii="Arial" w:cs="Arial" w:eastAsia="Arial" w:hAnsi="Arial"/>
          <w:sz w:val="16"/>
          <w:szCs w:val="16"/>
          <w:color w:val="auto"/>
        </w:rPr>
        <w:t>Perishable departments include dairy and deli; produce and floral; and fresh meat and seafood.</w:t>
      </w:r>
    </w:p>
    <w:p>
      <w:pPr>
        <w:spacing w:after="0" w:line="59" w:lineRule="exact"/>
        <w:rPr>
          <w:rFonts w:ascii="Arial" w:cs="Arial" w:eastAsia="Arial" w:hAnsi="Arial"/>
          <w:sz w:val="16"/>
          <w:szCs w:val="16"/>
          <w:color w:val="auto"/>
        </w:rPr>
      </w:pPr>
    </w:p>
    <w:p>
      <w:pPr>
        <w:ind w:left="360" w:hanging="352"/>
        <w:spacing w:after="0"/>
        <w:tabs>
          <w:tab w:leader="none" w:pos="360" w:val="left"/>
        </w:tabs>
        <w:numPr>
          <w:ilvl w:val="0"/>
          <w:numId w:val="4"/>
        </w:numPr>
        <w:rPr>
          <w:rFonts w:ascii="Arial" w:cs="Arial" w:eastAsia="Arial" w:hAnsi="Arial"/>
          <w:sz w:val="16"/>
          <w:szCs w:val="16"/>
          <w:color w:val="auto"/>
        </w:rPr>
      </w:pPr>
      <w:r>
        <w:rPr>
          <w:rFonts w:ascii="Arial" w:cs="Arial" w:eastAsia="Arial" w:hAnsi="Arial"/>
          <w:sz w:val="16"/>
          <w:szCs w:val="16"/>
          <w:color w:val="auto"/>
        </w:rPr>
        <w:t>Non-perishable departments include grocery; general merchandise; health and beauty care; frozen foods; and beer and wine.</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4"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56"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b w:val="1"/>
          <w:bCs w:val="1"/>
          <w:color w:val="auto"/>
        </w:rPr>
        <w:t xml:space="preserve">Variable Interest Entities </w:t>
      </w:r>
      <w:r>
        <w:rPr>
          <w:rFonts w:ascii="Arial" w:cs="Arial" w:eastAsia="Arial" w:hAnsi="Arial"/>
          <w:sz w:val="18"/>
          <w:szCs w:val="18"/>
          <w:color w:val="auto"/>
        </w:rPr>
        <w:t>— In accordance with the variable interest entities sub-section of ASC Topic 810,</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Consolidation</w:t>
      </w:r>
      <w:r>
        <w:rPr>
          <w:rFonts w:ascii="Arial" w:cs="Arial" w:eastAsia="Arial" w:hAnsi="Arial"/>
          <w:sz w:val="18"/>
          <w:szCs w:val="18"/>
          <w:color w:val="auto"/>
        </w:rPr>
        <w:t>, we assess at each</w:t>
      </w:r>
      <w:r>
        <w:rPr>
          <w:rFonts w:ascii="Arial" w:cs="Arial" w:eastAsia="Arial" w:hAnsi="Arial"/>
          <w:sz w:val="18"/>
          <w:szCs w:val="18"/>
          <w:b w:val="1"/>
          <w:bCs w:val="1"/>
          <w:color w:val="auto"/>
        </w:rPr>
        <w:t xml:space="preserve"> </w:t>
      </w:r>
      <w:r>
        <w:rPr>
          <w:rFonts w:ascii="Arial" w:cs="Arial" w:eastAsia="Arial" w:hAnsi="Arial"/>
          <w:sz w:val="18"/>
          <w:szCs w:val="18"/>
          <w:color w:val="auto"/>
        </w:rPr>
        <w:t>reporting period whether we, or any consolidated entity, are considered the primary beneficiary of a variable interest entity (“VIE”) and therefore required to consolidate the financial results of the VIE in our consolidated financial statements. Determining whether to consolidate a VIE may require judgment in assessing (i) whether an entity is a VIE, and (ii) if a reporting entity is a VIE’s primary beneficiary. A reporting entity is determined to be a VIE’s primary beneficiary if it has the power to direct the activities that most significantly impact a VIE’s economic performance and the obligation to absorb losses or rights to receive benefits that could potentially be significant to a VIE.</w:t>
      </w:r>
    </w:p>
    <w:p>
      <w:pPr>
        <w:spacing w:after="0" w:line="83"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We had 396, 375 and 357 stores operated by IOs as of July 3, 2021, January 2, 2021 and June 27, 2020, respectively. We have agreements in place with each IO. The IO orders merchandise exclusively from us which is provided to the IO on consignment. Under the Independent Operator Agreement (the "Operator Agreement"), the IO may select a majority of merchandise that we consign to the IO, which the IO chooses from our merchandise order guide according to the IO's knowledge and experience with local customer purchasing trends, preferences, historical sales and similar factors. The Operator Agreement gives the IO discretion to adjust our initial prices if the overall effect of all price changes at any time comports with the reputation of our Grocery Outlet retail stores for selling quality, name-brand consumables and fresh products and other merchandise at extreme discounts. IOs are required to furnish initial working capital and to acquire certain store and safety assets. The IO is also required to hire, train and employ a properly trained workforce sufficient in number to enable the IO to fulfill its obligations under the Operator Agreement. Additionally, the IO is responsible for expenses required for business operations, including all labor costs, utilities, credit card processing fees, supplies, taxes, fines, levies and other expenses. Either party may terminate the Operator Agreement without cause upon 75 days’ notice.</w:t>
      </w:r>
    </w:p>
    <w:p>
      <w:pPr>
        <w:spacing w:after="0" w:line="77"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As consignor of all merchandise to each IO, the aggregate net sales proceeds from merchandise sales belongs to us. Sales related to IO stores were $762.1 million and $788.5 million for the 13 weeks ended July 3, 2021 and June 27, 2020, respectively, and $1.50 billion and $1.53 billion for the 26 weeks ended July 3, 2021 and June 27, 2020, respectively. We, in turn, pay IOs a commission based on a share of the gross profit of the store. Inventories and related sales proceeds are our property, and we are responsible for store rent and related occupancy costs. IO commissions were expensed and included in SG&amp;A. IO commissions were $115.4 million and $122.5 million for the 13 weeks ended July 3, 2021 and June 27, 2020, respectively, and $228.1 million and $236.9 million for the 26 weeks ended July 3, 2021 and June 27, 2020, respectively. IO commissions of $6.3 million and $6.0 million were included in accrued expenses as of July 3, 2021 and January 2, 2021, respectively.</w:t>
      </w:r>
    </w:p>
    <w:p>
      <w:pPr>
        <w:spacing w:after="0" w:line="69"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IOs may fund their initial store investment from existing capital, a third-party loan or most commonly through a loan from us, as further discussed in Note 2. As collateral for IO obligations and performance, the Operator Agreements grant us the security interests in the assets owned by the IOs related to the respective store. Since the total investment at risk associated with each IO is not sufficient to permit each IO to finance its activities without additional subordinated financial support, the IOs are VIEs which we have variable interests in. To determine if we are the primary beneficiary of these VIEs, we evaluate whether we have (i) the power to direct the activities that most significantly impact the IO’s economic performance and (ii) the obligation to absorb losses or the right to receive benefits of the IO that could potentially be significant to the IO. Our evaluation includes identification of significant activities and an assessment of its ability to direct those activities.</w:t>
      </w:r>
    </w:p>
    <w:p>
      <w:pPr>
        <w:spacing w:after="0" w:line="87"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Activities that most significantly impact the IO's economic performance relate to sales and labor. Sales activities that significantly impact the IO's economic performance include determining what merchandise the IO will order and sell and the price of such merchandise, both of which the IO controls. The IO is also responsible for all of their own labor. Labor activities that significantly impact the IO’s economic performance include hiring, training, supervising, directing, compensating (including wages, salaries and employee benefits) and terminating all of the employees of the IO, activities which the IO controls. Accordingly, the IO has the power to direct the activities that most significantly impact the IO's economic performance. Furthermore, the mutual termination rights associated with the Operator Agreements illustrate the lack of ultimate control over the IO.</w:t>
      </w:r>
    </w:p>
    <w:p>
      <w:pPr>
        <w:spacing w:after="0" w:line="70"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Our maximum exposure to the IOs is generally limited to the gross operator notes and receivables due from these entities, which was $36.7 million and $41.0 million as of July 3, 2021 and January 2, 2021, respectively. See Note 2 for additional information.</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4"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Standards</w:t>
      </w:r>
    </w:p>
    <w:p>
      <w:pPr>
        <w:spacing w:after="0" w:line="117" w:lineRule="exact"/>
        <w:rPr>
          <w:sz w:val="20"/>
          <w:szCs w:val="20"/>
          <w:color w:val="auto"/>
        </w:rPr>
      </w:pPr>
    </w:p>
    <w:p>
      <w:pPr>
        <w:jc w:val="both"/>
        <w:ind w:right="20" w:firstLine="486"/>
        <w:spacing w:after="0" w:line="272" w:lineRule="auto"/>
        <w:rPr>
          <w:sz w:val="20"/>
          <w:szCs w:val="20"/>
          <w:color w:val="auto"/>
        </w:rPr>
      </w:pPr>
      <w:r>
        <w:rPr>
          <w:rFonts w:ascii="Arial" w:cs="Arial" w:eastAsia="Arial" w:hAnsi="Arial"/>
          <w:sz w:val="17"/>
          <w:szCs w:val="17"/>
          <w:b w:val="1"/>
          <w:bCs w:val="1"/>
          <w:i w:val="1"/>
          <w:iCs w:val="1"/>
          <w:color w:val="auto"/>
        </w:rPr>
        <w:t xml:space="preserve">ASU No. 2019-12 </w:t>
      </w:r>
      <w:r>
        <w:rPr>
          <w:rFonts w:ascii="Arial" w:cs="Arial" w:eastAsia="Arial" w:hAnsi="Arial"/>
          <w:sz w:val="17"/>
          <w:szCs w:val="17"/>
          <w:color w:val="auto"/>
        </w:rPr>
        <w:t>— In December 2019, the FASB issued ASU No. 2019-12,</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Simplifying the Accounting for Income Taxes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(“ASU 2019-12”). ASU</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2019-12 simplifies accounting guidance for certain tax matters including franchise taxes, certain transactions that result in a step-up in tax basis of goodwill, and enacted changes in tax laws in interim periods. In addition, it eliminates a company’s need to evaluate certain exceptions relating to the incremental approach for intra-period tax allocation, accounting for basis differences when there are ownership changes in foreign investments, and interim period income tax accounting for year-to-date losses that exceed anticipated losses. ASU 2019-12 is effective for fiscal years beginning after December 15, 2020, including interim periods within those fiscal years. We adopted ASU 2019-12 beginning in the first quarter of fiscal 2021. The adoption of ASU 2019-12 did not have a material impact on our condensed consolidated financial statements.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7"/>
          <w:szCs w:val="17"/>
          <w:color w:val="auto"/>
        </w:rPr>
        <w:t>No recently issued accounting pronouncements are expected to have a material effect on our condensed consolidated financial statements.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Independent Operator Notes and Receivables</w:t>
      </w:r>
    </w:p>
    <w:p>
      <w:pPr>
        <w:spacing w:after="0" w:line="121"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The amounts included in IO notes and accounts receivable consist primarily of funds we loaned to IOs, net of estimated uncollectible amounts. IO notes are payable on demand and typically bear interest at rates between 3.00% and 9.95%. Accrued interest receivable on IO notes is included within the “independent operator receivables and current portion of independent operator notes, net of allowance” line item on the condensed consolidated balance sheets and was $0.3 million and $0.4 million as of July 3, 2021 and January 2, 2021, respectively. There were no IO notes that were past due or on a non-accrual status due to delinquency as of July 3, 2021 or January 2, 2021. Notes and receivables of our IOs participating in our TCAP, as defined below, are not considered to be past due or on a non-accrual status due to delinquency and are excluded from such measures.</w:t>
      </w:r>
    </w:p>
    <w:p>
      <w:pPr>
        <w:spacing w:after="0" w:line="70"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IO notes and receivables are financial assets which are measured and carried at amortized cost. An allowance for expected credit losses is deducted from (for expected losses) or added to (for expected recoveries) the amortized cost basis of these assets to arrive at the net carrying amount expected to be collected for such assets.</w:t>
      </w:r>
    </w:p>
    <w:p>
      <w:pPr>
        <w:spacing w:after="0" w:line="76"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allowance is estimated using an expected loss framework, which includes information about past events, current conditions, and reasonable and supportable forecasts that impact the collectibility of the reported amounts of the assets over their lifetime. The allowance is evaluated on a collective basis for assets with shared risk characteristics and credit quality indicators. The primary shared risk characteristic and credit quality indicator pools that we use as a basis for collective evaluation include:</w:t>
      </w:r>
    </w:p>
    <w:p>
      <w:pPr>
        <w:spacing w:after="0" w:line="79" w:lineRule="exact"/>
        <w:rPr>
          <w:sz w:val="20"/>
          <w:szCs w:val="20"/>
          <w:color w:val="auto"/>
        </w:rPr>
      </w:pPr>
    </w:p>
    <w:p>
      <w:pPr>
        <w:jc w:val="both"/>
        <w:ind w:left="980" w:hanging="324"/>
        <w:spacing w:after="0" w:line="259" w:lineRule="auto"/>
        <w:tabs>
          <w:tab w:leader="none" w:pos="975"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TCAP — Includes the notes and receivables of IOs with stores that have been open for more than 18 months that are participating in our Temporary Commission Adjustment Program (“TCAP”) as of the end of each reporting period. TCAP allows us to provide a greater commission to participating IOs who require assistance in meeting their working capital needs for various reasons, such as new or increased competition or differences in IO skills and experience.</w:t>
      </w:r>
    </w:p>
    <w:p>
      <w:pPr>
        <w:spacing w:after="0" w:line="74" w:lineRule="exact"/>
        <w:rPr>
          <w:rFonts w:ascii="Arial" w:cs="Arial" w:eastAsia="Arial" w:hAnsi="Arial"/>
          <w:sz w:val="18"/>
          <w:szCs w:val="18"/>
          <w:b w:val="1"/>
          <w:bCs w:val="1"/>
          <w:color w:val="auto"/>
        </w:rPr>
      </w:pPr>
    </w:p>
    <w:p>
      <w:pPr>
        <w:ind w:left="980" w:hanging="324"/>
        <w:spacing w:after="0" w:line="282" w:lineRule="auto"/>
        <w:tabs>
          <w:tab w:leader="none" w:pos="975"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 xml:space="preserve">Non-TCAP </w:t>
      </w:r>
      <w:r>
        <w:rPr>
          <w:rFonts w:ascii="Arial" w:cs="Arial" w:eastAsia="Arial" w:hAnsi="Arial"/>
          <w:sz w:val="18"/>
          <w:szCs w:val="18"/>
          <w:b w:val="1"/>
          <w:bCs w:val="1"/>
          <w:color w:val="auto"/>
        </w:rPr>
        <w:t>—</w:t>
      </w:r>
      <w:r>
        <w:rPr>
          <w:rFonts w:ascii="Arial" w:cs="Arial" w:eastAsia="Arial" w:hAnsi="Arial"/>
          <w:sz w:val="18"/>
          <w:szCs w:val="18"/>
          <w:color w:val="auto"/>
        </w:rPr>
        <w:t xml:space="preserve"> Includes the notes and receivables of IOs with stores that have been open for more than 18 months that are not participating in TCAP as of the end of each reporting period.</w:t>
      </w:r>
    </w:p>
    <w:p>
      <w:pPr>
        <w:spacing w:after="0" w:line="53" w:lineRule="exact"/>
        <w:rPr>
          <w:rFonts w:ascii="Arial" w:cs="Arial" w:eastAsia="Arial" w:hAnsi="Arial"/>
          <w:sz w:val="18"/>
          <w:szCs w:val="18"/>
          <w:b w:val="1"/>
          <w:bCs w:val="1"/>
          <w:color w:val="auto"/>
        </w:rPr>
      </w:pPr>
    </w:p>
    <w:p>
      <w:pPr>
        <w:ind w:left="980" w:hanging="324"/>
        <w:spacing w:after="0" w:line="282" w:lineRule="auto"/>
        <w:tabs>
          <w:tab w:leader="none" w:pos="975"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 xml:space="preserve">New store </w:t>
      </w:r>
      <w:r>
        <w:rPr>
          <w:rFonts w:ascii="Arial" w:cs="Arial" w:eastAsia="Arial" w:hAnsi="Arial"/>
          <w:sz w:val="18"/>
          <w:szCs w:val="18"/>
          <w:b w:val="1"/>
          <w:bCs w:val="1"/>
          <w:color w:val="auto"/>
        </w:rPr>
        <w:t>—</w:t>
      </w:r>
      <w:r>
        <w:rPr>
          <w:rFonts w:ascii="Arial" w:cs="Arial" w:eastAsia="Arial" w:hAnsi="Arial"/>
          <w:sz w:val="18"/>
          <w:szCs w:val="18"/>
          <w:color w:val="auto"/>
        </w:rPr>
        <w:t xml:space="preserve"> Includes the notes and receivables of IOs with stores that have been open for less than 18 months as of the end of each reporting period.</w:t>
      </w:r>
    </w:p>
    <w:p>
      <w:pPr>
        <w:spacing w:after="0" w:line="58" w:lineRule="exact"/>
        <w:rPr>
          <w:sz w:val="20"/>
          <w:szCs w:val="20"/>
          <w:color w:val="auto"/>
        </w:rPr>
      </w:pPr>
    </w:p>
    <w:p>
      <w:pPr>
        <w:ind w:right="20" w:firstLine="486"/>
        <w:spacing w:after="0" w:line="277" w:lineRule="auto"/>
        <w:rPr>
          <w:sz w:val="20"/>
          <w:szCs w:val="20"/>
          <w:color w:val="auto"/>
        </w:rPr>
      </w:pPr>
      <w:r>
        <w:rPr>
          <w:rFonts w:ascii="Arial" w:cs="Arial" w:eastAsia="Arial" w:hAnsi="Arial"/>
          <w:sz w:val="18"/>
          <w:szCs w:val="18"/>
          <w:color w:val="auto"/>
        </w:rPr>
        <w:t>Assets without such shared risk characteristics or credit quality indicators, such as assets with unique circumstances or with delinquencies and historical losses in excess of their TCAP, non-TCAP or new store peers are evaluated on an individual basis.</w:t>
      </w:r>
    </w:p>
    <w:p>
      <w:pPr>
        <w:spacing w:after="0" w:line="60" w:lineRule="exact"/>
        <w:rPr>
          <w:sz w:val="20"/>
          <w:szCs w:val="20"/>
          <w:color w:val="auto"/>
        </w:rPr>
      </w:pPr>
    </w:p>
    <w:p>
      <w:pPr>
        <w:ind w:left="500"/>
        <w:spacing w:after="0"/>
        <w:rPr>
          <w:sz w:val="20"/>
          <w:szCs w:val="20"/>
          <w:color w:val="auto"/>
        </w:rPr>
      </w:pPr>
      <w:r>
        <w:rPr>
          <w:rFonts w:ascii="Arial" w:cs="Arial" w:eastAsia="Arial" w:hAnsi="Arial"/>
          <w:sz w:val="17"/>
          <w:szCs w:val="17"/>
          <w:color w:val="auto"/>
        </w:rPr>
        <w:t>Amounts due from IOs and the related allowances as of July 3, 2021 and January 2, 2021 consisted of the following (amounts in thousands)</w:t>
      </w:r>
      <w:r>
        <w:rPr>
          <w:rFonts w:ascii="Arial" w:cs="Arial" w:eastAsia="Arial" w:hAnsi="Arial"/>
          <w:sz w:val="18"/>
          <w:szCs w:val="18"/>
          <w:color w:val="auto"/>
        </w:rPr>
        <w:t>:</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4"/>
          </w:tcPr>
          <w:p>
            <w:pPr>
              <w:jc w:val="right"/>
              <w:ind w:right="777"/>
              <w:spacing w:after="0"/>
              <w:rPr>
                <w:sz w:val="20"/>
                <w:szCs w:val="20"/>
                <w:color w:val="auto"/>
              </w:rPr>
            </w:pPr>
            <w:r>
              <w:rPr>
                <w:rFonts w:ascii="Arial" w:cs="Arial" w:eastAsia="Arial" w:hAnsi="Arial"/>
                <w:sz w:val="14"/>
                <w:szCs w:val="14"/>
                <w:b w:val="1"/>
                <w:bCs w:val="1"/>
                <w:color w:val="auto"/>
              </w:rPr>
              <w:t>Allowance</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Gross</w:t>
            </w:r>
          </w:p>
        </w:tc>
        <w:tc>
          <w:tcPr>
            <w:tcW w:w="124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Current Portion</w:t>
            </w:r>
          </w:p>
        </w:tc>
        <w:tc>
          <w:tcPr>
            <w:tcW w:w="180" w:type="dxa"/>
            <w:vAlign w:val="bottom"/>
          </w:tcPr>
          <w:p>
            <w:pPr>
              <w:spacing w:after="0"/>
              <w:rPr>
                <w:sz w:val="15"/>
                <w:szCs w:val="15"/>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Long-term</w:t>
            </w:r>
          </w:p>
        </w:tc>
        <w:tc>
          <w:tcPr>
            <w:tcW w:w="300" w:type="dxa"/>
            <w:vAlign w:val="bottom"/>
          </w:tcPr>
          <w:p>
            <w:pPr>
              <w:spacing w:after="0"/>
              <w:rPr>
                <w:sz w:val="15"/>
                <w:szCs w:val="15"/>
                <w:color w:val="auto"/>
              </w:rPr>
            </w:pPr>
          </w:p>
        </w:tc>
        <w:tc>
          <w:tcPr>
            <w:tcW w:w="9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Net</w:t>
            </w:r>
          </w:p>
        </w:tc>
        <w:tc>
          <w:tcPr>
            <w:tcW w:w="1240" w:type="dxa"/>
            <w:vAlign w:val="bottom"/>
            <w:gridSpan w:val="3"/>
            <w:vMerge w:val="restart"/>
          </w:tcPr>
          <w:p>
            <w:pPr>
              <w:jc w:val="right"/>
              <w:ind w:right="180"/>
              <w:spacing w:after="0"/>
              <w:rPr>
                <w:sz w:val="20"/>
                <w:szCs w:val="20"/>
                <w:color w:val="auto"/>
              </w:rPr>
            </w:pPr>
            <w:r>
              <w:rPr>
                <w:rFonts w:ascii="Arial" w:cs="Arial" w:eastAsia="Arial" w:hAnsi="Arial"/>
                <w:sz w:val="14"/>
                <w:szCs w:val="14"/>
                <w:b w:val="1"/>
                <w:bCs w:val="1"/>
                <w:color w:val="auto"/>
              </w:rPr>
              <w:t>Current Portion</w:t>
            </w:r>
          </w:p>
        </w:tc>
        <w:tc>
          <w:tcPr>
            <w:tcW w:w="160" w:type="dxa"/>
            <w:vAlign w:val="bottom"/>
          </w:tcPr>
          <w:p>
            <w:pPr>
              <w:spacing w:after="0"/>
              <w:rPr>
                <w:sz w:val="15"/>
                <w:szCs w:val="15"/>
                <w:color w:val="auto"/>
              </w:rPr>
            </w:pPr>
          </w:p>
        </w:tc>
        <w:tc>
          <w:tcPr>
            <w:tcW w:w="980" w:type="dxa"/>
            <w:vAlign w:val="bottom"/>
          </w:tcPr>
          <w:p>
            <w:pPr>
              <w:jc w:val="right"/>
              <w:ind w:right="157"/>
              <w:spacing w:after="0"/>
              <w:rPr>
                <w:sz w:val="20"/>
                <w:szCs w:val="20"/>
                <w:color w:val="auto"/>
              </w:rPr>
            </w:pPr>
            <w:r>
              <w:rPr>
                <w:rFonts w:ascii="Arial" w:cs="Arial" w:eastAsia="Arial" w:hAnsi="Arial"/>
                <w:sz w:val="14"/>
                <w:szCs w:val="14"/>
                <w:b w:val="1"/>
                <w:bCs w:val="1"/>
                <w:color w:val="auto"/>
              </w:rPr>
              <w:t>Long-term</w:t>
            </w:r>
          </w:p>
        </w:tc>
        <w:tc>
          <w:tcPr>
            <w:tcW w:w="0" w:type="dxa"/>
            <w:vAlign w:val="bottom"/>
          </w:tcPr>
          <w:p>
            <w:pPr>
              <w:spacing w:after="0"/>
              <w:rPr>
                <w:sz w:val="1"/>
                <w:szCs w:val="1"/>
                <w:color w:val="auto"/>
              </w:rPr>
            </w:pPr>
          </w:p>
        </w:tc>
      </w:tr>
      <w:tr>
        <w:trPr>
          <w:trHeight w:val="188"/>
        </w:trPr>
        <w:tc>
          <w:tcPr>
            <w:tcW w:w="3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24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Portion</w:t>
            </w:r>
          </w:p>
        </w:tc>
        <w:tc>
          <w:tcPr>
            <w:tcW w:w="30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24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right"/>
              <w:ind w:right="257"/>
              <w:spacing w:after="0"/>
              <w:rPr>
                <w:sz w:val="20"/>
                <w:szCs w:val="20"/>
                <w:color w:val="auto"/>
              </w:rPr>
            </w:pPr>
            <w:r>
              <w:rPr>
                <w:rFonts w:ascii="Arial" w:cs="Arial" w:eastAsia="Arial" w:hAnsi="Arial"/>
                <w:sz w:val="14"/>
                <w:szCs w:val="14"/>
                <w:b w:val="1"/>
                <w:bCs w:val="1"/>
                <w:color w:val="auto"/>
              </w:rPr>
              <w:t>Portion</w:t>
            </w:r>
          </w:p>
        </w:tc>
        <w:tc>
          <w:tcPr>
            <w:tcW w:w="0" w:type="dxa"/>
            <w:vAlign w:val="bottom"/>
          </w:tcPr>
          <w:p>
            <w:pPr>
              <w:spacing w:after="0"/>
              <w:rPr>
                <w:sz w:val="1"/>
                <w:szCs w:val="1"/>
                <w:color w:val="auto"/>
              </w:rPr>
            </w:pPr>
          </w:p>
        </w:tc>
      </w:tr>
      <w:tr>
        <w:trPr>
          <w:trHeight w:val="211"/>
        </w:trPr>
        <w:tc>
          <w:tcPr>
            <w:tcW w:w="3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July 3, 2021</w:t>
            </w: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80" w:type="dxa"/>
            <w:vAlign w:val="bottom"/>
          </w:tcPr>
          <w:p>
            <w:pPr>
              <w:ind w:left="20"/>
              <w:spacing w:after="0"/>
              <w:rPr>
                <w:sz w:val="20"/>
                <w:szCs w:val="20"/>
                <w:color w:val="auto"/>
              </w:rPr>
            </w:pPr>
            <w:r>
              <w:rPr>
                <w:rFonts w:ascii="Arial" w:cs="Arial" w:eastAsia="Arial" w:hAnsi="Arial"/>
                <w:sz w:val="18"/>
                <w:szCs w:val="18"/>
                <w:color w:val="auto"/>
              </w:rPr>
              <w:t>Independent operator notes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31,353</w:t>
            </w:r>
          </w:p>
        </w:tc>
        <w:tc>
          <w:tcPr>
            <w:tcW w:w="100" w:type="dxa"/>
            <w:vAlign w:val="bottom"/>
          </w:tcPr>
          <w:p>
            <w:pPr>
              <w:spacing w:after="0"/>
              <w:rPr>
                <w:sz w:val="19"/>
                <w:szCs w:val="19"/>
                <w:color w:val="auto"/>
              </w:rPr>
            </w:pPr>
          </w:p>
        </w:tc>
        <w:tc>
          <w:tcPr>
            <w:tcW w:w="260" w:type="dxa"/>
            <w:vAlign w:val="bottom"/>
          </w:tcPr>
          <w:p>
            <w:pPr>
              <w:jc w:val="right"/>
              <w:ind w:right="56"/>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(586)</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(8,961)</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21,806</w:t>
            </w:r>
          </w:p>
        </w:tc>
        <w:tc>
          <w:tcPr>
            <w:tcW w:w="120" w:type="dxa"/>
            <w:vAlign w:val="bottom"/>
          </w:tcPr>
          <w:p>
            <w:pPr>
              <w:spacing w:after="0"/>
              <w:rPr>
                <w:sz w:val="19"/>
                <w:szCs w:val="19"/>
                <w:color w:val="auto"/>
              </w:rPr>
            </w:pPr>
          </w:p>
        </w:tc>
        <w:tc>
          <w:tcPr>
            <w:tcW w:w="380" w:type="dxa"/>
            <w:vAlign w:val="bottom"/>
          </w:tcPr>
          <w:p>
            <w:pPr>
              <w:jc w:val="right"/>
              <w:ind w:right="196"/>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1,609</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20,197</w:t>
            </w:r>
          </w:p>
        </w:tc>
        <w:tc>
          <w:tcPr>
            <w:tcW w:w="0" w:type="dxa"/>
            <w:vAlign w:val="bottom"/>
          </w:tcPr>
          <w:p>
            <w:pPr>
              <w:spacing w:after="0"/>
              <w:rPr>
                <w:sz w:val="1"/>
                <w:szCs w:val="1"/>
                <w:color w:val="auto"/>
              </w:rPr>
            </w:pPr>
          </w:p>
        </w:tc>
      </w:tr>
      <w:tr>
        <w:trPr>
          <w:trHeight w:val="229"/>
        </w:trPr>
        <w:tc>
          <w:tcPr>
            <w:tcW w:w="3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Independent operator receivables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880" w:type="dxa"/>
            <w:vAlign w:val="bottom"/>
          </w:tcPr>
          <w:p>
            <w:pPr>
              <w:ind w:left="22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36,660</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(1,216)</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(8,961)</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26,483</w:t>
            </w:r>
          </w:p>
        </w:tc>
        <w:tc>
          <w:tcPr>
            <w:tcW w:w="12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6"/>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6,286</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20,197</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36"/>
        </w:trPr>
        <w:tc>
          <w:tcPr>
            <w:tcW w:w="3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ind w:right="454"/>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8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14"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4"/>
          </w:tcPr>
          <w:p>
            <w:pPr>
              <w:jc w:val="right"/>
              <w:ind w:right="777"/>
              <w:spacing w:after="0"/>
              <w:rPr>
                <w:sz w:val="20"/>
                <w:szCs w:val="20"/>
                <w:color w:val="auto"/>
              </w:rPr>
            </w:pPr>
            <w:r>
              <w:rPr>
                <w:rFonts w:ascii="Arial" w:cs="Arial" w:eastAsia="Arial" w:hAnsi="Arial"/>
                <w:sz w:val="14"/>
                <w:szCs w:val="14"/>
                <w:b w:val="1"/>
                <w:bCs w:val="1"/>
                <w:color w:val="auto"/>
              </w:rPr>
              <w:t>Allowance</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Gross</w:t>
            </w:r>
          </w:p>
        </w:tc>
        <w:tc>
          <w:tcPr>
            <w:tcW w:w="124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Current Portion</w:t>
            </w:r>
          </w:p>
        </w:tc>
        <w:tc>
          <w:tcPr>
            <w:tcW w:w="180" w:type="dxa"/>
            <w:vAlign w:val="bottom"/>
          </w:tcPr>
          <w:p>
            <w:pPr>
              <w:spacing w:after="0"/>
              <w:rPr>
                <w:sz w:val="15"/>
                <w:szCs w:val="15"/>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Long-term</w:t>
            </w:r>
          </w:p>
        </w:tc>
        <w:tc>
          <w:tcPr>
            <w:tcW w:w="300" w:type="dxa"/>
            <w:vAlign w:val="bottom"/>
          </w:tcPr>
          <w:p>
            <w:pPr>
              <w:spacing w:after="0"/>
              <w:rPr>
                <w:sz w:val="15"/>
                <w:szCs w:val="15"/>
                <w:color w:val="auto"/>
              </w:rPr>
            </w:pPr>
          </w:p>
        </w:tc>
        <w:tc>
          <w:tcPr>
            <w:tcW w:w="9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Net</w:t>
            </w:r>
          </w:p>
        </w:tc>
        <w:tc>
          <w:tcPr>
            <w:tcW w:w="1240" w:type="dxa"/>
            <w:vAlign w:val="bottom"/>
            <w:gridSpan w:val="3"/>
            <w:vMerge w:val="restart"/>
          </w:tcPr>
          <w:p>
            <w:pPr>
              <w:jc w:val="right"/>
              <w:ind w:right="180"/>
              <w:spacing w:after="0"/>
              <w:rPr>
                <w:sz w:val="20"/>
                <w:szCs w:val="20"/>
                <w:color w:val="auto"/>
              </w:rPr>
            </w:pPr>
            <w:r>
              <w:rPr>
                <w:rFonts w:ascii="Arial" w:cs="Arial" w:eastAsia="Arial" w:hAnsi="Arial"/>
                <w:sz w:val="14"/>
                <w:szCs w:val="14"/>
                <w:b w:val="1"/>
                <w:bCs w:val="1"/>
                <w:color w:val="auto"/>
              </w:rPr>
              <w:t>Current Portion</w:t>
            </w:r>
          </w:p>
        </w:tc>
        <w:tc>
          <w:tcPr>
            <w:tcW w:w="160" w:type="dxa"/>
            <w:vAlign w:val="bottom"/>
          </w:tcPr>
          <w:p>
            <w:pPr>
              <w:spacing w:after="0"/>
              <w:rPr>
                <w:sz w:val="15"/>
                <w:szCs w:val="15"/>
                <w:color w:val="auto"/>
              </w:rPr>
            </w:pPr>
          </w:p>
        </w:tc>
        <w:tc>
          <w:tcPr>
            <w:tcW w:w="980" w:type="dxa"/>
            <w:vAlign w:val="bottom"/>
          </w:tcPr>
          <w:p>
            <w:pPr>
              <w:jc w:val="right"/>
              <w:ind w:right="157"/>
              <w:spacing w:after="0"/>
              <w:rPr>
                <w:sz w:val="20"/>
                <w:szCs w:val="20"/>
                <w:color w:val="auto"/>
              </w:rPr>
            </w:pPr>
            <w:r>
              <w:rPr>
                <w:rFonts w:ascii="Arial" w:cs="Arial" w:eastAsia="Arial" w:hAnsi="Arial"/>
                <w:sz w:val="14"/>
                <w:szCs w:val="14"/>
                <w:b w:val="1"/>
                <w:bCs w:val="1"/>
                <w:color w:val="auto"/>
              </w:rPr>
              <w:t>Long-term</w:t>
            </w:r>
          </w:p>
        </w:tc>
        <w:tc>
          <w:tcPr>
            <w:tcW w:w="0" w:type="dxa"/>
            <w:vAlign w:val="bottom"/>
          </w:tcPr>
          <w:p>
            <w:pPr>
              <w:spacing w:after="0"/>
              <w:rPr>
                <w:sz w:val="1"/>
                <w:szCs w:val="1"/>
                <w:color w:val="auto"/>
              </w:rPr>
            </w:pPr>
          </w:p>
        </w:tc>
      </w:tr>
      <w:tr>
        <w:trPr>
          <w:trHeight w:val="188"/>
        </w:trPr>
        <w:tc>
          <w:tcPr>
            <w:tcW w:w="3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24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Portion</w:t>
            </w:r>
          </w:p>
        </w:tc>
        <w:tc>
          <w:tcPr>
            <w:tcW w:w="30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24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right"/>
              <w:ind w:right="257"/>
              <w:spacing w:after="0"/>
              <w:rPr>
                <w:sz w:val="20"/>
                <w:szCs w:val="20"/>
                <w:color w:val="auto"/>
              </w:rPr>
            </w:pPr>
            <w:r>
              <w:rPr>
                <w:rFonts w:ascii="Arial" w:cs="Arial" w:eastAsia="Arial" w:hAnsi="Arial"/>
                <w:sz w:val="14"/>
                <w:szCs w:val="14"/>
                <w:b w:val="1"/>
                <w:bCs w:val="1"/>
                <w:color w:val="auto"/>
              </w:rPr>
              <w:t>Portion</w:t>
            </w:r>
          </w:p>
        </w:tc>
        <w:tc>
          <w:tcPr>
            <w:tcW w:w="0" w:type="dxa"/>
            <w:vAlign w:val="bottom"/>
          </w:tcPr>
          <w:p>
            <w:pPr>
              <w:spacing w:after="0"/>
              <w:rPr>
                <w:sz w:val="1"/>
                <w:szCs w:val="1"/>
                <w:color w:val="auto"/>
              </w:rPr>
            </w:pPr>
          </w:p>
        </w:tc>
      </w:tr>
      <w:tr>
        <w:trPr>
          <w:trHeight w:val="211"/>
        </w:trPr>
        <w:tc>
          <w:tcPr>
            <w:tcW w:w="3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January 2, 2021</w:t>
            </w: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880" w:type="dxa"/>
            <w:vAlign w:val="bottom"/>
          </w:tcPr>
          <w:p>
            <w:pPr>
              <w:ind w:left="20"/>
              <w:spacing w:after="0"/>
              <w:rPr>
                <w:sz w:val="20"/>
                <w:szCs w:val="20"/>
                <w:color w:val="auto"/>
              </w:rPr>
            </w:pPr>
            <w:r>
              <w:rPr>
                <w:rFonts w:ascii="Arial" w:cs="Arial" w:eastAsia="Arial" w:hAnsi="Arial"/>
                <w:sz w:val="18"/>
                <w:szCs w:val="18"/>
                <w:color w:val="auto"/>
              </w:rPr>
              <w:t>Independent operator notes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37,238</w:t>
            </w:r>
          </w:p>
        </w:tc>
        <w:tc>
          <w:tcPr>
            <w:tcW w:w="100" w:type="dxa"/>
            <w:vAlign w:val="bottom"/>
          </w:tcPr>
          <w:p>
            <w:pPr>
              <w:spacing w:after="0"/>
              <w:rPr>
                <w:sz w:val="19"/>
                <w:szCs w:val="19"/>
                <w:color w:val="auto"/>
              </w:rPr>
            </w:pPr>
          </w:p>
        </w:tc>
        <w:tc>
          <w:tcPr>
            <w:tcW w:w="420" w:type="dxa"/>
            <w:vAlign w:val="bottom"/>
          </w:tcPr>
          <w:p>
            <w:pPr>
              <w:jc w:val="right"/>
              <w:ind w:right="216"/>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(514)</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(7,124)</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29,600</w:t>
            </w:r>
          </w:p>
        </w:tc>
        <w:tc>
          <w:tcPr>
            <w:tcW w:w="120" w:type="dxa"/>
            <w:vAlign w:val="bottom"/>
          </w:tcPr>
          <w:p>
            <w:pPr>
              <w:spacing w:after="0"/>
              <w:rPr>
                <w:sz w:val="19"/>
                <w:szCs w:val="19"/>
                <w:color w:val="auto"/>
              </w:rPr>
            </w:pPr>
          </w:p>
        </w:tc>
        <w:tc>
          <w:tcPr>
            <w:tcW w:w="380" w:type="dxa"/>
            <w:vAlign w:val="bottom"/>
          </w:tcPr>
          <w:p>
            <w:pPr>
              <w:jc w:val="right"/>
              <w:ind w:right="196"/>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2,160</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27,440</w:t>
            </w:r>
          </w:p>
        </w:tc>
        <w:tc>
          <w:tcPr>
            <w:tcW w:w="0" w:type="dxa"/>
            <w:vAlign w:val="bottom"/>
          </w:tcPr>
          <w:p>
            <w:pPr>
              <w:spacing w:after="0"/>
              <w:rPr>
                <w:sz w:val="1"/>
                <w:szCs w:val="1"/>
                <w:color w:val="auto"/>
              </w:rPr>
            </w:pPr>
          </w:p>
        </w:tc>
      </w:tr>
      <w:tr>
        <w:trPr>
          <w:trHeight w:val="229"/>
        </w:trPr>
        <w:tc>
          <w:tcPr>
            <w:tcW w:w="3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Independent operator receivables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880" w:type="dxa"/>
            <w:vAlign w:val="bottom"/>
          </w:tcPr>
          <w:p>
            <w:pPr>
              <w:ind w:left="22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40,992</w:t>
            </w:r>
          </w:p>
        </w:tc>
        <w:tc>
          <w:tcPr>
            <w:tcW w:w="10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16"/>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(985)</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(7,124)</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32,883</w:t>
            </w:r>
          </w:p>
        </w:tc>
        <w:tc>
          <w:tcPr>
            <w:tcW w:w="12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6"/>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5,443</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27,440</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 summary of activity in the IO notes and receivable allowance was as follows (amounts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20" w:type="dxa"/>
            <w:vAlign w:val="bottom"/>
            <w:gridSpan w:val="5"/>
          </w:tcPr>
          <w:p>
            <w:pPr>
              <w:ind w:left="520"/>
              <w:spacing w:after="0"/>
              <w:rPr>
                <w:sz w:val="20"/>
                <w:szCs w:val="20"/>
                <w:color w:val="auto"/>
              </w:rPr>
            </w:pPr>
            <w:r>
              <w:rPr>
                <w:rFonts w:ascii="Arial" w:cs="Arial" w:eastAsia="Arial" w:hAnsi="Arial"/>
                <w:sz w:val="14"/>
                <w:szCs w:val="14"/>
                <w:b w:val="1"/>
                <w:bCs w:val="1"/>
                <w:color w:val="auto"/>
              </w:rPr>
              <w:t>13 Weeks Ended</w:t>
            </w:r>
          </w:p>
        </w:tc>
        <w:tc>
          <w:tcPr>
            <w:tcW w:w="280" w:type="dxa"/>
            <w:vAlign w:val="bottom"/>
          </w:tcPr>
          <w:p>
            <w:pPr>
              <w:spacing w:after="0"/>
              <w:rPr>
                <w:sz w:val="16"/>
                <w:szCs w:val="16"/>
                <w:color w:val="auto"/>
              </w:rPr>
            </w:pPr>
          </w:p>
        </w:tc>
        <w:tc>
          <w:tcPr>
            <w:tcW w:w="2320" w:type="dxa"/>
            <w:vAlign w:val="bottom"/>
            <w:gridSpan w:val="4"/>
          </w:tcPr>
          <w:p>
            <w:pPr>
              <w:jc w:val="right"/>
              <w:ind w:right="695"/>
              <w:spacing w:after="0"/>
              <w:rPr>
                <w:sz w:val="20"/>
                <w:szCs w:val="20"/>
                <w:color w:val="auto"/>
              </w:rPr>
            </w:pPr>
            <w:r>
              <w:rPr>
                <w:rFonts w:ascii="Arial" w:cs="Arial" w:eastAsia="Arial" w:hAnsi="Arial"/>
                <w:sz w:val="14"/>
                <w:szCs w:val="14"/>
                <w:b w:val="1"/>
                <w:bCs w:val="1"/>
                <w:color w:val="auto"/>
              </w:rPr>
              <w:t>26 Weeks Ended</w:t>
            </w:r>
          </w:p>
        </w:tc>
      </w:tr>
      <w:tr>
        <w:trPr>
          <w:trHeight w:val="134"/>
        </w:trPr>
        <w:tc>
          <w:tcPr>
            <w:tcW w:w="594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gridSpan w:val="2"/>
          </w:tcPr>
          <w:p>
            <w:pPr>
              <w:ind w:left="140"/>
              <w:spacing w:after="0" w:line="135" w:lineRule="exact"/>
              <w:rPr>
                <w:sz w:val="20"/>
                <w:szCs w:val="20"/>
                <w:color w:val="auto"/>
              </w:rPr>
            </w:pPr>
            <w:r>
              <w:rPr>
                <w:rFonts w:ascii="Arial" w:cs="Arial" w:eastAsia="Arial" w:hAnsi="Arial"/>
                <w:sz w:val="14"/>
                <w:szCs w:val="14"/>
                <w:b w:val="1"/>
                <w:bCs w:val="1"/>
                <w:color w:val="auto"/>
              </w:rPr>
              <w:t>July 3,</w:t>
            </w:r>
          </w:p>
        </w:tc>
        <w:tc>
          <w:tcPr>
            <w:tcW w:w="24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right"/>
              <w:ind w:right="275"/>
              <w:spacing w:after="0" w:line="135" w:lineRule="exact"/>
              <w:rPr>
                <w:sz w:val="20"/>
                <w:szCs w:val="20"/>
                <w:color w:val="auto"/>
              </w:rPr>
            </w:pPr>
            <w:r>
              <w:rPr>
                <w:rFonts w:ascii="Arial" w:cs="Arial" w:eastAsia="Arial" w:hAnsi="Arial"/>
                <w:sz w:val="14"/>
                <w:szCs w:val="14"/>
                <w:b w:val="1"/>
                <w:bCs w:val="1"/>
                <w:color w:val="auto"/>
              </w:rPr>
              <w:t>June 27,</w:t>
            </w:r>
          </w:p>
        </w:tc>
        <w:tc>
          <w:tcPr>
            <w:tcW w:w="10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gridSpan w:val="2"/>
          </w:tcPr>
          <w:p>
            <w:pPr>
              <w:ind w:left="140"/>
              <w:spacing w:after="0" w:line="135" w:lineRule="exact"/>
              <w:rPr>
                <w:sz w:val="20"/>
                <w:szCs w:val="20"/>
                <w:color w:val="auto"/>
              </w:rPr>
            </w:pPr>
            <w:r>
              <w:rPr>
                <w:rFonts w:ascii="Arial" w:cs="Arial" w:eastAsia="Arial" w:hAnsi="Arial"/>
                <w:sz w:val="14"/>
                <w:szCs w:val="14"/>
                <w:b w:val="1"/>
                <w:bCs w:val="1"/>
                <w:color w:val="auto"/>
              </w:rPr>
              <w:t>July 3,</w:t>
            </w:r>
          </w:p>
        </w:tc>
        <w:tc>
          <w:tcPr>
            <w:tcW w:w="24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right"/>
              <w:ind w:right="275"/>
              <w:spacing w:after="0" w:line="135" w:lineRule="exact"/>
              <w:rPr>
                <w:sz w:val="20"/>
                <w:szCs w:val="20"/>
                <w:color w:val="auto"/>
              </w:rPr>
            </w:pPr>
            <w:r>
              <w:rPr>
                <w:rFonts w:ascii="Arial" w:cs="Arial" w:eastAsia="Arial" w:hAnsi="Arial"/>
                <w:sz w:val="14"/>
                <w:szCs w:val="14"/>
                <w:b w:val="1"/>
                <w:bCs w:val="1"/>
                <w:color w:val="auto"/>
              </w:rPr>
              <w:t>June 27,</w:t>
            </w:r>
          </w:p>
        </w:tc>
      </w:tr>
      <w:tr>
        <w:trPr>
          <w:trHeight w:val="188"/>
        </w:trPr>
        <w:tc>
          <w:tcPr>
            <w:tcW w:w="59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2020</w:t>
            </w:r>
          </w:p>
        </w:tc>
      </w:tr>
      <w:tr>
        <w:trPr>
          <w:trHeight w:val="224"/>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10,592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10,371</w:t>
            </w:r>
          </w:p>
        </w:tc>
      </w:tr>
      <w:tr>
        <w:trPr>
          <w:trHeight w:val="229"/>
        </w:trPr>
        <w:tc>
          <w:tcPr>
            <w:tcW w:w="5940" w:type="dxa"/>
            <w:vAlign w:val="bottom"/>
          </w:tcPr>
          <w:p>
            <w:pPr>
              <w:ind w:left="20"/>
              <w:spacing w:after="0"/>
              <w:rPr>
                <w:sz w:val="20"/>
                <w:szCs w:val="20"/>
                <w:color w:val="auto"/>
              </w:rPr>
            </w:pPr>
            <w:r>
              <w:rPr>
                <w:rFonts w:ascii="Arial" w:cs="Arial" w:eastAsia="Arial" w:hAnsi="Arial"/>
                <w:sz w:val="18"/>
                <w:szCs w:val="18"/>
                <w:color w:val="auto"/>
              </w:rPr>
              <w:t>Provision for independent operator notes and receivables</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1,400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(921)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2,300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29"/>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Cumulative effect of accounting change</w:t>
            </w: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w:t>
            </w:r>
          </w:p>
        </w:tc>
      </w:tr>
      <w:tr>
        <w:trPr>
          <w:trHeight w:val="230"/>
        </w:trPr>
        <w:tc>
          <w:tcPr>
            <w:tcW w:w="5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Write-off of provision for independent operator notes and receivables</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(681)</w:t>
            </w:r>
          </w:p>
        </w:tc>
      </w:tr>
      <w:tr>
        <w:trPr>
          <w:trHeight w:val="248"/>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Ending Balance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10,177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9,178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10,177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9,178</w:t>
            </w: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following table presents the amortized cost basis of IO notes by year of origination and credit quality indicator as of July 3, 2021 (amounts in thousands):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40" w:type="dxa"/>
            <w:vAlign w:val="bottom"/>
          </w:tcPr>
          <w:p>
            <w:pPr>
              <w:ind w:left="20"/>
              <w:spacing w:after="0"/>
              <w:rPr>
                <w:sz w:val="20"/>
                <w:szCs w:val="20"/>
                <w:color w:val="auto"/>
              </w:rPr>
            </w:pPr>
            <w:r>
              <w:rPr>
                <w:rFonts w:ascii="Arial" w:cs="Arial" w:eastAsia="Arial" w:hAnsi="Arial"/>
                <w:sz w:val="14"/>
                <w:szCs w:val="14"/>
                <w:b w:val="1"/>
                <w:bCs w:val="1"/>
                <w:color w:val="auto"/>
              </w:rPr>
              <w:t>Credit Quality Indicator</w:t>
            </w:r>
          </w:p>
        </w:tc>
        <w:tc>
          <w:tcPr>
            <w:tcW w:w="180" w:type="dxa"/>
            <w:vAlign w:val="bottom"/>
          </w:tcPr>
          <w:p>
            <w:pPr>
              <w:spacing w:after="0"/>
              <w:rPr>
                <w:sz w:val="16"/>
                <w:szCs w:val="16"/>
                <w:color w:val="auto"/>
              </w:rPr>
            </w:pPr>
          </w:p>
        </w:tc>
        <w:tc>
          <w:tcPr>
            <w:tcW w:w="1140" w:type="dxa"/>
            <w:vAlign w:val="bottom"/>
            <w:gridSpan w:val="2"/>
          </w:tcPr>
          <w:p>
            <w:pPr>
              <w:ind w:left="60"/>
              <w:spacing w:after="0"/>
              <w:rPr>
                <w:sz w:val="20"/>
                <w:szCs w:val="20"/>
                <w:color w:val="auto"/>
              </w:rPr>
            </w:pPr>
            <w:r>
              <w:rPr>
                <w:rFonts w:ascii="Arial" w:cs="Arial" w:eastAsia="Arial" w:hAnsi="Arial"/>
                <w:sz w:val="14"/>
                <w:szCs w:val="14"/>
                <w:b w:val="1"/>
                <w:bCs w:val="1"/>
                <w:color w:val="auto"/>
              </w:rPr>
              <w:t>2021 (YTD)</w:t>
            </w:r>
          </w:p>
        </w:tc>
        <w:tc>
          <w:tcPr>
            <w:tcW w:w="300" w:type="dxa"/>
            <w:vAlign w:val="bottom"/>
          </w:tcPr>
          <w:p>
            <w:pPr>
              <w:spacing w:after="0"/>
              <w:rPr>
                <w:sz w:val="16"/>
                <w:szCs w:val="16"/>
                <w:color w:val="auto"/>
              </w:rPr>
            </w:pPr>
          </w:p>
        </w:tc>
        <w:tc>
          <w:tcPr>
            <w:tcW w:w="940" w:type="dxa"/>
            <w:vAlign w:val="bottom"/>
          </w:tcPr>
          <w:p>
            <w:pPr>
              <w:jc w:val="right"/>
              <w:ind w:right="39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ind w:right="374"/>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jc w:val="right"/>
              <w:ind w:right="394"/>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2017</w:t>
            </w: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jc w:val="center"/>
              <w:ind w:left="256"/>
              <w:spacing w:after="0"/>
              <w:rPr>
                <w:sz w:val="20"/>
                <w:szCs w:val="20"/>
                <w:color w:val="auto"/>
              </w:rPr>
            </w:pPr>
            <w:r>
              <w:rPr>
                <w:rFonts w:ascii="Arial" w:cs="Arial" w:eastAsia="Arial" w:hAnsi="Arial"/>
                <w:sz w:val="14"/>
                <w:szCs w:val="14"/>
                <w:b w:val="1"/>
                <w:bCs w:val="1"/>
                <w:color w:val="auto"/>
                <w:w w:val="97"/>
              </w:rPr>
              <w:t>Prior</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ind w:right="37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9"/>
        </w:trPr>
        <w:tc>
          <w:tcPr>
            <w:tcW w:w="20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TCAP</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1,086</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1,853</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2,304</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1,444</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533</w:t>
            </w:r>
          </w:p>
        </w:tc>
        <w:tc>
          <w:tcPr>
            <w:tcW w:w="8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7,220</w:t>
            </w:r>
          </w:p>
        </w:tc>
        <w:tc>
          <w:tcPr>
            <w:tcW w:w="0" w:type="dxa"/>
            <w:vAlign w:val="bottom"/>
          </w:tcPr>
          <w:p>
            <w:pPr>
              <w:spacing w:after="0"/>
              <w:rPr>
                <w:sz w:val="1"/>
                <w:szCs w:val="1"/>
                <w:color w:val="auto"/>
              </w:rPr>
            </w:pPr>
          </w:p>
        </w:tc>
      </w:tr>
      <w:tr>
        <w:trPr>
          <w:trHeight w:val="230"/>
        </w:trPr>
        <w:tc>
          <w:tcPr>
            <w:tcW w:w="2040" w:type="dxa"/>
            <w:vAlign w:val="bottom"/>
          </w:tcPr>
          <w:p>
            <w:pPr>
              <w:ind w:left="20"/>
              <w:spacing w:after="0"/>
              <w:rPr>
                <w:sz w:val="20"/>
                <w:szCs w:val="20"/>
                <w:color w:val="auto"/>
              </w:rPr>
            </w:pPr>
            <w:r>
              <w:rPr>
                <w:rFonts w:ascii="Arial" w:cs="Arial" w:eastAsia="Arial" w:hAnsi="Arial"/>
                <w:sz w:val="18"/>
                <w:szCs w:val="18"/>
                <w:color w:val="auto"/>
              </w:rPr>
              <w:t>Non-TCAP</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2,800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2,354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4,908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2,627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1,308</w:t>
            </w: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gridSpan w:val="3"/>
          </w:tcPr>
          <w:p>
            <w:pPr>
              <w:jc w:val="right"/>
              <w:spacing w:after="0"/>
              <w:rPr>
                <w:sz w:val="20"/>
                <w:szCs w:val="20"/>
                <w:color w:val="auto"/>
              </w:rPr>
            </w:pPr>
            <w:r>
              <w:rPr>
                <w:rFonts w:ascii="Arial" w:cs="Arial" w:eastAsia="Arial" w:hAnsi="Arial"/>
                <w:sz w:val="18"/>
                <w:szCs w:val="18"/>
                <w:color w:val="auto"/>
                <w:w w:val="79"/>
              </w:rPr>
              <w:t>666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14,663</w:t>
            </w:r>
          </w:p>
        </w:tc>
        <w:tc>
          <w:tcPr>
            <w:tcW w:w="0" w:type="dxa"/>
            <w:vAlign w:val="bottom"/>
          </w:tcPr>
          <w:p>
            <w:pPr>
              <w:spacing w:after="0"/>
              <w:rPr>
                <w:sz w:val="1"/>
                <w:szCs w:val="1"/>
                <w:color w:val="auto"/>
              </w:rPr>
            </w:pPr>
          </w:p>
        </w:tc>
      </w:tr>
      <w:tr>
        <w:trPr>
          <w:trHeight w:val="230"/>
        </w:trPr>
        <w:tc>
          <w:tcPr>
            <w:tcW w:w="2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New store</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9,470</w:t>
            </w:r>
          </w:p>
        </w:tc>
        <w:tc>
          <w:tcPr>
            <w:tcW w:w="0" w:type="dxa"/>
            <w:vAlign w:val="bottom"/>
          </w:tcPr>
          <w:p>
            <w:pPr>
              <w:spacing w:after="0"/>
              <w:rPr>
                <w:sz w:val="1"/>
                <w:szCs w:val="1"/>
                <w:color w:val="auto"/>
              </w:rPr>
            </w:pPr>
          </w:p>
        </w:tc>
      </w:tr>
      <w:tr>
        <w:trPr>
          <w:trHeight w:val="223"/>
        </w:trPr>
        <w:tc>
          <w:tcPr>
            <w:tcW w:w="2040" w:type="dxa"/>
            <w:vAlign w:val="bottom"/>
          </w:tcPr>
          <w:p>
            <w:pPr>
              <w:ind w:left="2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7,283</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10,280</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7,212</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4,071</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1,841</w:t>
            </w:r>
          </w:p>
        </w:tc>
        <w:tc>
          <w:tcPr>
            <w:tcW w:w="80" w:type="dxa"/>
            <w:vAlign w:val="bottom"/>
          </w:tcPr>
          <w:p>
            <w:pPr>
              <w:spacing w:after="0"/>
              <w:rPr>
                <w:sz w:val="19"/>
                <w:szCs w:val="19"/>
                <w:color w:val="auto"/>
              </w:rPr>
            </w:pPr>
          </w:p>
        </w:tc>
        <w:tc>
          <w:tcPr>
            <w:tcW w:w="9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79"/>
              </w:rPr>
              <w:t>666</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31,353</w:t>
            </w:r>
          </w:p>
        </w:tc>
        <w:tc>
          <w:tcPr>
            <w:tcW w:w="0" w:type="dxa"/>
            <w:vAlign w:val="bottom"/>
          </w:tcPr>
          <w:p>
            <w:pPr>
              <w:spacing w:after="0"/>
              <w:rPr>
                <w:sz w:val="1"/>
                <w:szCs w:val="1"/>
                <w:color w:val="auto"/>
              </w:rPr>
            </w:pPr>
          </w:p>
        </w:tc>
      </w:tr>
      <w:tr>
        <w:trPr>
          <w:trHeight w:val="20"/>
        </w:trPr>
        <w:tc>
          <w:tcPr>
            <w:tcW w:w="2040" w:type="dxa"/>
            <w:vAlign w:val="bottom"/>
            <w:vMerge w:val="restart"/>
          </w:tcPr>
          <w:p>
            <w:pPr>
              <w:spacing w:after="0"/>
              <w:rPr>
                <w:sz w:val="20"/>
                <w:szCs w:val="20"/>
                <w:color w:val="auto"/>
              </w:rPr>
            </w:pPr>
            <w:r>
              <w:rPr>
                <w:rFonts w:ascii="Arial" w:cs="Arial" w:eastAsia="Arial" w:hAnsi="Arial"/>
                <w:sz w:val="18"/>
                <w:szCs w:val="18"/>
                <w:b w:val="1"/>
                <w:bCs w:val="1"/>
                <w:color w:val="auto"/>
              </w:rPr>
              <w:t>Note 3. Long-term Debt</w:t>
            </w: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63"/>
        </w:trPr>
        <w:tc>
          <w:tcPr>
            <w:tcW w:w="20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020" w:type="dxa"/>
            <w:vAlign w:val="bottom"/>
            <w:gridSpan w:val="10"/>
          </w:tcPr>
          <w:p>
            <w:pPr>
              <w:ind w:left="500"/>
              <w:spacing w:after="0"/>
              <w:rPr>
                <w:sz w:val="20"/>
                <w:szCs w:val="20"/>
                <w:color w:val="auto"/>
              </w:rPr>
            </w:pPr>
            <w:r>
              <w:rPr>
                <w:rFonts w:ascii="Arial" w:cs="Arial" w:eastAsia="Arial" w:hAnsi="Arial"/>
                <w:sz w:val="18"/>
                <w:szCs w:val="18"/>
                <w:color w:val="auto"/>
              </w:rPr>
              <w:t>Long-term debt consisted of the following (amounts in thousands):</w:t>
            </w: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00" w:type="dxa"/>
            <w:vAlign w:val="bottom"/>
          </w:tcPr>
          <w:p>
            <w:pPr>
              <w:ind w:left="20"/>
              <w:spacing w:after="0"/>
              <w:rPr>
                <w:sz w:val="20"/>
                <w:szCs w:val="20"/>
                <w:color w:val="auto"/>
              </w:rPr>
            </w:pPr>
            <w:r>
              <w:rPr>
                <w:rFonts w:ascii="Arial" w:cs="Arial" w:eastAsia="Arial" w:hAnsi="Arial"/>
                <w:sz w:val="14"/>
                <w:szCs w:val="14"/>
                <w:b w:val="1"/>
                <w:bCs w:val="1"/>
                <w:color w:val="auto"/>
              </w:rPr>
              <w:t>July 3,</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tcPr>
          <w:p>
            <w:pPr>
              <w:jc w:val="right"/>
              <w:ind w:right="335"/>
              <w:spacing w:after="0"/>
              <w:rPr>
                <w:sz w:val="20"/>
                <w:szCs w:val="20"/>
                <w:color w:val="auto"/>
              </w:rPr>
            </w:pPr>
            <w:r>
              <w:rPr>
                <w:rFonts w:ascii="Arial" w:cs="Arial" w:eastAsia="Arial" w:hAnsi="Arial"/>
                <w:sz w:val="14"/>
                <w:szCs w:val="14"/>
                <w:b w:val="1"/>
                <w:bCs w:val="1"/>
                <w:color w:val="auto"/>
                <w:w w:val="95"/>
              </w:rPr>
              <w:t>January 2,</w:t>
            </w:r>
          </w:p>
        </w:tc>
        <w:tc>
          <w:tcPr>
            <w:tcW w:w="0" w:type="dxa"/>
            <w:vAlign w:val="bottom"/>
          </w:tcPr>
          <w:p>
            <w:pPr>
              <w:spacing w:after="0"/>
              <w:rPr>
                <w:sz w:val="1"/>
                <w:szCs w:val="1"/>
                <w:color w:val="auto"/>
              </w:rPr>
            </w:pPr>
          </w:p>
        </w:tc>
      </w:tr>
      <w:tr>
        <w:trPr>
          <w:trHeight w:val="188"/>
        </w:trPr>
        <w:tc>
          <w:tcPr>
            <w:tcW w:w="204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10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CCEEFF"/>
            </w:tcBorders>
          </w:tcPr>
          <w:p>
            <w:pPr>
              <w:spacing w:after="0"/>
              <w:rPr>
                <w:sz w:val="16"/>
                <w:szCs w:val="16"/>
                <w:color w:val="auto"/>
              </w:rPr>
            </w:pPr>
          </w:p>
        </w:tc>
        <w:tc>
          <w:tcPr>
            <w:tcW w:w="9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CCEEFF"/>
            </w:tcBorders>
          </w:tcPr>
          <w:p>
            <w:pPr>
              <w:spacing w:after="0"/>
              <w:rPr>
                <w:sz w:val="16"/>
                <w:szCs w:val="16"/>
                <w:color w:val="auto"/>
              </w:rPr>
            </w:pPr>
          </w:p>
        </w:tc>
        <w:tc>
          <w:tcPr>
            <w:tcW w:w="9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CCEEFF"/>
            </w:tcBorders>
          </w:tcPr>
          <w:p>
            <w:pPr>
              <w:spacing w:after="0"/>
              <w:rPr>
                <w:sz w:val="16"/>
                <w:szCs w:val="16"/>
                <w:color w:val="auto"/>
              </w:rPr>
            </w:pPr>
          </w:p>
        </w:tc>
        <w:tc>
          <w:tcPr>
            <w:tcW w:w="9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CCEEFF"/>
            </w:tcBorders>
          </w:tcPr>
          <w:p>
            <w:pPr>
              <w:spacing w:after="0"/>
              <w:rPr>
                <w:sz w:val="16"/>
                <w:szCs w:val="16"/>
                <w:color w:val="auto"/>
              </w:rPr>
            </w:pPr>
          </w:p>
        </w:tc>
        <w:tc>
          <w:tcPr>
            <w:tcW w:w="5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2021</w:t>
            </w: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1"/>
        </w:trPr>
        <w:tc>
          <w:tcPr>
            <w:tcW w:w="2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6"/>
              </w:rPr>
              <w:t>First Lien Credit Agreement:</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40" w:type="dxa"/>
            <w:vAlign w:val="bottom"/>
          </w:tcPr>
          <w:p>
            <w:pPr>
              <w:ind w:left="140"/>
              <w:spacing w:after="0"/>
              <w:rPr>
                <w:sz w:val="20"/>
                <w:szCs w:val="20"/>
                <w:color w:val="auto"/>
              </w:rPr>
            </w:pPr>
            <w:r>
              <w:rPr>
                <w:rFonts w:ascii="Arial" w:cs="Arial" w:eastAsia="Arial" w:hAnsi="Arial"/>
                <w:sz w:val="18"/>
                <w:szCs w:val="18"/>
                <w:color w:val="auto"/>
              </w:rPr>
              <w:t>Term loan</w:t>
            </w: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900" w:type="dxa"/>
            <w:vAlign w:val="bottom"/>
          </w:tcPr>
          <w:p>
            <w:pPr>
              <w:jc w:val="center"/>
              <w:ind w:left="236"/>
              <w:spacing w:after="0"/>
              <w:rPr>
                <w:sz w:val="20"/>
                <w:szCs w:val="20"/>
                <w:color w:val="auto"/>
              </w:rPr>
            </w:pPr>
            <w:r>
              <w:rPr>
                <w:rFonts w:ascii="Arial" w:cs="Arial" w:eastAsia="Arial" w:hAnsi="Arial"/>
                <w:sz w:val="18"/>
                <w:szCs w:val="18"/>
                <w:color w:val="auto"/>
                <w:w w:val="89"/>
              </w:rPr>
              <w:t>460,000</w:t>
            </w:r>
          </w:p>
        </w:tc>
        <w:tc>
          <w:tcPr>
            <w:tcW w:w="3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460,000</w:t>
            </w:r>
          </w:p>
        </w:tc>
        <w:tc>
          <w:tcPr>
            <w:tcW w:w="0" w:type="dxa"/>
            <w:vAlign w:val="bottom"/>
          </w:tcPr>
          <w:p>
            <w:pPr>
              <w:spacing w:after="0"/>
              <w:rPr>
                <w:sz w:val="1"/>
                <w:szCs w:val="1"/>
                <w:color w:val="auto"/>
              </w:rPr>
            </w:pPr>
          </w:p>
        </w:tc>
      </w:tr>
      <w:tr>
        <w:trPr>
          <w:trHeight w:val="223"/>
        </w:trPr>
        <w:tc>
          <w:tcPr>
            <w:tcW w:w="204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Long-term debt, gross</w:t>
            </w:r>
          </w:p>
        </w:tc>
        <w:tc>
          <w:tcPr>
            <w:tcW w:w="18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center"/>
              <w:ind w:left="236"/>
              <w:spacing w:after="0"/>
              <w:rPr>
                <w:sz w:val="20"/>
                <w:szCs w:val="20"/>
                <w:color w:val="auto"/>
              </w:rPr>
            </w:pPr>
            <w:r>
              <w:rPr>
                <w:rFonts w:ascii="Arial" w:cs="Arial" w:eastAsia="Arial" w:hAnsi="Arial"/>
                <w:sz w:val="18"/>
                <w:szCs w:val="18"/>
                <w:color w:val="auto"/>
                <w:w w:val="89"/>
              </w:rPr>
              <w:t>460,000</w:t>
            </w:r>
          </w:p>
        </w:tc>
        <w:tc>
          <w:tcPr>
            <w:tcW w:w="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460,000</w:t>
            </w:r>
          </w:p>
        </w:tc>
        <w:tc>
          <w:tcPr>
            <w:tcW w:w="0" w:type="dxa"/>
            <w:vAlign w:val="bottom"/>
          </w:tcPr>
          <w:p>
            <w:pPr>
              <w:spacing w:after="0"/>
              <w:rPr>
                <w:sz w:val="1"/>
                <w:szCs w:val="1"/>
                <w:color w:val="auto"/>
              </w:rPr>
            </w:pPr>
          </w:p>
        </w:tc>
      </w:tr>
      <w:tr>
        <w:trPr>
          <w:trHeight w:val="230"/>
        </w:trPr>
        <w:tc>
          <w:tcPr>
            <w:tcW w:w="4700" w:type="dxa"/>
            <w:vAlign w:val="bottom"/>
            <w:tcBorders>
              <w:bottom w:val="single" w:sz="8" w:color="CCEEFF"/>
            </w:tcBorders>
            <w:gridSpan w:val="7"/>
          </w:tcPr>
          <w:p>
            <w:pPr>
              <w:ind w:left="20"/>
              <w:spacing w:after="0"/>
              <w:rPr>
                <w:sz w:val="20"/>
                <w:szCs w:val="20"/>
                <w:color w:val="auto"/>
              </w:rPr>
            </w:pPr>
            <w:r>
              <w:rPr>
                <w:rFonts w:ascii="Arial" w:cs="Arial" w:eastAsia="Arial" w:hAnsi="Arial"/>
                <w:sz w:val="18"/>
                <w:szCs w:val="18"/>
                <w:color w:val="auto"/>
                <w:w w:val="99"/>
              </w:rPr>
              <w:t>Less: Unamortized debt discounts and debt issuance costs</w:t>
            </w:r>
          </w:p>
        </w:tc>
        <w:tc>
          <w:tcPr>
            <w:tcW w:w="28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5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(9,698)</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(10,767)</w:t>
            </w:r>
          </w:p>
        </w:tc>
        <w:tc>
          <w:tcPr>
            <w:tcW w:w="0" w:type="dxa"/>
            <w:vAlign w:val="bottom"/>
          </w:tcPr>
          <w:p>
            <w:pPr>
              <w:spacing w:after="0"/>
              <w:rPr>
                <w:sz w:val="1"/>
                <w:szCs w:val="1"/>
                <w:color w:val="auto"/>
              </w:rPr>
            </w:pPr>
          </w:p>
        </w:tc>
      </w:tr>
      <w:tr>
        <w:trPr>
          <w:trHeight w:val="248"/>
        </w:trPr>
        <w:tc>
          <w:tcPr>
            <w:tcW w:w="20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Long-term debt, net</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center"/>
              <w:ind w:left="236"/>
              <w:spacing w:after="0"/>
              <w:rPr>
                <w:sz w:val="20"/>
                <w:szCs w:val="20"/>
                <w:color w:val="auto"/>
              </w:rPr>
            </w:pPr>
            <w:r>
              <w:rPr>
                <w:rFonts w:ascii="Arial" w:cs="Arial" w:eastAsia="Arial" w:hAnsi="Arial"/>
                <w:sz w:val="18"/>
                <w:szCs w:val="18"/>
                <w:color w:val="auto"/>
                <w:w w:val="89"/>
              </w:rPr>
              <w:t>450,302</w:t>
            </w:r>
          </w:p>
        </w:tc>
        <w:tc>
          <w:tcPr>
            <w:tcW w:w="6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449,233</w:t>
            </w:r>
          </w:p>
        </w:tc>
        <w:tc>
          <w:tcPr>
            <w:tcW w:w="0" w:type="dxa"/>
            <w:vAlign w:val="bottom"/>
          </w:tcPr>
          <w:p>
            <w:pPr>
              <w:spacing w:after="0"/>
              <w:rPr>
                <w:sz w:val="1"/>
                <w:szCs w:val="1"/>
                <w:color w:val="auto"/>
              </w:rPr>
            </w:pPr>
          </w:p>
        </w:tc>
      </w:tr>
      <w:tr>
        <w:trPr>
          <w:trHeight w:val="20"/>
        </w:trPr>
        <w:tc>
          <w:tcPr>
            <w:tcW w:w="20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First Lien Credit Agreement</w:t>
      </w:r>
    </w:p>
    <w:p>
      <w:pPr>
        <w:spacing w:after="0" w:line="117"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GOBP Holdings, Inc ("GOBP Holdings"), our wholly owned subsidiary, together with another of our wholly owned subsidiaries, has a first lien credit agreement (the “First Lien Credit Agreement”) with a syndicate of lenders that consists of a $460.0 million senior term loan and a revolving credit facility for an amount up to $100.0 million, with sub-commitments for a $35.0 million letter of credit and $20.0 million of swingline loans as of July 3, 2021. The First Lien Credit Agreement permits voluntary prepayment on borrowings without premium or penalty. Borrowings under the First Lien Credit Agreement are secured by substantially all the assets of the borrower subsidiary and its guarantors.</w:t>
      </w:r>
    </w:p>
    <w:p>
      <w:pPr>
        <w:spacing w:after="0" w:line="8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Term Loan</w:t>
      </w:r>
    </w:p>
    <w:p>
      <w:pPr>
        <w:spacing w:after="0" w:line="117"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Our $460.0 million senior term loan matures on October 22, 2025 and had an interest rate of 2.84% as of July 3, 2021. Due to previous prepayments on the term loan, no further principal payment on the term loan will be due until the maturity date.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4"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60"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On January 24, 2020, GOBP Holdings together with another of our wholly owned subsidiaries, entered into a second incremental agreement (the "Second Incremental Agreement") which amended a previous incremental agreement (the "First Incremental Agreement"). The Second Incremental Agreement refinanced a previous replacement term loan under the First Incremental Agreement with a replacement $460.0 million senior secured term loan (the "Second Replacement Term Loan") with an applicable margin of 2.75% for Eurodollar loans and 1.75% for base rate loans, in each case depending on the public corporate family rating of GOBP Holdings, and made certain other corresponding technical changes and updates to the First Incremental Agreement. We wrote off debt issuance costs of $0.1 million and incurred debt modification costs of $0.1 million during the first quarter of fiscal 2020 in connection with this refinance.</w:t>
      </w:r>
    </w:p>
    <w:p>
      <w:pPr>
        <w:spacing w:after="0" w:line="87"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Other than as described above, the Second Replacement Term Loan has the same terms as provided under the original First Lien Credit Agreement and the First Incremental Agreement. Additionally, the parties to the Second Incremental Agreement continue to have the same obligations set forth in the original First Lien Credit Agreement and the First Incremental Agreement (collectively, the "First Lien Credit Agreement").</w:t>
      </w:r>
    </w:p>
    <w:p>
      <w:pPr>
        <w:spacing w:after="0" w:line="5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Revolving Credit Facility</w:t>
      </w:r>
    </w:p>
    <w:p>
      <w:pPr>
        <w:spacing w:after="0" w:line="117" w:lineRule="exact"/>
        <w:rPr>
          <w:sz w:val="20"/>
          <w:szCs w:val="20"/>
          <w:color w:val="auto"/>
        </w:rPr>
      </w:pPr>
    </w:p>
    <w:p>
      <w:pPr>
        <w:jc w:val="both"/>
        <w:ind w:firstLine="486"/>
        <w:spacing w:after="0" w:line="308" w:lineRule="auto"/>
        <w:rPr>
          <w:sz w:val="20"/>
          <w:szCs w:val="20"/>
          <w:color w:val="auto"/>
        </w:rPr>
      </w:pPr>
      <w:r>
        <w:rPr>
          <w:rFonts w:ascii="Arial" w:cs="Arial" w:eastAsia="Arial" w:hAnsi="Arial"/>
          <w:sz w:val="17"/>
          <w:szCs w:val="17"/>
          <w:color w:val="auto"/>
        </w:rPr>
        <w:t>As of July 3, 2021, we had $3.5 million of outstanding standby letters of credit and $96.5 million of remaining borrowing capacity available under the revolving credit facility. No amounts were outstanding under the revolving credit facility as of July 3, 2021 and January 2, 2021.</w:t>
      </w:r>
    </w:p>
    <w:p>
      <w:pPr>
        <w:spacing w:after="0" w:line="38"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We are required to pay a quarterly commitment fee ranging from 0.25% to 0.50% on the daily unused amount of the commitment under the revolving credit facility based upon the leverage ratio defined in the agreement and certain criteria specified in the agreement. We are also required to pay fronting fees and other customary fees for letters of credit issued under the revolving credit facility. The interest rate for the revolving credit facility is determined based on a formula using certain market rates.</w:t>
      </w:r>
    </w:p>
    <w:p>
      <w:pPr>
        <w:spacing w:after="0" w:line="79"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On March 19, 2020, we borrowed $90.0 million under the revolving credit facility of our First Lien Credit Agreement (the "Revolving Credit Facility Loan"), the proceeds of which were to be used as reserve funding for working capital needs as a precautionary measure in light of the economic uncertainty surrounding the COVID-19 pandemic. On May 26, 2020, we repaid the Revolving Credit Facility Loan in full.</w:t>
      </w:r>
    </w:p>
    <w:p>
      <w:pPr>
        <w:spacing w:after="0" w:line="76"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Debt Covenants</w:t>
      </w:r>
    </w:p>
    <w:p>
      <w:pPr>
        <w:spacing w:after="0" w:line="117" w:lineRule="exact"/>
        <w:rPr>
          <w:sz w:val="20"/>
          <w:szCs w:val="20"/>
          <w:color w:val="auto"/>
        </w:rPr>
      </w:pPr>
    </w:p>
    <w:p>
      <w:pPr>
        <w:jc w:val="both"/>
        <w:ind w:firstLine="486"/>
        <w:spacing w:after="0" w:line="301" w:lineRule="auto"/>
        <w:rPr>
          <w:sz w:val="20"/>
          <w:szCs w:val="20"/>
          <w:color w:val="auto"/>
        </w:rPr>
      </w:pPr>
      <w:r>
        <w:rPr>
          <w:rFonts w:ascii="Arial" w:cs="Arial" w:eastAsia="Arial" w:hAnsi="Arial"/>
          <w:sz w:val="16"/>
          <w:szCs w:val="16"/>
          <w:color w:val="auto"/>
        </w:rPr>
        <w:t>The First Lien Credit Agreement contains certain customary representations and warranties, subject to limitations and exceptions, and affirmative and customary covenants. The First Lien Credit Agreement has the ability to restrict us from entering into certain types of transactions and making certain types of payments including dividends and stock repurchase and other similar distributions, with certain exceptions. Additionally, the revolving credit facility under our First Lien Credit Agreement is subject to a first lien secured leverage ratio (as defined in the First Lien Credit Agreement) of 7.00 to 1.00.</w:t>
      </w:r>
    </w:p>
    <w:p>
      <w:pPr>
        <w:spacing w:after="0" w:line="4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July 3, 2021, we were in compliance with all applicable financial covenant requirements for our First Lien Credit Agreement.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4"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Schedule of Principal Maturities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Principal maturities of debt as of July 3, 2021 are as follows (amounts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Remainder of fiscal 2021</w:t>
            </w:r>
          </w:p>
        </w:tc>
        <w:tc>
          <w:tcPr>
            <w:tcW w:w="9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000" w:type="dxa"/>
            <w:vAlign w:val="bottom"/>
          </w:tcPr>
          <w:p>
            <w:pPr>
              <w:ind w:left="20"/>
              <w:spacing w:after="0"/>
              <w:rPr>
                <w:sz w:val="20"/>
                <w:szCs w:val="20"/>
                <w:color w:val="auto"/>
              </w:rPr>
            </w:pPr>
            <w:r>
              <w:rPr>
                <w:rFonts w:ascii="Arial" w:cs="Arial" w:eastAsia="Arial" w:hAnsi="Arial"/>
                <w:sz w:val="18"/>
                <w:szCs w:val="18"/>
                <w:color w:val="auto"/>
              </w:rPr>
              <w:t>Fiscal 2022</w:t>
            </w:r>
          </w:p>
        </w:tc>
        <w:tc>
          <w:tcPr>
            <w:tcW w:w="9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2023</w:t>
            </w:r>
          </w:p>
        </w:tc>
        <w:tc>
          <w:tcPr>
            <w:tcW w:w="9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000" w:type="dxa"/>
            <w:vAlign w:val="bottom"/>
          </w:tcPr>
          <w:p>
            <w:pPr>
              <w:ind w:left="20"/>
              <w:spacing w:after="0"/>
              <w:rPr>
                <w:sz w:val="20"/>
                <w:szCs w:val="20"/>
                <w:color w:val="auto"/>
              </w:rPr>
            </w:pPr>
            <w:r>
              <w:rPr>
                <w:rFonts w:ascii="Arial" w:cs="Arial" w:eastAsia="Arial" w:hAnsi="Arial"/>
                <w:sz w:val="18"/>
                <w:szCs w:val="18"/>
                <w:color w:val="auto"/>
              </w:rPr>
              <w:t>Fiscal 2024</w:t>
            </w:r>
          </w:p>
        </w:tc>
        <w:tc>
          <w:tcPr>
            <w:tcW w:w="9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2025</w:t>
            </w:r>
          </w:p>
        </w:tc>
        <w:tc>
          <w:tcPr>
            <w:tcW w:w="9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460,000</w:t>
            </w:r>
          </w:p>
        </w:tc>
        <w:tc>
          <w:tcPr>
            <w:tcW w:w="0" w:type="dxa"/>
            <w:vAlign w:val="bottom"/>
          </w:tcPr>
          <w:p>
            <w:pPr>
              <w:spacing w:after="0"/>
              <w:rPr>
                <w:sz w:val="1"/>
                <w:szCs w:val="1"/>
                <w:color w:val="auto"/>
              </w:rPr>
            </w:pPr>
          </w:p>
        </w:tc>
      </w:tr>
      <w:tr>
        <w:trPr>
          <w:trHeight w:val="229"/>
        </w:trPr>
        <w:tc>
          <w:tcPr>
            <w:tcW w:w="5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980" w:type="dxa"/>
            <w:vAlign w:val="bottom"/>
            <w:tcBorders>
              <w:bottom w:val="single" w:sz="8" w:color="CCEEFF"/>
            </w:tcBorders>
          </w:tcPr>
          <w:p>
            <w:pPr>
              <w:spacing w:after="0"/>
              <w:rPr>
                <w:sz w:val="19"/>
                <w:szCs w:val="19"/>
                <w:color w:val="auto"/>
              </w:rPr>
            </w:pPr>
          </w:p>
        </w:tc>
        <w:tc>
          <w:tcPr>
            <w:tcW w:w="5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50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9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460,000</w:t>
            </w:r>
          </w:p>
        </w:tc>
        <w:tc>
          <w:tcPr>
            <w:tcW w:w="0" w:type="dxa"/>
            <w:vAlign w:val="bottom"/>
          </w:tcPr>
          <w:p>
            <w:pPr>
              <w:spacing w:after="0"/>
              <w:rPr>
                <w:sz w:val="1"/>
                <w:szCs w:val="1"/>
                <w:color w:val="auto"/>
              </w:rPr>
            </w:pPr>
          </w:p>
        </w:tc>
      </w:tr>
      <w:tr>
        <w:trPr>
          <w:trHeight w:val="20"/>
        </w:trPr>
        <w:tc>
          <w:tcPr>
            <w:tcW w:w="50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i w:val="1"/>
                <w:iCs w:val="1"/>
                <w:color w:val="auto"/>
              </w:rPr>
              <w:t>Interest Expense, Net</w:t>
            </w:r>
          </w:p>
        </w:tc>
        <w:tc>
          <w:tcPr>
            <w:tcW w:w="9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1"/>
        </w:trPr>
        <w:tc>
          <w:tcPr>
            <w:tcW w:w="500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980" w:type="dxa"/>
            <w:vAlign w:val="bottom"/>
            <w:gridSpan w:val="2"/>
          </w:tcPr>
          <w:p>
            <w:pPr>
              <w:ind w:left="500"/>
              <w:spacing w:after="0"/>
              <w:rPr>
                <w:sz w:val="20"/>
                <w:szCs w:val="20"/>
                <w:color w:val="auto"/>
              </w:rPr>
            </w:pPr>
            <w:r>
              <w:rPr>
                <w:rFonts w:ascii="Arial" w:cs="Arial" w:eastAsia="Arial" w:hAnsi="Arial"/>
                <w:sz w:val="18"/>
                <w:szCs w:val="18"/>
                <w:color w:val="auto"/>
                <w:w w:val="94"/>
              </w:rPr>
              <w:t>Interest expense, net, consisted of the following (amounts in thousands):</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500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4"/>
              </w:rPr>
              <w:t>13 Weeks Ended</w:t>
            </w: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26 Weeks Ended</w:t>
            </w: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5000" w:type="dxa"/>
            <w:vAlign w:val="bottom"/>
          </w:tcPr>
          <w:p>
            <w:pPr>
              <w:spacing w:after="0"/>
              <w:rPr>
                <w:sz w:val="11"/>
                <w:szCs w:val="11"/>
                <w:color w:val="auto"/>
              </w:rPr>
            </w:pPr>
          </w:p>
        </w:tc>
        <w:tc>
          <w:tcPr>
            <w:tcW w:w="980" w:type="dxa"/>
            <w:vAlign w:val="bottom"/>
          </w:tcPr>
          <w:p>
            <w:pPr>
              <w:jc w:val="right"/>
              <w:spacing w:after="0" w:line="135" w:lineRule="exact"/>
              <w:rPr>
                <w:sz w:val="20"/>
                <w:szCs w:val="20"/>
                <w:color w:val="auto"/>
              </w:rPr>
            </w:pPr>
            <w:r>
              <w:rPr>
                <w:rFonts w:ascii="Arial" w:cs="Arial" w:eastAsia="Arial" w:hAnsi="Arial"/>
                <w:sz w:val="14"/>
                <w:szCs w:val="14"/>
                <w:b w:val="1"/>
                <w:bCs w:val="1"/>
                <w:color w:val="auto"/>
              </w:rPr>
              <w:t>July 3,</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20" w:type="dxa"/>
            <w:vAlign w:val="bottom"/>
          </w:tcPr>
          <w:p>
            <w:pPr>
              <w:jc w:val="right"/>
              <w:ind w:right="395"/>
              <w:spacing w:after="0" w:line="135" w:lineRule="exact"/>
              <w:rPr>
                <w:sz w:val="20"/>
                <w:szCs w:val="20"/>
                <w:color w:val="auto"/>
              </w:rPr>
            </w:pPr>
            <w:r>
              <w:rPr>
                <w:rFonts w:ascii="Arial" w:cs="Arial" w:eastAsia="Arial" w:hAnsi="Arial"/>
                <w:sz w:val="14"/>
                <w:szCs w:val="14"/>
                <w:b w:val="1"/>
                <w:bCs w:val="1"/>
                <w:color w:val="auto"/>
                <w:w w:val="92"/>
              </w:rPr>
              <w:t>June 27,</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80" w:type="dxa"/>
            <w:vAlign w:val="bottom"/>
            <w:gridSpan w:val="2"/>
          </w:tcPr>
          <w:p>
            <w:pPr>
              <w:ind w:left="220"/>
              <w:spacing w:after="0" w:line="135" w:lineRule="exact"/>
              <w:rPr>
                <w:sz w:val="20"/>
                <w:szCs w:val="20"/>
                <w:color w:val="auto"/>
              </w:rPr>
            </w:pPr>
            <w:r>
              <w:rPr>
                <w:rFonts w:ascii="Arial" w:cs="Arial" w:eastAsia="Arial" w:hAnsi="Arial"/>
                <w:sz w:val="14"/>
                <w:szCs w:val="14"/>
                <w:b w:val="1"/>
                <w:bCs w:val="1"/>
                <w:color w:val="auto"/>
              </w:rPr>
              <w:t>July 3,</w:t>
            </w:r>
          </w:p>
        </w:tc>
        <w:tc>
          <w:tcPr>
            <w:tcW w:w="460" w:type="dxa"/>
            <w:vAlign w:val="bottom"/>
          </w:tcPr>
          <w:p>
            <w:pPr>
              <w:spacing w:after="0"/>
              <w:rPr>
                <w:sz w:val="11"/>
                <w:szCs w:val="11"/>
                <w:color w:val="auto"/>
              </w:rPr>
            </w:pPr>
          </w:p>
        </w:tc>
        <w:tc>
          <w:tcPr>
            <w:tcW w:w="1020" w:type="dxa"/>
            <w:vAlign w:val="bottom"/>
          </w:tcPr>
          <w:p>
            <w:pPr>
              <w:jc w:val="right"/>
              <w:ind w:right="392"/>
              <w:spacing w:after="0" w:line="135" w:lineRule="exact"/>
              <w:rPr>
                <w:sz w:val="20"/>
                <w:szCs w:val="20"/>
                <w:color w:val="auto"/>
              </w:rPr>
            </w:pPr>
            <w:r>
              <w:rPr>
                <w:rFonts w:ascii="Arial" w:cs="Arial" w:eastAsia="Arial" w:hAnsi="Arial"/>
                <w:sz w:val="14"/>
                <w:szCs w:val="14"/>
                <w:b w:val="1"/>
                <w:bCs w:val="1"/>
                <w:color w:val="auto"/>
                <w:w w:val="92"/>
              </w:rPr>
              <w:t>June 27,</w:t>
            </w:r>
          </w:p>
        </w:tc>
        <w:tc>
          <w:tcPr>
            <w:tcW w:w="0" w:type="dxa"/>
            <w:vAlign w:val="bottom"/>
          </w:tcPr>
          <w:p>
            <w:pPr>
              <w:spacing w:after="0"/>
              <w:rPr>
                <w:sz w:val="1"/>
                <w:szCs w:val="1"/>
                <w:color w:val="auto"/>
              </w:rPr>
            </w:pPr>
          </w:p>
        </w:tc>
      </w:tr>
      <w:tr>
        <w:trPr>
          <w:trHeight w:val="188"/>
        </w:trPr>
        <w:tc>
          <w:tcPr>
            <w:tcW w:w="50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4"/>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on loans</w:t>
            </w:r>
          </w:p>
        </w:tc>
        <w:tc>
          <w:tcPr>
            <w:tcW w:w="980" w:type="dxa"/>
            <w:vAlign w:val="bottom"/>
            <w:shd w:val="clear" w:color="auto" w:fill="CCEEFF"/>
          </w:tcPr>
          <w:p>
            <w:pPr>
              <w:jc w:val="right"/>
              <w:ind w:right="779"/>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3,530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7,094</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10,788</w:t>
            </w:r>
          </w:p>
        </w:tc>
        <w:tc>
          <w:tcPr>
            <w:tcW w:w="0" w:type="dxa"/>
            <w:vAlign w:val="bottom"/>
          </w:tcPr>
          <w:p>
            <w:pPr>
              <w:spacing w:after="0"/>
              <w:rPr>
                <w:sz w:val="1"/>
                <w:szCs w:val="1"/>
                <w:color w:val="auto"/>
              </w:rPr>
            </w:pPr>
          </w:p>
        </w:tc>
      </w:tr>
      <w:tr>
        <w:trPr>
          <w:trHeight w:val="229"/>
        </w:trPr>
        <w:tc>
          <w:tcPr>
            <w:tcW w:w="5000" w:type="dxa"/>
            <w:vAlign w:val="bottom"/>
          </w:tcPr>
          <w:p>
            <w:pPr>
              <w:ind w:left="20"/>
              <w:spacing w:after="0"/>
              <w:rPr>
                <w:sz w:val="20"/>
                <w:szCs w:val="20"/>
                <w:color w:val="auto"/>
              </w:rPr>
            </w:pPr>
            <w:r>
              <w:rPr>
                <w:rFonts w:ascii="Arial" w:cs="Arial" w:eastAsia="Arial" w:hAnsi="Arial"/>
                <w:sz w:val="18"/>
                <w:szCs w:val="18"/>
                <w:color w:val="auto"/>
              </w:rPr>
              <w:t>Amortization of debt issuance costs</w:t>
            </w:r>
          </w:p>
        </w:tc>
        <w:tc>
          <w:tcPr>
            <w:tcW w:w="9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563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564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1,126</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1,120</w:t>
            </w:r>
          </w:p>
        </w:tc>
        <w:tc>
          <w:tcPr>
            <w:tcW w:w="0" w:type="dxa"/>
            <w:vAlign w:val="bottom"/>
          </w:tcPr>
          <w:p>
            <w:pPr>
              <w:spacing w:after="0"/>
              <w:rPr>
                <w:sz w:val="1"/>
                <w:szCs w:val="1"/>
                <w:color w:val="auto"/>
              </w:rPr>
            </w:pPr>
          </w:p>
        </w:tc>
      </w:tr>
      <w:tr>
        <w:trPr>
          <w:trHeight w:val="229"/>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on finance leases</w:t>
            </w:r>
          </w:p>
        </w:tc>
        <w:tc>
          <w:tcPr>
            <w:tcW w:w="9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30"/>
        </w:trPr>
        <w:tc>
          <w:tcPr>
            <w:tcW w:w="5000" w:type="dxa"/>
            <w:vAlign w:val="bottom"/>
          </w:tcPr>
          <w:p>
            <w:pPr>
              <w:ind w:left="20"/>
              <w:spacing w:after="0"/>
              <w:rPr>
                <w:sz w:val="20"/>
                <w:szCs w:val="20"/>
                <w:color w:val="auto"/>
              </w:rPr>
            </w:pPr>
            <w:r>
              <w:rPr>
                <w:rFonts w:ascii="Arial" w:cs="Arial" w:eastAsia="Arial" w:hAnsi="Arial"/>
                <w:sz w:val="18"/>
                <w:szCs w:val="18"/>
                <w:color w:val="auto"/>
              </w:rPr>
              <w:t>Other</w:t>
            </w:r>
          </w:p>
        </w:tc>
        <w:tc>
          <w:tcPr>
            <w:tcW w:w="9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9"/>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98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(1,004)</w:t>
            </w:r>
          </w:p>
        </w:tc>
        <w:tc>
          <w:tcPr>
            <w:tcW w:w="0" w:type="dxa"/>
            <w:vAlign w:val="bottom"/>
          </w:tcPr>
          <w:p>
            <w:pPr>
              <w:spacing w:after="0"/>
              <w:rPr>
                <w:sz w:val="1"/>
                <w:szCs w:val="1"/>
                <w:color w:val="auto"/>
              </w:rPr>
            </w:pPr>
          </w:p>
        </w:tc>
      </w:tr>
      <w:tr>
        <w:trPr>
          <w:trHeight w:val="223"/>
        </w:trPr>
        <w:tc>
          <w:tcPr>
            <w:tcW w:w="5000" w:type="dxa"/>
            <w:vAlign w:val="bottom"/>
          </w:tcPr>
          <w:p>
            <w:pPr>
              <w:ind w:left="220"/>
              <w:spacing w:after="0"/>
              <w:rPr>
                <w:sz w:val="20"/>
                <w:szCs w:val="20"/>
                <w:color w:val="auto"/>
              </w:rPr>
            </w:pPr>
            <w:r>
              <w:rPr>
                <w:rFonts w:ascii="Arial" w:cs="Arial" w:eastAsia="Arial" w:hAnsi="Arial"/>
                <w:sz w:val="18"/>
                <w:szCs w:val="18"/>
                <w:color w:val="auto"/>
              </w:rPr>
              <w:t>Interest expense, net</w:t>
            </w:r>
          </w:p>
        </w:tc>
        <w:tc>
          <w:tcPr>
            <w:tcW w:w="980" w:type="dxa"/>
            <w:vAlign w:val="bottom"/>
            <w:tcBorders>
              <w:bottom w:val="single" w:sz="8" w:color="auto"/>
            </w:tcBorders>
          </w:tcPr>
          <w:p>
            <w:pPr>
              <w:jc w:val="right"/>
              <w:ind w:right="779"/>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3,922</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5,270</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7,828</w:t>
            </w:r>
          </w:p>
        </w:tc>
        <w:tc>
          <w:tcPr>
            <w:tcW w:w="12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11,104</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Extinguishment and Modification Costs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Debt extinguishment and modification costs consisted of the following (amounts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2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w w:val="90"/>
              </w:rPr>
              <w:t>13 Weeks Ended</w:t>
            </w:r>
          </w:p>
        </w:tc>
        <w:tc>
          <w:tcPr>
            <w:tcW w:w="10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ind w:left="700"/>
              <w:spacing w:after="0"/>
              <w:rPr>
                <w:sz w:val="20"/>
                <w:szCs w:val="20"/>
                <w:color w:val="auto"/>
              </w:rPr>
            </w:pPr>
            <w:r>
              <w:rPr>
                <w:rFonts w:ascii="Arial" w:cs="Arial" w:eastAsia="Arial" w:hAnsi="Arial"/>
                <w:sz w:val="14"/>
                <w:szCs w:val="14"/>
                <w:b w:val="1"/>
                <w:bCs w:val="1"/>
                <w:color w:val="auto"/>
                <w:w w:val="90"/>
              </w:rPr>
              <w:t>26 Weeks Ended</w:t>
            </w:r>
          </w:p>
        </w:tc>
        <w:tc>
          <w:tcPr>
            <w:tcW w:w="1020" w:type="dxa"/>
            <w:vAlign w:val="bottom"/>
            <w:tcBorders>
              <w:bottom w:val="single" w:sz="8" w:color="auto"/>
            </w:tcBorders>
          </w:tcPr>
          <w:p>
            <w:pPr>
              <w:spacing w:after="0"/>
              <w:rPr>
                <w:sz w:val="16"/>
                <w:szCs w:val="16"/>
                <w:color w:val="auto"/>
              </w:rPr>
            </w:pPr>
          </w:p>
        </w:tc>
      </w:tr>
      <w:tr>
        <w:trPr>
          <w:trHeight w:val="135"/>
        </w:trPr>
        <w:tc>
          <w:tcPr>
            <w:tcW w:w="5020" w:type="dxa"/>
            <w:vAlign w:val="bottom"/>
          </w:tcPr>
          <w:p>
            <w:pPr>
              <w:spacing w:after="0"/>
              <w:rPr>
                <w:sz w:val="11"/>
                <w:szCs w:val="11"/>
                <w:color w:val="auto"/>
              </w:rPr>
            </w:pPr>
          </w:p>
        </w:tc>
        <w:tc>
          <w:tcPr>
            <w:tcW w:w="980" w:type="dxa"/>
            <w:vAlign w:val="bottom"/>
          </w:tcPr>
          <w:p>
            <w:pPr>
              <w:jc w:val="right"/>
              <w:spacing w:after="0" w:line="135" w:lineRule="exact"/>
              <w:rPr>
                <w:sz w:val="20"/>
                <w:szCs w:val="20"/>
                <w:color w:val="auto"/>
              </w:rPr>
            </w:pPr>
            <w:r>
              <w:rPr>
                <w:rFonts w:ascii="Arial" w:cs="Arial" w:eastAsia="Arial" w:hAnsi="Arial"/>
                <w:sz w:val="14"/>
                <w:szCs w:val="14"/>
                <w:b w:val="1"/>
                <w:bCs w:val="1"/>
                <w:color w:val="auto"/>
              </w:rPr>
              <w:t>July 3,</w:t>
            </w: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0" w:type="dxa"/>
            <w:vAlign w:val="bottom"/>
          </w:tcPr>
          <w:p>
            <w:pPr>
              <w:jc w:val="center"/>
              <w:ind w:right="377"/>
              <w:spacing w:after="0" w:line="135" w:lineRule="exact"/>
              <w:rPr>
                <w:sz w:val="20"/>
                <w:szCs w:val="20"/>
                <w:color w:val="auto"/>
              </w:rPr>
            </w:pPr>
            <w:r>
              <w:rPr>
                <w:rFonts w:ascii="Arial" w:cs="Arial" w:eastAsia="Arial" w:hAnsi="Arial"/>
                <w:sz w:val="14"/>
                <w:szCs w:val="14"/>
                <w:b w:val="1"/>
                <w:bCs w:val="1"/>
                <w:color w:val="auto"/>
                <w:w w:val="89"/>
              </w:rPr>
              <w:t>June 27,</w:t>
            </w: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60" w:type="dxa"/>
            <w:vAlign w:val="bottom"/>
            <w:gridSpan w:val="2"/>
          </w:tcPr>
          <w:p>
            <w:pPr>
              <w:jc w:val="center"/>
              <w:ind w:right="440"/>
              <w:spacing w:after="0" w:line="135" w:lineRule="exact"/>
              <w:rPr>
                <w:sz w:val="20"/>
                <w:szCs w:val="20"/>
                <w:color w:val="auto"/>
              </w:rPr>
            </w:pPr>
            <w:r>
              <w:rPr>
                <w:rFonts w:ascii="Arial" w:cs="Arial" w:eastAsia="Arial" w:hAnsi="Arial"/>
                <w:sz w:val="14"/>
                <w:szCs w:val="14"/>
                <w:b w:val="1"/>
                <w:bCs w:val="1"/>
                <w:color w:val="auto"/>
                <w:w w:val="96"/>
              </w:rPr>
              <w:t>July 3,</w:t>
            </w:r>
          </w:p>
        </w:tc>
        <w:tc>
          <w:tcPr>
            <w:tcW w:w="460" w:type="dxa"/>
            <w:vAlign w:val="bottom"/>
          </w:tcPr>
          <w:p>
            <w:pPr>
              <w:spacing w:after="0"/>
              <w:rPr>
                <w:sz w:val="11"/>
                <w:szCs w:val="11"/>
                <w:color w:val="auto"/>
              </w:rPr>
            </w:pPr>
          </w:p>
        </w:tc>
        <w:tc>
          <w:tcPr>
            <w:tcW w:w="1020" w:type="dxa"/>
            <w:vAlign w:val="bottom"/>
          </w:tcPr>
          <w:p>
            <w:pPr>
              <w:jc w:val="right"/>
              <w:ind w:right="397"/>
              <w:spacing w:after="0" w:line="135" w:lineRule="exact"/>
              <w:rPr>
                <w:sz w:val="20"/>
                <w:szCs w:val="20"/>
                <w:color w:val="auto"/>
              </w:rPr>
            </w:pPr>
            <w:r>
              <w:rPr>
                <w:rFonts w:ascii="Arial" w:cs="Arial" w:eastAsia="Arial" w:hAnsi="Arial"/>
                <w:sz w:val="14"/>
                <w:szCs w:val="14"/>
                <w:b w:val="1"/>
                <w:bCs w:val="1"/>
                <w:color w:val="auto"/>
                <w:w w:val="92"/>
              </w:rPr>
              <w:t>June 27,</w:t>
            </w:r>
          </w:p>
        </w:tc>
      </w:tr>
      <w:tr>
        <w:trPr>
          <w:trHeight w:val="188"/>
        </w:trPr>
        <w:tc>
          <w:tcPr>
            <w:tcW w:w="502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2020</w:t>
            </w:r>
          </w:p>
        </w:tc>
      </w:tr>
      <w:tr>
        <w:trPr>
          <w:trHeight w:val="224"/>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Write off of debt issuance costs</w:t>
            </w:r>
          </w:p>
        </w:tc>
        <w:tc>
          <w:tcPr>
            <w:tcW w:w="980" w:type="dxa"/>
            <w:vAlign w:val="bottom"/>
            <w:shd w:val="clear" w:color="auto" w:fill="CCEEFF"/>
          </w:tcPr>
          <w:p>
            <w:pPr>
              <w:jc w:val="right"/>
              <w:ind w:right="797"/>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r>
      <w:tr>
        <w:trPr>
          <w:trHeight w:val="230"/>
        </w:trPr>
        <w:tc>
          <w:tcPr>
            <w:tcW w:w="5020" w:type="dxa"/>
            <w:vAlign w:val="bottom"/>
          </w:tcPr>
          <w:p>
            <w:pPr>
              <w:ind w:left="20"/>
              <w:spacing w:after="0"/>
              <w:rPr>
                <w:sz w:val="20"/>
                <w:szCs w:val="20"/>
                <w:color w:val="auto"/>
              </w:rPr>
            </w:pPr>
            <w:r>
              <w:rPr>
                <w:rFonts w:ascii="Arial" w:cs="Arial" w:eastAsia="Arial" w:hAnsi="Arial"/>
                <w:sz w:val="18"/>
                <w:szCs w:val="18"/>
                <w:color w:val="auto"/>
              </w:rPr>
              <w:t>Debt modification costs</w:t>
            </w:r>
          </w:p>
        </w:tc>
        <w:tc>
          <w:tcPr>
            <w:tcW w:w="980" w:type="dxa"/>
            <w:vAlign w:val="bottom"/>
          </w:tcPr>
          <w:p>
            <w:pPr>
              <w:spacing w:after="0"/>
              <w:rPr>
                <w:sz w:val="19"/>
                <w:szCs w:val="19"/>
                <w:color w:val="auto"/>
              </w:rPr>
            </w:pPr>
          </w:p>
        </w:tc>
        <w:tc>
          <w:tcPr>
            <w:tcW w:w="6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12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6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124</w:t>
            </w:r>
          </w:p>
        </w:tc>
      </w:tr>
      <w:tr>
        <w:trPr>
          <w:trHeight w:val="248"/>
        </w:trPr>
        <w:tc>
          <w:tcPr>
            <w:tcW w:w="502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Debt extinguishment and modification costs</w:t>
            </w:r>
          </w:p>
        </w:tc>
        <w:tc>
          <w:tcPr>
            <w:tcW w:w="980" w:type="dxa"/>
            <w:vAlign w:val="bottom"/>
            <w:tcBorders>
              <w:top w:val="single" w:sz="8" w:color="auto"/>
              <w:bottom w:val="single" w:sz="8" w:color="auto"/>
            </w:tcBorders>
            <w:shd w:val="clear" w:color="auto" w:fill="CCEEFF"/>
          </w:tcPr>
          <w:p>
            <w:pPr>
              <w:jc w:val="right"/>
              <w:ind w:right="797"/>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960"/>
        </w:trPr>
        <w:tc>
          <w:tcPr>
            <w:tcW w:w="5020" w:type="dxa"/>
            <w:vAlign w:val="bottom"/>
          </w:tcPr>
          <w:p>
            <w:pPr>
              <w:spacing w:after="0"/>
              <w:rPr>
                <w:sz w:val="24"/>
                <w:szCs w:val="24"/>
                <w:color w:val="auto"/>
              </w:rPr>
            </w:pPr>
          </w:p>
        </w:tc>
        <w:tc>
          <w:tcPr>
            <w:tcW w:w="980" w:type="dxa"/>
            <w:vAlign w:val="bottom"/>
          </w:tcPr>
          <w:p>
            <w:pPr>
              <w:jc w:val="right"/>
              <w:ind w:right="197"/>
              <w:spacing w:after="0"/>
              <w:rPr>
                <w:sz w:val="20"/>
                <w:szCs w:val="20"/>
                <w:color w:val="auto"/>
              </w:rPr>
            </w:pPr>
            <w:r>
              <w:rPr>
                <w:rFonts w:ascii="Arial" w:cs="Arial" w:eastAsia="Arial" w:hAnsi="Arial"/>
                <w:sz w:val="18"/>
                <w:szCs w:val="18"/>
                <w:color w:val="auto"/>
              </w:rPr>
              <w:t>15</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15"/>
        </w:trPr>
        <w:tc>
          <w:tcPr>
            <w:tcW w:w="50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14"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Share-based Awards</w:t>
      </w:r>
    </w:p>
    <w:p>
      <w:pPr>
        <w:spacing w:after="0" w:line="17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For a discussion of our share-based incentive plans, refer to NOTE 7 —Share-based Awards of our Annual Report on Form 10-K for the fiscal year ended January 2, 2021 filed with the SEC on March 2, 2021.</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Grant Activity</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stock option activity under all equity incentive plans during the 26 weeks ended July 3, 2021:</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80" w:type="dxa"/>
            <w:vAlign w:val="bottom"/>
          </w:tcPr>
          <w:p>
            <w:pPr>
              <w:spacing w:after="0"/>
              <w:rPr>
                <w:sz w:val="16"/>
                <w:szCs w:val="16"/>
                <w:color w:val="auto"/>
              </w:rPr>
            </w:pPr>
          </w:p>
        </w:tc>
        <w:tc>
          <w:tcPr>
            <w:tcW w:w="3180" w:type="dxa"/>
            <w:vAlign w:val="bottom"/>
            <w:gridSpan w:val="5"/>
          </w:tcPr>
          <w:p>
            <w:pPr>
              <w:ind w:left="720"/>
              <w:spacing w:after="0"/>
              <w:rPr>
                <w:sz w:val="20"/>
                <w:szCs w:val="20"/>
                <w:color w:val="auto"/>
              </w:rPr>
            </w:pPr>
            <w:r>
              <w:rPr>
                <w:rFonts w:ascii="Arial" w:cs="Arial" w:eastAsia="Arial" w:hAnsi="Arial"/>
                <w:sz w:val="14"/>
                <w:szCs w:val="14"/>
                <w:b w:val="1"/>
                <w:bCs w:val="1"/>
                <w:color w:val="auto"/>
              </w:rPr>
              <w:t>Time-Based Stock Options</w:t>
            </w:r>
          </w:p>
        </w:tc>
        <w:tc>
          <w:tcPr>
            <w:tcW w:w="3080" w:type="dxa"/>
            <w:vAlign w:val="bottom"/>
            <w:gridSpan w:val="4"/>
          </w:tcPr>
          <w:p>
            <w:pPr>
              <w:jc w:val="right"/>
              <w:ind w:right="395"/>
              <w:spacing w:after="0"/>
              <w:rPr>
                <w:sz w:val="20"/>
                <w:szCs w:val="20"/>
                <w:color w:val="auto"/>
              </w:rPr>
            </w:pPr>
            <w:r>
              <w:rPr>
                <w:rFonts w:ascii="Arial" w:cs="Arial" w:eastAsia="Arial" w:hAnsi="Arial"/>
                <w:sz w:val="14"/>
                <w:szCs w:val="14"/>
                <w:b w:val="1"/>
                <w:bCs w:val="1"/>
                <w:color w:val="auto"/>
              </w:rPr>
              <w:t>Performance-Based Stock Options</w:t>
            </w:r>
          </w:p>
        </w:tc>
        <w:tc>
          <w:tcPr>
            <w:tcW w:w="0" w:type="dxa"/>
            <w:vAlign w:val="bottom"/>
          </w:tcPr>
          <w:p>
            <w:pPr>
              <w:spacing w:after="0"/>
              <w:rPr>
                <w:sz w:val="1"/>
                <w:szCs w:val="1"/>
                <w:color w:val="auto"/>
              </w:rPr>
            </w:pPr>
          </w:p>
        </w:tc>
      </w:tr>
      <w:tr>
        <w:trPr>
          <w:trHeight w:val="134"/>
        </w:trPr>
        <w:tc>
          <w:tcPr>
            <w:tcW w:w="4980" w:type="dxa"/>
            <w:vAlign w:val="bottom"/>
          </w:tcPr>
          <w:p>
            <w:pPr>
              <w:spacing w:after="0"/>
              <w:rPr>
                <w:sz w:val="11"/>
                <w:szCs w:val="11"/>
                <w:color w:val="auto"/>
              </w:rPr>
            </w:pPr>
          </w:p>
        </w:tc>
        <w:tc>
          <w:tcPr>
            <w:tcW w:w="1500" w:type="dxa"/>
            <w:vAlign w:val="bottom"/>
            <w:tcBorders>
              <w:top w:val="single" w:sz="8" w:color="auto"/>
            </w:tcBorders>
            <w:vMerge w:val="restart"/>
          </w:tcPr>
          <w:p>
            <w:pPr>
              <w:jc w:val="right"/>
              <w:ind w:right="75"/>
              <w:spacing w:after="0"/>
              <w:rPr>
                <w:sz w:val="20"/>
                <w:szCs w:val="20"/>
                <w:color w:val="auto"/>
              </w:rPr>
            </w:pPr>
            <w:r>
              <w:rPr>
                <w:rFonts w:ascii="Arial" w:cs="Arial" w:eastAsia="Arial" w:hAnsi="Arial"/>
                <w:sz w:val="14"/>
                <w:szCs w:val="14"/>
                <w:b w:val="1"/>
                <w:bCs w:val="1"/>
                <w:color w:val="auto"/>
              </w:rPr>
              <w:t>Number of Options</w:t>
            </w:r>
          </w:p>
        </w:tc>
        <w:tc>
          <w:tcPr>
            <w:tcW w:w="1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tcPr>
          <w:p>
            <w:pPr>
              <w:jc w:val="center"/>
              <w:ind w:right="95"/>
              <w:spacing w:after="0" w:line="135" w:lineRule="exact"/>
              <w:rPr>
                <w:sz w:val="20"/>
                <w:szCs w:val="20"/>
                <w:color w:val="auto"/>
              </w:rPr>
            </w:pPr>
            <w:r>
              <w:rPr>
                <w:rFonts w:ascii="Arial" w:cs="Arial" w:eastAsia="Arial" w:hAnsi="Arial"/>
                <w:sz w:val="14"/>
                <w:szCs w:val="14"/>
                <w:b w:val="1"/>
                <w:bCs w:val="1"/>
                <w:color w:val="auto"/>
                <w:w w:val="91"/>
              </w:rPr>
              <w:t>Weighted-Average</w:t>
            </w:r>
          </w:p>
        </w:tc>
        <w:tc>
          <w:tcPr>
            <w:tcW w:w="100" w:type="dxa"/>
            <w:vAlign w:val="bottom"/>
          </w:tcPr>
          <w:p>
            <w:pPr>
              <w:spacing w:after="0"/>
              <w:rPr>
                <w:sz w:val="11"/>
                <w:szCs w:val="11"/>
                <w:color w:val="auto"/>
              </w:rPr>
            </w:pPr>
          </w:p>
        </w:tc>
        <w:tc>
          <w:tcPr>
            <w:tcW w:w="1480" w:type="dxa"/>
            <w:vAlign w:val="bottom"/>
            <w:tcBorders>
              <w:top w:val="single" w:sz="8" w:color="auto"/>
            </w:tcBorders>
            <w:vMerge w:val="restart"/>
          </w:tcPr>
          <w:p>
            <w:pPr>
              <w:jc w:val="right"/>
              <w:ind w:right="55"/>
              <w:spacing w:after="0"/>
              <w:rPr>
                <w:sz w:val="20"/>
                <w:szCs w:val="20"/>
                <w:color w:val="auto"/>
              </w:rPr>
            </w:pPr>
            <w:r>
              <w:rPr>
                <w:rFonts w:ascii="Arial" w:cs="Arial" w:eastAsia="Arial" w:hAnsi="Arial"/>
                <w:sz w:val="14"/>
                <w:szCs w:val="14"/>
                <w:b w:val="1"/>
                <w:bCs w:val="1"/>
                <w:color w:val="auto"/>
              </w:rPr>
              <w:t>Number of Options</w:t>
            </w:r>
          </w:p>
        </w:tc>
        <w:tc>
          <w:tcPr>
            <w:tcW w:w="1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360" w:type="dxa"/>
            <w:vAlign w:val="bottom"/>
            <w:tcBorders>
              <w:top w:val="single" w:sz="8" w:color="auto"/>
            </w:tcBorders>
          </w:tcPr>
          <w:p>
            <w:pPr>
              <w:jc w:val="right"/>
              <w:ind w:right="115"/>
              <w:spacing w:after="0" w:line="135" w:lineRule="exact"/>
              <w:rPr>
                <w:sz w:val="20"/>
                <w:szCs w:val="20"/>
                <w:color w:val="auto"/>
              </w:rPr>
            </w:pPr>
            <w:r>
              <w:rPr>
                <w:rFonts w:ascii="Arial" w:cs="Arial" w:eastAsia="Arial" w:hAnsi="Arial"/>
                <w:sz w:val="14"/>
                <w:szCs w:val="14"/>
                <w:b w:val="1"/>
                <w:bCs w:val="1"/>
                <w:color w:val="auto"/>
                <w:w w:val="92"/>
              </w:rPr>
              <w:t>Weighted-Average</w:t>
            </w:r>
          </w:p>
        </w:tc>
        <w:tc>
          <w:tcPr>
            <w:tcW w:w="0" w:type="dxa"/>
            <w:vAlign w:val="bottom"/>
          </w:tcPr>
          <w:p>
            <w:pPr>
              <w:spacing w:after="0"/>
              <w:rPr>
                <w:sz w:val="1"/>
                <w:szCs w:val="1"/>
                <w:color w:val="auto"/>
              </w:rPr>
            </w:pPr>
          </w:p>
        </w:tc>
      </w:tr>
      <w:tr>
        <w:trPr>
          <w:trHeight w:val="188"/>
        </w:trPr>
        <w:tc>
          <w:tcPr>
            <w:tcW w:w="4980" w:type="dxa"/>
            <w:vAlign w:val="bottom"/>
          </w:tcPr>
          <w:p>
            <w:pPr>
              <w:spacing w:after="0"/>
              <w:rPr>
                <w:sz w:val="16"/>
                <w:szCs w:val="16"/>
                <w:color w:val="auto"/>
              </w:rPr>
            </w:pPr>
          </w:p>
        </w:tc>
        <w:tc>
          <w:tcPr>
            <w:tcW w:w="15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Exercise Price</w:t>
            </w:r>
          </w:p>
        </w:tc>
        <w:tc>
          <w:tcPr>
            <w:tcW w:w="14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jc w:val="right"/>
              <w:ind w:right="215"/>
              <w:spacing w:after="0"/>
              <w:rPr>
                <w:sz w:val="20"/>
                <w:szCs w:val="20"/>
                <w:color w:val="auto"/>
              </w:rPr>
            </w:pPr>
            <w:r>
              <w:rPr>
                <w:rFonts w:ascii="Arial" w:cs="Arial" w:eastAsia="Arial" w:hAnsi="Arial"/>
                <w:sz w:val="14"/>
                <w:szCs w:val="14"/>
                <w:b w:val="1"/>
                <w:bCs w:val="1"/>
                <w:color w:val="auto"/>
              </w:rPr>
              <w:t>Exercise Price</w:t>
            </w:r>
          </w:p>
        </w:tc>
        <w:tc>
          <w:tcPr>
            <w:tcW w:w="0" w:type="dxa"/>
            <w:vAlign w:val="bottom"/>
          </w:tcPr>
          <w:p>
            <w:pPr>
              <w:spacing w:after="0"/>
              <w:rPr>
                <w:sz w:val="1"/>
                <w:szCs w:val="1"/>
                <w:color w:val="auto"/>
              </w:rPr>
            </w:pPr>
          </w:p>
        </w:tc>
      </w:tr>
      <w:tr>
        <w:trPr>
          <w:trHeight w:val="224"/>
        </w:trPr>
        <w:tc>
          <w:tcPr>
            <w:tcW w:w="4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Options outstanding as of January 2, 2021</w:t>
            </w:r>
          </w:p>
        </w:tc>
        <w:tc>
          <w:tcPr>
            <w:tcW w:w="1500" w:type="dxa"/>
            <w:vAlign w:val="bottom"/>
            <w:tcBorders>
              <w:top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3,864,772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12.42</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2,325,580</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4.54</w:t>
            </w:r>
          </w:p>
        </w:tc>
        <w:tc>
          <w:tcPr>
            <w:tcW w:w="0" w:type="dxa"/>
            <w:vAlign w:val="bottom"/>
          </w:tcPr>
          <w:p>
            <w:pPr>
              <w:spacing w:after="0"/>
              <w:rPr>
                <w:sz w:val="1"/>
                <w:szCs w:val="1"/>
                <w:color w:val="auto"/>
              </w:rPr>
            </w:pPr>
          </w:p>
        </w:tc>
      </w:tr>
      <w:tr>
        <w:trPr>
          <w:trHeight w:val="229"/>
        </w:trPr>
        <w:tc>
          <w:tcPr>
            <w:tcW w:w="4980" w:type="dxa"/>
            <w:vAlign w:val="bottom"/>
          </w:tcPr>
          <w:p>
            <w:pPr>
              <w:ind w:left="140"/>
              <w:spacing w:after="0"/>
              <w:rPr>
                <w:sz w:val="20"/>
                <w:szCs w:val="20"/>
                <w:color w:val="auto"/>
              </w:rPr>
            </w:pPr>
            <w:r>
              <w:rPr>
                <w:rFonts w:ascii="Arial" w:cs="Arial" w:eastAsia="Arial" w:hAnsi="Arial"/>
                <w:sz w:val="18"/>
                <w:szCs w:val="18"/>
                <w:color w:val="auto"/>
              </w:rPr>
              <w:t>Exercised</w:t>
            </w:r>
          </w:p>
        </w:tc>
        <w:tc>
          <w:tcPr>
            <w:tcW w:w="1500" w:type="dxa"/>
            <w:vAlign w:val="bottom"/>
          </w:tcPr>
          <w:p>
            <w:pPr>
              <w:jc w:val="right"/>
              <w:ind w:right="55"/>
              <w:spacing w:after="0"/>
              <w:rPr>
                <w:sz w:val="20"/>
                <w:szCs w:val="20"/>
                <w:color w:val="auto"/>
              </w:rPr>
            </w:pPr>
            <w:r>
              <w:rPr>
                <w:rFonts w:ascii="Arial" w:cs="Arial" w:eastAsia="Arial" w:hAnsi="Arial"/>
                <w:sz w:val="18"/>
                <w:szCs w:val="18"/>
                <w:color w:val="auto"/>
              </w:rPr>
              <w:t>(371,294)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ind w:right="55"/>
              <w:spacing w:after="0"/>
              <w:rPr>
                <w:sz w:val="20"/>
                <w:szCs w:val="20"/>
                <w:color w:val="auto"/>
              </w:rPr>
            </w:pPr>
            <w:r>
              <w:rPr>
                <w:rFonts w:ascii="Arial" w:cs="Arial" w:eastAsia="Arial" w:hAnsi="Arial"/>
                <w:sz w:val="18"/>
                <w:szCs w:val="18"/>
                <w:color w:val="auto"/>
              </w:rPr>
              <w:t>7.49</w:t>
            </w:r>
          </w:p>
        </w:tc>
        <w:tc>
          <w:tcPr>
            <w:tcW w:w="100" w:type="dxa"/>
            <w:vAlign w:val="bottom"/>
          </w:tcPr>
          <w:p>
            <w:pPr>
              <w:spacing w:after="0"/>
              <w:rPr>
                <w:sz w:val="19"/>
                <w:szCs w:val="19"/>
                <w:color w:val="auto"/>
              </w:rPr>
            </w:pPr>
          </w:p>
        </w:tc>
        <w:tc>
          <w:tcPr>
            <w:tcW w:w="1480" w:type="dxa"/>
            <w:vAlign w:val="bottom"/>
          </w:tcPr>
          <w:p>
            <w:pPr>
              <w:jc w:val="right"/>
              <w:ind w:right="55"/>
              <w:spacing w:after="0"/>
              <w:rPr>
                <w:sz w:val="20"/>
                <w:szCs w:val="20"/>
                <w:color w:val="auto"/>
              </w:rPr>
            </w:pPr>
            <w:r>
              <w:rPr>
                <w:rFonts w:ascii="Arial" w:cs="Arial" w:eastAsia="Arial" w:hAnsi="Arial"/>
                <w:sz w:val="18"/>
                <w:szCs w:val="18"/>
                <w:color w:val="auto"/>
              </w:rPr>
              <w:t>(493,408)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ind w:right="55"/>
              <w:spacing w:after="0"/>
              <w:rPr>
                <w:sz w:val="20"/>
                <w:szCs w:val="20"/>
                <w:color w:val="auto"/>
              </w:rPr>
            </w:pPr>
            <w:r>
              <w:rPr>
                <w:rFonts w:ascii="Arial" w:cs="Arial" w:eastAsia="Arial" w:hAnsi="Arial"/>
                <w:sz w:val="18"/>
                <w:szCs w:val="18"/>
                <w:color w:val="auto"/>
              </w:rPr>
              <w:t>4.21</w:t>
            </w:r>
          </w:p>
        </w:tc>
        <w:tc>
          <w:tcPr>
            <w:tcW w:w="0" w:type="dxa"/>
            <w:vAlign w:val="bottom"/>
          </w:tcPr>
          <w:p>
            <w:pPr>
              <w:spacing w:after="0"/>
              <w:rPr>
                <w:sz w:val="1"/>
                <w:szCs w:val="1"/>
                <w:color w:val="auto"/>
              </w:rPr>
            </w:pPr>
          </w:p>
        </w:tc>
      </w:tr>
      <w:tr>
        <w:trPr>
          <w:trHeight w:val="230"/>
        </w:trPr>
        <w:tc>
          <w:tcPr>
            <w:tcW w:w="4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Forfeitures</w:t>
            </w:r>
          </w:p>
        </w:tc>
        <w:tc>
          <w:tcPr>
            <w:tcW w:w="150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(114,621)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20.39</w:t>
            </w:r>
          </w:p>
        </w:tc>
        <w:tc>
          <w:tcPr>
            <w:tcW w:w="100" w:type="dxa"/>
            <w:vAlign w:val="bottom"/>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980" w:type="dxa"/>
            <w:vAlign w:val="bottom"/>
          </w:tcPr>
          <w:p>
            <w:pPr>
              <w:ind w:left="20"/>
              <w:spacing w:after="0"/>
              <w:rPr>
                <w:sz w:val="20"/>
                <w:szCs w:val="20"/>
                <w:color w:val="auto"/>
              </w:rPr>
            </w:pPr>
            <w:r>
              <w:rPr>
                <w:rFonts w:ascii="Arial" w:cs="Arial" w:eastAsia="Arial" w:hAnsi="Arial"/>
                <w:sz w:val="18"/>
                <w:szCs w:val="18"/>
                <w:color w:val="auto"/>
              </w:rPr>
              <w:t>Options outstanding as of July 3, 2021</w:t>
            </w:r>
          </w:p>
        </w:tc>
        <w:tc>
          <w:tcPr>
            <w:tcW w:w="150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3,378,857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55"/>
              <w:spacing w:after="0"/>
              <w:rPr>
                <w:sz w:val="20"/>
                <w:szCs w:val="20"/>
                <w:color w:val="auto"/>
              </w:rPr>
            </w:pPr>
            <w:r>
              <w:rPr>
                <w:rFonts w:ascii="Arial" w:cs="Arial" w:eastAsia="Arial" w:hAnsi="Arial"/>
                <w:sz w:val="18"/>
                <w:szCs w:val="18"/>
                <w:color w:val="auto"/>
              </w:rPr>
              <w:t>12.69</w:t>
            </w:r>
          </w:p>
        </w:tc>
        <w:tc>
          <w:tcPr>
            <w:tcW w:w="100" w:type="dxa"/>
            <w:vAlign w:val="bottom"/>
          </w:tcPr>
          <w:p>
            <w:pPr>
              <w:spacing w:after="0"/>
              <w:rPr>
                <w:sz w:val="19"/>
                <w:szCs w:val="19"/>
                <w:color w:val="auto"/>
              </w:rPr>
            </w:pPr>
          </w:p>
        </w:tc>
        <w:tc>
          <w:tcPr>
            <w:tcW w:w="148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1,832,172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55"/>
              <w:spacing w:after="0"/>
              <w:rPr>
                <w:sz w:val="20"/>
                <w:szCs w:val="20"/>
                <w:color w:val="auto"/>
              </w:rPr>
            </w:pPr>
            <w:r>
              <w:rPr>
                <w:rFonts w:ascii="Arial" w:cs="Arial" w:eastAsia="Arial" w:hAnsi="Arial"/>
                <w:sz w:val="18"/>
                <w:szCs w:val="18"/>
                <w:color w:val="auto"/>
              </w:rPr>
              <w:t>4.62</w:t>
            </w:r>
          </w:p>
        </w:tc>
        <w:tc>
          <w:tcPr>
            <w:tcW w:w="0" w:type="dxa"/>
            <w:vAlign w:val="bottom"/>
          </w:tcPr>
          <w:p>
            <w:pPr>
              <w:spacing w:after="0"/>
              <w:rPr>
                <w:sz w:val="1"/>
                <w:szCs w:val="1"/>
                <w:color w:val="auto"/>
              </w:rPr>
            </w:pPr>
          </w:p>
        </w:tc>
      </w:tr>
      <w:tr>
        <w:trPr>
          <w:trHeight w:val="20"/>
        </w:trPr>
        <w:tc>
          <w:tcPr>
            <w:tcW w:w="498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Options vested and exercisable as of July 3, 2021</w:t>
            </w:r>
          </w:p>
        </w:tc>
        <w:tc>
          <w:tcPr>
            <w:tcW w:w="150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2,010,885</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7.58</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1,832,172</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4.62</w:t>
            </w:r>
          </w:p>
        </w:tc>
        <w:tc>
          <w:tcPr>
            <w:tcW w:w="0" w:type="dxa"/>
            <w:vAlign w:val="bottom"/>
          </w:tcPr>
          <w:p>
            <w:pPr>
              <w:spacing w:after="0"/>
              <w:rPr>
                <w:sz w:val="1"/>
                <w:szCs w:val="1"/>
                <w:color w:val="auto"/>
              </w:rPr>
            </w:pP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following table summarizes restricted stock unit ("RSU") activity under all equity incentive plans during the 26 weeks ended July 3, 2021:</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60" w:type="dxa"/>
            <w:vAlign w:val="bottom"/>
          </w:tcPr>
          <w:p>
            <w:pPr>
              <w:spacing w:after="0"/>
              <w:rPr>
                <w:sz w:val="14"/>
                <w:szCs w:val="14"/>
                <w:color w:val="auto"/>
              </w:rPr>
            </w:pPr>
          </w:p>
        </w:tc>
        <w:tc>
          <w:tcPr>
            <w:tcW w:w="148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Number of Shares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jc w:val="right"/>
              <w:ind w:right="113"/>
              <w:spacing w:after="0"/>
              <w:rPr>
                <w:sz w:val="20"/>
                <w:szCs w:val="20"/>
                <w:color w:val="auto"/>
              </w:rPr>
            </w:pPr>
            <w:r>
              <w:rPr>
                <w:rFonts w:ascii="Arial" w:cs="Arial" w:eastAsia="Arial" w:hAnsi="Arial"/>
                <w:sz w:val="14"/>
                <w:szCs w:val="14"/>
                <w:b w:val="1"/>
                <w:bCs w:val="1"/>
                <w:color w:val="auto"/>
                <w:w w:val="92"/>
              </w:rPr>
              <w:t>Weighted-Average</w:t>
            </w:r>
          </w:p>
        </w:tc>
        <w:tc>
          <w:tcPr>
            <w:tcW w:w="0" w:type="dxa"/>
            <w:vAlign w:val="bottom"/>
          </w:tcPr>
          <w:p>
            <w:pPr>
              <w:spacing w:after="0"/>
              <w:rPr>
                <w:sz w:val="1"/>
                <w:szCs w:val="1"/>
                <w:color w:val="auto"/>
              </w:rPr>
            </w:pPr>
          </w:p>
        </w:tc>
      </w:tr>
      <w:tr>
        <w:trPr>
          <w:trHeight w:val="188"/>
        </w:trPr>
        <w:tc>
          <w:tcPr>
            <w:tcW w:w="816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8"/>
              </w:rPr>
              <w:t>Grant Date Fair Value</w:t>
            </w:r>
          </w:p>
        </w:tc>
        <w:tc>
          <w:tcPr>
            <w:tcW w:w="0" w:type="dxa"/>
            <w:vAlign w:val="bottom"/>
          </w:tcPr>
          <w:p>
            <w:pPr>
              <w:spacing w:after="0"/>
              <w:rPr>
                <w:sz w:val="1"/>
                <w:szCs w:val="1"/>
                <w:color w:val="auto"/>
              </w:rPr>
            </w:pPr>
          </w:p>
        </w:tc>
      </w:tr>
      <w:tr>
        <w:trPr>
          <w:trHeight w:val="224"/>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balance as of January 2, 2021</w:t>
            </w:r>
          </w:p>
        </w:tc>
        <w:tc>
          <w:tcPr>
            <w:tcW w:w="1480" w:type="dxa"/>
            <w:vAlign w:val="bottom"/>
            <w:shd w:val="clear" w:color="auto" w:fill="CCEEFF"/>
          </w:tcPr>
          <w:p>
            <w:pPr>
              <w:ind w:left="840"/>
              <w:spacing w:after="0"/>
              <w:rPr>
                <w:sz w:val="20"/>
                <w:szCs w:val="20"/>
                <w:color w:val="auto"/>
              </w:rPr>
            </w:pPr>
            <w:r>
              <w:rPr>
                <w:rFonts w:ascii="Arial" w:cs="Arial" w:eastAsia="Arial" w:hAnsi="Arial"/>
                <w:sz w:val="18"/>
                <w:szCs w:val="18"/>
                <w:color w:val="auto"/>
                <w:w w:val="95"/>
              </w:rPr>
              <w:t>341,842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35.16</w:t>
            </w:r>
          </w:p>
        </w:tc>
        <w:tc>
          <w:tcPr>
            <w:tcW w:w="0" w:type="dxa"/>
            <w:vAlign w:val="bottom"/>
          </w:tcPr>
          <w:p>
            <w:pPr>
              <w:spacing w:after="0"/>
              <w:rPr>
                <w:sz w:val="1"/>
                <w:szCs w:val="1"/>
                <w:color w:val="auto"/>
              </w:rPr>
            </w:pPr>
          </w:p>
        </w:tc>
      </w:tr>
      <w:tr>
        <w:trPr>
          <w:trHeight w:val="229"/>
        </w:trPr>
        <w:tc>
          <w:tcPr>
            <w:tcW w:w="8160" w:type="dxa"/>
            <w:vAlign w:val="bottom"/>
          </w:tcPr>
          <w:p>
            <w:pPr>
              <w:ind w:left="140"/>
              <w:spacing w:after="0"/>
              <w:rPr>
                <w:sz w:val="20"/>
                <w:szCs w:val="20"/>
                <w:color w:val="auto"/>
              </w:rPr>
            </w:pPr>
            <w:r>
              <w:rPr>
                <w:rFonts w:ascii="Arial" w:cs="Arial" w:eastAsia="Arial" w:hAnsi="Arial"/>
                <w:sz w:val="18"/>
                <w:szCs w:val="18"/>
                <w:color w:val="auto"/>
              </w:rPr>
              <w:t>Granted</w:t>
            </w:r>
          </w:p>
        </w:tc>
        <w:tc>
          <w:tcPr>
            <w:tcW w:w="1480" w:type="dxa"/>
            <w:vAlign w:val="bottom"/>
          </w:tcPr>
          <w:p>
            <w:pPr>
              <w:ind w:left="840"/>
              <w:spacing w:after="0"/>
              <w:rPr>
                <w:sz w:val="20"/>
                <w:szCs w:val="20"/>
                <w:color w:val="auto"/>
              </w:rPr>
            </w:pPr>
            <w:r>
              <w:rPr>
                <w:rFonts w:ascii="Arial" w:cs="Arial" w:eastAsia="Arial" w:hAnsi="Arial"/>
                <w:sz w:val="18"/>
                <w:szCs w:val="18"/>
                <w:color w:val="auto"/>
                <w:w w:val="95"/>
              </w:rPr>
              <w:t>324,832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35.46</w:t>
            </w:r>
          </w:p>
        </w:tc>
        <w:tc>
          <w:tcPr>
            <w:tcW w:w="0" w:type="dxa"/>
            <w:vAlign w:val="bottom"/>
          </w:tcPr>
          <w:p>
            <w:pPr>
              <w:spacing w:after="0"/>
              <w:rPr>
                <w:sz w:val="1"/>
                <w:szCs w:val="1"/>
                <w:color w:val="auto"/>
              </w:rPr>
            </w:pPr>
          </w:p>
        </w:tc>
      </w:tr>
      <w:tr>
        <w:trPr>
          <w:trHeight w:val="230"/>
        </w:trPr>
        <w:tc>
          <w:tcPr>
            <w:tcW w:w="8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Vested</w:t>
            </w:r>
          </w:p>
        </w:tc>
        <w:tc>
          <w:tcPr>
            <w:tcW w:w="1480" w:type="dxa"/>
            <w:vAlign w:val="bottom"/>
            <w:shd w:val="clear" w:color="auto" w:fill="CCEEFF"/>
          </w:tcPr>
          <w:p>
            <w:pPr>
              <w:ind w:left="840"/>
              <w:spacing w:after="0"/>
              <w:rPr>
                <w:sz w:val="20"/>
                <w:szCs w:val="20"/>
                <w:color w:val="auto"/>
              </w:rPr>
            </w:pPr>
            <w:r>
              <w:rPr>
                <w:rFonts w:ascii="Arial" w:cs="Arial" w:eastAsia="Arial" w:hAnsi="Arial"/>
                <w:sz w:val="18"/>
                <w:szCs w:val="18"/>
                <w:color w:val="auto"/>
                <w:w w:val="92"/>
              </w:rPr>
              <w:t>(96,138)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36.91</w:t>
            </w:r>
          </w:p>
        </w:tc>
        <w:tc>
          <w:tcPr>
            <w:tcW w:w="0" w:type="dxa"/>
            <w:vAlign w:val="bottom"/>
          </w:tcPr>
          <w:p>
            <w:pPr>
              <w:spacing w:after="0"/>
              <w:rPr>
                <w:sz w:val="1"/>
                <w:szCs w:val="1"/>
                <w:color w:val="auto"/>
              </w:rPr>
            </w:pPr>
          </w:p>
        </w:tc>
      </w:tr>
      <w:tr>
        <w:trPr>
          <w:trHeight w:val="229"/>
        </w:trPr>
        <w:tc>
          <w:tcPr>
            <w:tcW w:w="81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Forfeitures</w:t>
            </w:r>
          </w:p>
        </w:tc>
        <w:tc>
          <w:tcPr>
            <w:tcW w:w="1480" w:type="dxa"/>
            <w:vAlign w:val="bottom"/>
            <w:tcBorders>
              <w:bottom w:val="single" w:sz="8" w:color="auto"/>
            </w:tcBorders>
          </w:tcPr>
          <w:p>
            <w:pPr>
              <w:ind w:left="840"/>
              <w:spacing w:after="0"/>
              <w:rPr>
                <w:sz w:val="20"/>
                <w:szCs w:val="20"/>
                <w:color w:val="auto"/>
              </w:rPr>
            </w:pPr>
            <w:r>
              <w:rPr>
                <w:rFonts w:ascii="Arial" w:cs="Arial" w:eastAsia="Arial" w:hAnsi="Arial"/>
                <w:sz w:val="18"/>
                <w:szCs w:val="18"/>
                <w:color w:val="auto"/>
                <w:w w:val="92"/>
              </w:rPr>
              <w:t>(23,894)</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35.09</w:t>
            </w:r>
          </w:p>
        </w:tc>
        <w:tc>
          <w:tcPr>
            <w:tcW w:w="0" w:type="dxa"/>
            <w:vAlign w:val="bottom"/>
          </w:tcPr>
          <w:p>
            <w:pPr>
              <w:spacing w:after="0"/>
              <w:rPr>
                <w:sz w:val="1"/>
                <w:szCs w:val="1"/>
                <w:color w:val="auto"/>
              </w:rPr>
            </w:pPr>
          </w:p>
        </w:tc>
      </w:tr>
      <w:tr>
        <w:trPr>
          <w:trHeight w:val="248"/>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balance as of July 3, 2021</w:t>
            </w:r>
          </w:p>
        </w:tc>
        <w:tc>
          <w:tcPr>
            <w:tcW w:w="1480" w:type="dxa"/>
            <w:vAlign w:val="bottom"/>
            <w:tcBorders>
              <w:bottom w:val="single" w:sz="8" w:color="auto"/>
            </w:tcBorders>
            <w:shd w:val="clear" w:color="auto" w:fill="CCEEFF"/>
          </w:tcPr>
          <w:p>
            <w:pPr>
              <w:ind w:left="840"/>
              <w:spacing w:after="0"/>
              <w:rPr>
                <w:sz w:val="20"/>
                <w:szCs w:val="20"/>
                <w:color w:val="auto"/>
              </w:rPr>
            </w:pPr>
            <w:r>
              <w:rPr>
                <w:rFonts w:ascii="Arial" w:cs="Arial" w:eastAsia="Arial" w:hAnsi="Arial"/>
                <w:sz w:val="18"/>
                <w:szCs w:val="18"/>
                <w:color w:val="auto"/>
                <w:w w:val="95"/>
              </w:rPr>
              <w:t>546,642</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35.03</w:t>
            </w:r>
          </w:p>
        </w:tc>
        <w:tc>
          <w:tcPr>
            <w:tcW w:w="0" w:type="dxa"/>
            <w:vAlign w:val="bottom"/>
          </w:tcPr>
          <w:p>
            <w:pPr>
              <w:spacing w:after="0"/>
              <w:rPr>
                <w:sz w:val="1"/>
                <w:szCs w:val="1"/>
                <w:color w:val="auto"/>
              </w:rPr>
            </w:pP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The following table summarizes performance-based restricted stock unit ("PSU") activity under the Grocery Outlet Holding Corp. 2019 Incentive Plan during the 26 weeks ended July 3, 2021:</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60" w:type="dxa"/>
            <w:vAlign w:val="bottom"/>
          </w:tcPr>
          <w:p>
            <w:pPr>
              <w:spacing w:after="0"/>
              <w:rPr>
                <w:sz w:val="14"/>
                <w:szCs w:val="14"/>
                <w:color w:val="auto"/>
              </w:rPr>
            </w:pPr>
          </w:p>
        </w:tc>
        <w:tc>
          <w:tcPr>
            <w:tcW w:w="148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Number of Shares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jc w:val="right"/>
              <w:ind w:right="114"/>
              <w:spacing w:after="0"/>
              <w:rPr>
                <w:sz w:val="20"/>
                <w:szCs w:val="20"/>
                <w:color w:val="auto"/>
              </w:rPr>
            </w:pPr>
            <w:r>
              <w:rPr>
                <w:rFonts w:ascii="Arial" w:cs="Arial" w:eastAsia="Arial" w:hAnsi="Arial"/>
                <w:sz w:val="14"/>
                <w:szCs w:val="14"/>
                <w:b w:val="1"/>
                <w:bCs w:val="1"/>
                <w:color w:val="auto"/>
                <w:w w:val="92"/>
              </w:rPr>
              <w:t>Weighted-Average</w:t>
            </w:r>
          </w:p>
        </w:tc>
        <w:tc>
          <w:tcPr>
            <w:tcW w:w="0" w:type="dxa"/>
            <w:vAlign w:val="bottom"/>
          </w:tcPr>
          <w:p>
            <w:pPr>
              <w:spacing w:after="0"/>
              <w:rPr>
                <w:sz w:val="1"/>
                <w:szCs w:val="1"/>
                <w:color w:val="auto"/>
              </w:rPr>
            </w:pPr>
          </w:p>
        </w:tc>
      </w:tr>
      <w:tr>
        <w:trPr>
          <w:trHeight w:val="188"/>
        </w:trPr>
        <w:tc>
          <w:tcPr>
            <w:tcW w:w="816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8"/>
              </w:rPr>
              <w:t>Grant Date Fair Value</w:t>
            </w:r>
          </w:p>
        </w:tc>
        <w:tc>
          <w:tcPr>
            <w:tcW w:w="0" w:type="dxa"/>
            <w:vAlign w:val="bottom"/>
          </w:tcPr>
          <w:p>
            <w:pPr>
              <w:spacing w:after="0"/>
              <w:rPr>
                <w:sz w:val="1"/>
                <w:szCs w:val="1"/>
                <w:color w:val="auto"/>
              </w:rPr>
            </w:pPr>
          </w:p>
        </w:tc>
      </w:tr>
      <w:tr>
        <w:trPr>
          <w:trHeight w:val="224"/>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balance as of January 2, 2021</w:t>
            </w:r>
          </w:p>
        </w:tc>
        <w:tc>
          <w:tcPr>
            <w:tcW w:w="1480" w:type="dxa"/>
            <w:vAlign w:val="bottom"/>
            <w:shd w:val="clear" w:color="auto" w:fill="CCEEFF"/>
          </w:tcPr>
          <w:p>
            <w:pPr>
              <w:ind w:left="840"/>
              <w:spacing w:after="0"/>
              <w:rPr>
                <w:sz w:val="20"/>
                <w:szCs w:val="20"/>
                <w:color w:val="auto"/>
              </w:rPr>
            </w:pPr>
            <w:r>
              <w:rPr>
                <w:rFonts w:ascii="Arial" w:cs="Arial" w:eastAsia="Arial" w:hAnsi="Arial"/>
                <w:sz w:val="18"/>
                <w:szCs w:val="18"/>
                <w:color w:val="auto"/>
                <w:w w:val="95"/>
              </w:rPr>
              <w:t>407,462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36.90</w:t>
            </w:r>
          </w:p>
        </w:tc>
        <w:tc>
          <w:tcPr>
            <w:tcW w:w="0" w:type="dxa"/>
            <w:vAlign w:val="bottom"/>
          </w:tcPr>
          <w:p>
            <w:pPr>
              <w:spacing w:after="0"/>
              <w:rPr>
                <w:sz w:val="1"/>
                <w:szCs w:val="1"/>
                <w:color w:val="auto"/>
              </w:rPr>
            </w:pPr>
          </w:p>
        </w:tc>
      </w:tr>
      <w:tr>
        <w:trPr>
          <w:trHeight w:val="230"/>
        </w:trPr>
        <w:tc>
          <w:tcPr>
            <w:tcW w:w="8160" w:type="dxa"/>
            <w:vAlign w:val="bottom"/>
          </w:tcPr>
          <w:p>
            <w:pPr>
              <w:ind w:left="140"/>
              <w:spacing w:after="0" w:line="230" w:lineRule="exact"/>
              <w:rPr>
                <w:sz w:val="20"/>
                <w:szCs w:val="20"/>
                <w:color w:val="auto"/>
              </w:rPr>
            </w:pPr>
            <w:r>
              <w:rPr>
                <w:rFonts w:ascii="Arial" w:cs="Arial" w:eastAsia="Arial" w:hAnsi="Arial"/>
                <w:sz w:val="18"/>
                <w:szCs w:val="18"/>
                <w:color w:val="auto"/>
              </w:rPr>
              <w:t xml:space="preserve">Granted </w:t>
            </w:r>
            <w:r>
              <w:rPr>
                <w:rFonts w:ascii="Arial" w:cs="Arial" w:eastAsia="Arial" w:hAnsi="Arial"/>
                <w:sz w:val="23"/>
                <w:szCs w:val="23"/>
                <w:color w:val="auto"/>
                <w:vertAlign w:val="superscript"/>
              </w:rPr>
              <w:t>(1)</w:t>
            </w:r>
          </w:p>
        </w:tc>
        <w:tc>
          <w:tcPr>
            <w:tcW w:w="1480" w:type="dxa"/>
            <w:vAlign w:val="bottom"/>
          </w:tcPr>
          <w:p>
            <w:pPr>
              <w:ind w:left="840"/>
              <w:spacing w:after="0"/>
              <w:rPr>
                <w:sz w:val="20"/>
                <w:szCs w:val="20"/>
                <w:color w:val="auto"/>
              </w:rPr>
            </w:pPr>
            <w:r>
              <w:rPr>
                <w:rFonts w:ascii="Arial" w:cs="Arial" w:eastAsia="Arial" w:hAnsi="Arial"/>
                <w:sz w:val="18"/>
                <w:szCs w:val="18"/>
                <w:color w:val="auto"/>
                <w:w w:val="95"/>
              </w:rPr>
              <w:t>319,606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35.45</w:t>
            </w:r>
          </w:p>
        </w:tc>
        <w:tc>
          <w:tcPr>
            <w:tcW w:w="0" w:type="dxa"/>
            <w:vAlign w:val="bottom"/>
          </w:tcPr>
          <w:p>
            <w:pPr>
              <w:spacing w:after="0"/>
              <w:rPr>
                <w:sz w:val="1"/>
                <w:szCs w:val="1"/>
                <w:color w:val="auto"/>
              </w:rPr>
            </w:pPr>
          </w:p>
        </w:tc>
      </w:tr>
      <w:tr>
        <w:trPr>
          <w:trHeight w:val="230"/>
        </w:trPr>
        <w:tc>
          <w:tcPr>
            <w:tcW w:w="8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Forfeitures</w:t>
            </w:r>
          </w:p>
        </w:tc>
        <w:tc>
          <w:tcPr>
            <w:tcW w:w="1480" w:type="dxa"/>
            <w:vAlign w:val="bottom"/>
            <w:tcBorders>
              <w:bottom w:val="single" w:sz="8" w:color="auto"/>
            </w:tcBorders>
            <w:shd w:val="clear" w:color="auto" w:fill="CCEEFF"/>
          </w:tcPr>
          <w:p>
            <w:pPr>
              <w:ind w:left="840"/>
              <w:spacing w:after="0"/>
              <w:rPr>
                <w:sz w:val="20"/>
                <w:szCs w:val="20"/>
                <w:color w:val="auto"/>
              </w:rPr>
            </w:pPr>
            <w:r>
              <w:rPr>
                <w:rFonts w:ascii="Arial" w:cs="Arial" w:eastAsia="Arial" w:hAnsi="Arial"/>
                <w:sz w:val="18"/>
                <w:szCs w:val="18"/>
                <w:color w:val="auto"/>
                <w:w w:val="92"/>
              </w:rPr>
              <w:t>(31,581)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36.76</w:t>
            </w:r>
          </w:p>
        </w:tc>
        <w:tc>
          <w:tcPr>
            <w:tcW w:w="0" w:type="dxa"/>
            <w:vAlign w:val="bottom"/>
          </w:tcPr>
          <w:p>
            <w:pPr>
              <w:spacing w:after="0"/>
              <w:rPr>
                <w:sz w:val="1"/>
                <w:szCs w:val="1"/>
                <w:color w:val="auto"/>
              </w:rPr>
            </w:pPr>
          </w:p>
        </w:tc>
      </w:tr>
      <w:tr>
        <w:trPr>
          <w:trHeight w:val="223"/>
        </w:trPr>
        <w:tc>
          <w:tcPr>
            <w:tcW w:w="8160" w:type="dxa"/>
            <w:vAlign w:val="bottom"/>
          </w:tcPr>
          <w:p>
            <w:pPr>
              <w:ind w:left="20"/>
              <w:spacing w:after="0" w:line="223" w:lineRule="exact"/>
              <w:rPr>
                <w:sz w:val="20"/>
                <w:szCs w:val="20"/>
                <w:color w:val="auto"/>
              </w:rPr>
            </w:pPr>
            <w:r>
              <w:rPr>
                <w:rFonts w:ascii="Arial" w:cs="Arial" w:eastAsia="Arial" w:hAnsi="Arial"/>
                <w:sz w:val="18"/>
                <w:szCs w:val="18"/>
                <w:color w:val="auto"/>
              </w:rPr>
              <w:t xml:space="preserve">Unvested balance as of July 3, 2021 </w:t>
            </w:r>
            <w:r>
              <w:rPr>
                <w:rFonts w:ascii="Arial" w:cs="Arial" w:eastAsia="Arial" w:hAnsi="Arial"/>
                <w:sz w:val="23"/>
                <w:szCs w:val="23"/>
                <w:color w:val="auto"/>
                <w:vertAlign w:val="superscript"/>
              </w:rPr>
              <w:t>(2)</w:t>
            </w:r>
          </w:p>
        </w:tc>
        <w:tc>
          <w:tcPr>
            <w:tcW w:w="1480" w:type="dxa"/>
            <w:vAlign w:val="bottom"/>
            <w:tcBorders>
              <w:bottom w:val="single" w:sz="8" w:color="auto"/>
            </w:tcBorders>
          </w:tcPr>
          <w:p>
            <w:pPr>
              <w:ind w:left="840"/>
              <w:spacing w:after="0"/>
              <w:rPr>
                <w:sz w:val="20"/>
                <w:szCs w:val="20"/>
                <w:color w:val="auto"/>
              </w:rPr>
            </w:pPr>
            <w:r>
              <w:rPr>
                <w:rFonts w:ascii="Arial" w:cs="Arial" w:eastAsia="Arial" w:hAnsi="Arial"/>
                <w:sz w:val="18"/>
                <w:szCs w:val="18"/>
                <w:color w:val="auto"/>
                <w:w w:val="95"/>
              </w:rPr>
              <w:t>695,487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36.24</w:t>
            </w:r>
          </w:p>
        </w:tc>
        <w:tc>
          <w:tcPr>
            <w:tcW w:w="0" w:type="dxa"/>
            <w:vAlign w:val="bottom"/>
          </w:tcPr>
          <w:p>
            <w:pPr>
              <w:spacing w:after="0"/>
              <w:rPr>
                <w:sz w:val="1"/>
                <w:szCs w:val="1"/>
                <w:color w:val="auto"/>
              </w:rPr>
            </w:pPr>
          </w:p>
        </w:tc>
      </w:tr>
      <w:tr>
        <w:trPr>
          <w:trHeight w:val="20"/>
        </w:trPr>
        <w:tc>
          <w:tcPr>
            <w:tcW w:w="816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25"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w:t>
      </w:r>
    </w:p>
    <w:p>
      <w:pPr>
        <w:spacing w:after="0" w:line="49" w:lineRule="exact"/>
        <w:rPr>
          <w:sz w:val="20"/>
          <w:szCs w:val="20"/>
          <w:color w:val="auto"/>
        </w:rPr>
      </w:pPr>
    </w:p>
    <w:p>
      <w:pPr>
        <w:ind w:left="500" w:hanging="492"/>
        <w:spacing w:after="0"/>
        <w:tabs>
          <w:tab w:leader="none" w:pos="500" w:val="left"/>
        </w:tabs>
        <w:numPr>
          <w:ilvl w:val="0"/>
          <w:numId w:val="6"/>
        </w:numPr>
        <w:rPr>
          <w:rFonts w:ascii="Arial" w:cs="Arial" w:eastAsia="Arial" w:hAnsi="Arial"/>
          <w:sz w:val="16"/>
          <w:szCs w:val="16"/>
          <w:color w:val="auto"/>
        </w:rPr>
      </w:pPr>
      <w:r>
        <w:rPr>
          <w:rFonts w:ascii="Arial" w:cs="Arial" w:eastAsia="Arial" w:hAnsi="Arial"/>
          <w:sz w:val="16"/>
          <w:szCs w:val="16"/>
          <w:color w:val="auto"/>
        </w:rPr>
        <w:t>Represents initial grant of PSUs based on performance target level achievement of 100%.</w:t>
      </w:r>
    </w:p>
    <w:p>
      <w:pPr>
        <w:spacing w:after="0" w:line="59" w:lineRule="exact"/>
        <w:rPr>
          <w:rFonts w:ascii="Arial" w:cs="Arial" w:eastAsia="Arial" w:hAnsi="Arial"/>
          <w:sz w:val="16"/>
          <w:szCs w:val="16"/>
          <w:color w:val="auto"/>
        </w:rPr>
      </w:pPr>
    </w:p>
    <w:p>
      <w:pPr>
        <w:ind w:left="500" w:hanging="492"/>
        <w:spacing w:after="0"/>
        <w:tabs>
          <w:tab w:leader="none" w:pos="500" w:val="left"/>
        </w:tabs>
        <w:numPr>
          <w:ilvl w:val="0"/>
          <w:numId w:val="6"/>
        </w:numPr>
        <w:rPr>
          <w:rFonts w:ascii="Arial" w:cs="Arial" w:eastAsia="Arial" w:hAnsi="Arial"/>
          <w:sz w:val="16"/>
          <w:szCs w:val="16"/>
          <w:color w:val="auto"/>
        </w:rPr>
      </w:pPr>
      <w:r>
        <w:rPr>
          <w:rFonts w:ascii="Arial" w:cs="Arial" w:eastAsia="Arial" w:hAnsi="Arial"/>
          <w:sz w:val="16"/>
          <w:szCs w:val="16"/>
          <w:color w:val="auto"/>
        </w:rPr>
        <w:t>An additional 443,008 PSUs could potentially be included if the maximum performance levels are reached for all PSUs outstanding as of July 3, 2021.</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4"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 Expense</w:t>
      </w:r>
    </w:p>
    <w:p>
      <w:pPr>
        <w:spacing w:after="0" w:line="117"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We recognize compensation expense for stock options, RSUs and PSUs by amortizing the grant date fair value on a straight-line basis over the expected vesting period to the extent we determine the vesting of the grant is probable. We recognize share-based award forfeitures in the period such forfeitures occur.</w:t>
      </w:r>
    </w:p>
    <w:p>
      <w:pPr>
        <w:spacing w:after="0" w:line="7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Share-based compensation expense consisted of the following (amounts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13 Weeks Ended</w:t>
            </w: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jc w:val="right"/>
              <w:ind w:right="875"/>
              <w:spacing w:after="0"/>
              <w:rPr>
                <w:sz w:val="20"/>
                <w:szCs w:val="20"/>
                <w:color w:val="auto"/>
              </w:rPr>
            </w:pPr>
            <w:r>
              <w:rPr>
                <w:rFonts w:ascii="Arial" w:cs="Arial" w:eastAsia="Arial" w:hAnsi="Arial"/>
                <w:sz w:val="14"/>
                <w:szCs w:val="14"/>
                <w:b w:val="1"/>
                <w:bCs w:val="1"/>
                <w:color w:val="auto"/>
              </w:rPr>
              <w:t>26 Weeks Ended</w:t>
            </w:r>
          </w:p>
        </w:tc>
      </w:tr>
      <w:tr>
        <w:trPr>
          <w:trHeight w:val="135"/>
        </w:trPr>
        <w:tc>
          <w:tcPr>
            <w:tcW w:w="5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60" w:type="dxa"/>
            <w:vAlign w:val="bottom"/>
            <w:gridSpan w:val="2"/>
          </w:tcPr>
          <w:p>
            <w:pPr>
              <w:ind w:left="200"/>
              <w:spacing w:after="0" w:line="135" w:lineRule="exact"/>
              <w:rPr>
                <w:sz w:val="20"/>
                <w:szCs w:val="20"/>
                <w:color w:val="auto"/>
              </w:rPr>
            </w:pPr>
            <w:r>
              <w:rPr>
                <w:rFonts w:ascii="Arial" w:cs="Arial" w:eastAsia="Arial" w:hAnsi="Arial"/>
                <w:sz w:val="14"/>
                <w:szCs w:val="14"/>
                <w:b w:val="1"/>
                <w:bCs w:val="1"/>
                <w:color w:val="auto"/>
              </w:rPr>
              <w:t>July 3,</w:t>
            </w:r>
          </w:p>
        </w:tc>
        <w:tc>
          <w:tcPr>
            <w:tcW w:w="460" w:type="dxa"/>
            <w:vAlign w:val="bottom"/>
          </w:tcPr>
          <w:p>
            <w:pPr>
              <w:spacing w:after="0"/>
              <w:rPr>
                <w:sz w:val="11"/>
                <w:szCs w:val="11"/>
                <w:color w:val="auto"/>
              </w:rPr>
            </w:pPr>
          </w:p>
        </w:tc>
        <w:tc>
          <w:tcPr>
            <w:tcW w:w="1020" w:type="dxa"/>
            <w:vAlign w:val="bottom"/>
          </w:tcPr>
          <w:p>
            <w:pPr>
              <w:jc w:val="right"/>
              <w:ind w:right="415"/>
              <w:spacing w:after="0" w:line="135" w:lineRule="exact"/>
              <w:rPr>
                <w:sz w:val="20"/>
                <w:szCs w:val="20"/>
                <w:color w:val="auto"/>
              </w:rPr>
            </w:pPr>
            <w:r>
              <w:rPr>
                <w:rFonts w:ascii="Arial" w:cs="Arial" w:eastAsia="Arial" w:hAnsi="Arial"/>
                <w:sz w:val="14"/>
                <w:szCs w:val="14"/>
                <w:b w:val="1"/>
                <w:bCs w:val="1"/>
                <w:color w:val="auto"/>
                <w:w w:val="89"/>
              </w:rPr>
              <w:t>June 27,</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20" w:type="dxa"/>
            <w:vAlign w:val="bottom"/>
            <w:gridSpan w:val="2"/>
          </w:tcPr>
          <w:p>
            <w:pPr>
              <w:ind w:left="200"/>
              <w:spacing w:after="0" w:line="135" w:lineRule="exact"/>
              <w:rPr>
                <w:sz w:val="20"/>
                <w:szCs w:val="20"/>
                <w:color w:val="auto"/>
              </w:rPr>
            </w:pPr>
            <w:r>
              <w:rPr>
                <w:rFonts w:ascii="Arial" w:cs="Arial" w:eastAsia="Arial" w:hAnsi="Arial"/>
                <w:sz w:val="14"/>
                <w:szCs w:val="14"/>
                <w:b w:val="1"/>
                <w:bCs w:val="1"/>
                <w:color w:val="auto"/>
              </w:rPr>
              <w:t>July 3,</w:t>
            </w:r>
          </w:p>
        </w:tc>
        <w:tc>
          <w:tcPr>
            <w:tcW w:w="280" w:type="dxa"/>
            <w:vAlign w:val="bottom"/>
          </w:tcPr>
          <w:p>
            <w:pPr>
              <w:spacing w:after="0"/>
              <w:rPr>
                <w:sz w:val="11"/>
                <w:szCs w:val="11"/>
                <w:color w:val="auto"/>
              </w:rPr>
            </w:pPr>
          </w:p>
        </w:tc>
        <w:tc>
          <w:tcPr>
            <w:tcW w:w="1120" w:type="dxa"/>
            <w:vAlign w:val="bottom"/>
          </w:tcPr>
          <w:p>
            <w:pPr>
              <w:jc w:val="right"/>
              <w:ind w:right="355"/>
              <w:spacing w:after="0" w:line="135" w:lineRule="exact"/>
              <w:rPr>
                <w:sz w:val="20"/>
                <w:szCs w:val="20"/>
                <w:color w:val="auto"/>
              </w:rPr>
            </w:pPr>
            <w:r>
              <w:rPr>
                <w:rFonts w:ascii="Arial" w:cs="Arial" w:eastAsia="Arial" w:hAnsi="Arial"/>
                <w:sz w:val="14"/>
                <w:szCs w:val="14"/>
                <w:b w:val="1"/>
                <w:bCs w:val="1"/>
                <w:color w:val="auto"/>
              </w:rPr>
              <w:t>June 27,</w:t>
            </w:r>
          </w:p>
        </w:tc>
      </w:tr>
      <w:tr>
        <w:trPr>
          <w:trHeight w:val="188"/>
        </w:trPr>
        <w:tc>
          <w:tcPr>
            <w:tcW w:w="51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2020</w:t>
            </w:r>
          </w:p>
        </w:tc>
      </w:tr>
      <w:tr>
        <w:trPr>
          <w:trHeight w:val="224"/>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Time-based stock options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1,470</w:t>
            </w:r>
          </w:p>
        </w:tc>
      </w:tr>
      <w:tr>
        <w:trPr>
          <w:trHeight w:val="229"/>
        </w:trPr>
        <w:tc>
          <w:tcPr>
            <w:tcW w:w="5160" w:type="dxa"/>
            <w:vAlign w:val="bottom"/>
          </w:tcPr>
          <w:p>
            <w:pPr>
              <w:ind w:left="20"/>
              <w:spacing w:after="0"/>
              <w:rPr>
                <w:sz w:val="20"/>
                <w:szCs w:val="20"/>
                <w:color w:val="auto"/>
              </w:rPr>
            </w:pPr>
            <w:r>
              <w:rPr>
                <w:rFonts w:ascii="Arial" w:cs="Arial" w:eastAsia="Arial" w:hAnsi="Arial"/>
                <w:sz w:val="18"/>
                <w:szCs w:val="18"/>
                <w:color w:val="auto"/>
              </w:rPr>
              <w:t>Performance-based stock options</w:t>
            </w:r>
          </w:p>
        </w:tc>
        <w:tc>
          <w:tcPr>
            <w:tcW w:w="3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7,581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26,079</w:t>
            </w:r>
          </w:p>
        </w:tc>
      </w:tr>
      <w:tr>
        <w:trPr>
          <w:trHeight w:val="229"/>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RSUs</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1,917</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2,192</w:t>
            </w:r>
          </w:p>
        </w:tc>
      </w:tr>
      <w:tr>
        <w:trPr>
          <w:trHeight w:val="230"/>
        </w:trPr>
        <w:tc>
          <w:tcPr>
            <w:tcW w:w="5160" w:type="dxa"/>
            <w:vAlign w:val="bottom"/>
          </w:tcPr>
          <w:p>
            <w:pPr>
              <w:ind w:left="20"/>
              <w:spacing w:after="0"/>
              <w:rPr>
                <w:sz w:val="20"/>
                <w:szCs w:val="20"/>
                <w:color w:val="auto"/>
              </w:rPr>
            </w:pPr>
            <w:r>
              <w:rPr>
                <w:rFonts w:ascii="Arial" w:cs="Arial" w:eastAsia="Arial" w:hAnsi="Arial"/>
                <w:sz w:val="18"/>
                <w:szCs w:val="18"/>
                <w:color w:val="auto"/>
              </w:rPr>
              <w:t>PSUs</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1,886</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467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3,602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467</w:t>
            </w:r>
          </w:p>
        </w:tc>
      </w:tr>
      <w:tr>
        <w:trPr>
          <w:trHeight w:val="229"/>
        </w:trPr>
        <w:tc>
          <w:tcPr>
            <w:tcW w:w="51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Dividends </w:t>
            </w:r>
            <w:r>
              <w:rPr>
                <w:rFonts w:ascii="Arial" w:cs="Arial" w:eastAsia="Arial" w:hAnsi="Arial"/>
                <w:sz w:val="23"/>
                <w:szCs w:val="23"/>
                <w:color w:val="auto"/>
                <w:vertAlign w:val="superscript"/>
              </w:rPr>
              <w:t>(1)</w:t>
            </w: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w:t>
            </w:r>
          </w:p>
        </w:tc>
      </w:tr>
      <w:tr>
        <w:trPr>
          <w:trHeight w:val="223"/>
        </w:trPr>
        <w:tc>
          <w:tcPr>
            <w:tcW w:w="5160" w:type="dxa"/>
            <w:vAlign w:val="bottom"/>
          </w:tcPr>
          <w:p>
            <w:pPr>
              <w:ind w:left="220"/>
              <w:spacing w:after="0"/>
              <w:rPr>
                <w:sz w:val="20"/>
                <w:szCs w:val="20"/>
                <w:color w:val="auto"/>
              </w:rPr>
            </w:pPr>
            <w:r>
              <w:rPr>
                <w:rFonts w:ascii="Arial" w:cs="Arial" w:eastAsia="Arial" w:hAnsi="Arial"/>
                <w:sz w:val="18"/>
                <w:szCs w:val="18"/>
                <w:color w:val="auto"/>
              </w:rPr>
              <w:t>Share-based compensation expense</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4,210</w:t>
            </w:r>
          </w:p>
        </w:tc>
        <w:tc>
          <w:tcPr>
            <w:tcW w:w="12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10,175</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8,149</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30,452</w:t>
            </w:r>
          </w:p>
        </w:tc>
      </w:tr>
      <w:tr>
        <w:trPr>
          <w:trHeight w:val="20"/>
        </w:trPr>
        <w:tc>
          <w:tcPr>
            <w:tcW w:w="5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12"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w:t>
      </w:r>
    </w:p>
    <w:p>
      <w:pPr>
        <w:spacing w:after="0" w:line="49" w:lineRule="exact"/>
        <w:rPr>
          <w:sz w:val="20"/>
          <w:szCs w:val="20"/>
          <w:color w:val="auto"/>
        </w:rPr>
      </w:pPr>
    </w:p>
    <w:p>
      <w:pPr>
        <w:ind w:left="500" w:right="20" w:hanging="492"/>
        <w:spacing w:after="0" w:line="275" w:lineRule="auto"/>
        <w:tabs>
          <w:tab w:leader="none" w:pos="500" w:val="left"/>
        </w:tabs>
        <w:numPr>
          <w:ilvl w:val="0"/>
          <w:numId w:val="7"/>
        </w:numPr>
        <w:rPr>
          <w:rFonts w:ascii="Arial" w:cs="Arial" w:eastAsia="Arial" w:hAnsi="Arial"/>
          <w:sz w:val="16"/>
          <w:szCs w:val="16"/>
          <w:color w:val="auto"/>
        </w:rPr>
      </w:pPr>
      <w:r>
        <w:rPr>
          <w:rFonts w:ascii="Arial" w:cs="Arial" w:eastAsia="Arial" w:hAnsi="Arial"/>
          <w:sz w:val="16"/>
          <w:szCs w:val="16"/>
          <w:color w:val="auto"/>
        </w:rPr>
        <w:t>Represents cash dividends paid upon vesting of share-based awards as a result of dividends declared in connection with recapitalizations that occurred in fiscal 2018 and 2016.</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Income Taxes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income tax expense (benefit) and effective income tax rate were as follows (amounts in thousands, except percentages):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13 Weeks Ended</w:t>
            </w:r>
          </w:p>
        </w:tc>
        <w:tc>
          <w:tcPr>
            <w:tcW w:w="10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26 Weeks Ended</w:t>
            </w:r>
          </w:p>
        </w:tc>
        <w:tc>
          <w:tcPr>
            <w:tcW w:w="1080" w:type="dxa"/>
            <w:vAlign w:val="bottom"/>
            <w:tcBorders>
              <w:bottom w:val="single" w:sz="8" w:color="auto"/>
            </w:tcBorders>
          </w:tcPr>
          <w:p>
            <w:pPr>
              <w:spacing w:after="0"/>
              <w:rPr>
                <w:sz w:val="16"/>
                <w:szCs w:val="16"/>
                <w:color w:val="auto"/>
              </w:rPr>
            </w:pPr>
          </w:p>
        </w:tc>
      </w:tr>
      <w:tr>
        <w:trPr>
          <w:trHeight w:val="134"/>
        </w:trPr>
        <w:tc>
          <w:tcPr>
            <w:tcW w:w="46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320" w:type="dxa"/>
            <w:vAlign w:val="bottom"/>
            <w:gridSpan w:val="2"/>
          </w:tcPr>
          <w:p>
            <w:pPr>
              <w:ind w:left="240"/>
              <w:spacing w:after="0" w:line="135" w:lineRule="exact"/>
              <w:rPr>
                <w:sz w:val="20"/>
                <w:szCs w:val="20"/>
                <w:color w:val="auto"/>
              </w:rPr>
            </w:pPr>
            <w:r>
              <w:rPr>
                <w:rFonts w:ascii="Arial" w:cs="Arial" w:eastAsia="Arial" w:hAnsi="Arial"/>
                <w:sz w:val="14"/>
                <w:szCs w:val="14"/>
                <w:b w:val="1"/>
                <w:bCs w:val="1"/>
                <w:color w:val="auto"/>
              </w:rPr>
              <w:t>July 3,</w:t>
            </w:r>
          </w:p>
        </w:tc>
        <w:tc>
          <w:tcPr>
            <w:tcW w:w="500" w:type="dxa"/>
            <w:vAlign w:val="bottom"/>
          </w:tcPr>
          <w:p>
            <w:pPr>
              <w:spacing w:after="0"/>
              <w:rPr>
                <w:sz w:val="11"/>
                <w:szCs w:val="11"/>
                <w:color w:val="auto"/>
              </w:rPr>
            </w:pPr>
          </w:p>
        </w:tc>
        <w:tc>
          <w:tcPr>
            <w:tcW w:w="1080" w:type="dxa"/>
            <w:vAlign w:val="bottom"/>
          </w:tcPr>
          <w:p>
            <w:pPr>
              <w:jc w:val="right"/>
              <w:ind w:right="459"/>
              <w:spacing w:after="0" w:line="135" w:lineRule="exact"/>
              <w:rPr>
                <w:sz w:val="20"/>
                <w:szCs w:val="20"/>
                <w:color w:val="auto"/>
              </w:rPr>
            </w:pPr>
            <w:r>
              <w:rPr>
                <w:rFonts w:ascii="Arial" w:cs="Arial" w:eastAsia="Arial" w:hAnsi="Arial"/>
                <w:sz w:val="14"/>
                <w:szCs w:val="14"/>
                <w:b w:val="1"/>
                <w:bCs w:val="1"/>
                <w:color w:val="auto"/>
                <w:w w:val="92"/>
              </w:rPr>
              <w:t>June 27,</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340" w:type="dxa"/>
            <w:vAlign w:val="bottom"/>
            <w:gridSpan w:val="2"/>
          </w:tcPr>
          <w:p>
            <w:pPr>
              <w:ind w:left="240"/>
              <w:spacing w:after="0" w:line="135" w:lineRule="exact"/>
              <w:rPr>
                <w:sz w:val="20"/>
                <w:szCs w:val="20"/>
                <w:color w:val="auto"/>
              </w:rPr>
            </w:pPr>
            <w:r>
              <w:rPr>
                <w:rFonts w:ascii="Arial" w:cs="Arial" w:eastAsia="Arial" w:hAnsi="Arial"/>
                <w:sz w:val="14"/>
                <w:szCs w:val="14"/>
                <w:b w:val="1"/>
                <w:bCs w:val="1"/>
                <w:color w:val="auto"/>
              </w:rPr>
              <w:t>July 3,</w:t>
            </w:r>
          </w:p>
        </w:tc>
        <w:tc>
          <w:tcPr>
            <w:tcW w:w="480" w:type="dxa"/>
            <w:vAlign w:val="bottom"/>
          </w:tcPr>
          <w:p>
            <w:pPr>
              <w:spacing w:after="0"/>
              <w:rPr>
                <w:sz w:val="11"/>
                <w:szCs w:val="11"/>
                <w:color w:val="auto"/>
              </w:rPr>
            </w:pPr>
          </w:p>
        </w:tc>
        <w:tc>
          <w:tcPr>
            <w:tcW w:w="1080" w:type="dxa"/>
            <w:vAlign w:val="bottom"/>
          </w:tcPr>
          <w:p>
            <w:pPr>
              <w:jc w:val="right"/>
              <w:ind w:right="439"/>
              <w:spacing w:after="0" w:line="135" w:lineRule="exact"/>
              <w:rPr>
                <w:sz w:val="20"/>
                <w:szCs w:val="20"/>
                <w:color w:val="auto"/>
              </w:rPr>
            </w:pPr>
            <w:r>
              <w:rPr>
                <w:rFonts w:ascii="Arial" w:cs="Arial" w:eastAsia="Arial" w:hAnsi="Arial"/>
                <w:sz w:val="14"/>
                <w:szCs w:val="14"/>
                <w:b w:val="1"/>
                <w:bCs w:val="1"/>
                <w:color w:val="auto"/>
                <w:w w:val="96"/>
              </w:rPr>
              <w:t>June 27,</w:t>
            </w:r>
          </w:p>
        </w:tc>
      </w:tr>
      <w:tr>
        <w:trPr>
          <w:trHeight w:val="188"/>
        </w:trPr>
        <w:tc>
          <w:tcPr>
            <w:tcW w:w="46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2020</w:t>
            </w:r>
          </w:p>
        </w:tc>
      </w:tr>
      <w:tr>
        <w:trPr>
          <w:trHeight w:val="224"/>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 (benefit)</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41"/>
              <w:spacing w:after="0"/>
              <w:rPr>
                <w:sz w:val="20"/>
                <w:szCs w:val="20"/>
                <w:color w:val="auto"/>
              </w:rPr>
            </w:pPr>
            <w:r>
              <w:rPr>
                <w:rFonts w:ascii="Arial" w:cs="Arial" w:eastAsia="Arial" w:hAnsi="Arial"/>
                <w:sz w:val="18"/>
                <w:szCs w:val="18"/>
                <w:color w:val="auto"/>
              </w:rPr>
              <w:t>4,082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99"/>
              <w:spacing w:after="0"/>
              <w:rPr>
                <w:sz w:val="20"/>
                <w:szCs w:val="20"/>
                <w:color w:val="auto"/>
              </w:rPr>
            </w:pPr>
            <w:r>
              <w:rPr>
                <w:rFonts w:ascii="Arial" w:cs="Arial" w:eastAsia="Arial" w:hAnsi="Arial"/>
                <w:sz w:val="18"/>
                <w:szCs w:val="18"/>
                <w:color w:val="auto"/>
              </w:rPr>
              <w:t>(2,244)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141"/>
              <w:spacing w:after="0"/>
              <w:rPr>
                <w:sz w:val="20"/>
                <w:szCs w:val="20"/>
                <w:color w:val="auto"/>
              </w:rPr>
            </w:pPr>
            <w:r>
              <w:rPr>
                <w:rFonts w:ascii="Arial" w:cs="Arial" w:eastAsia="Arial" w:hAnsi="Arial"/>
                <w:sz w:val="18"/>
                <w:szCs w:val="18"/>
                <w:color w:val="auto"/>
              </w:rPr>
              <w:t>5,131</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99"/>
              <w:spacing w:after="0"/>
              <w:rPr>
                <w:sz w:val="20"/>
                <w:szCs w:val="20"/>
                <w:color w:val="auto"/>
              </w:rPr>
            </w:pPr>
            <w:r>
              <w:rPr>
                <w:rFonts w:ascii="Arial" w:cs="Arial" w:eastAsia="Arial" w:hAnsi="Arial"/>
                <w:sz w:val="18"/>
                <w:szCs w:val="18"/>
                <w:color w:val="auto"/>
              </w:rPr>
              <w:t>(4,045)</w:t>
            </w:r>
          </w:p>
        </w:tc>
      </w:tr>
      <w:tr>
        <w:trPr>
          <w:trHeight w:val="230"/>
        </w:trPr>
        <w:tc>
          <w:tcPr>
            <w:tcW w:w="4660" w:type="dxa"/>
            <w:vAlign w:val="bottom"/>
          </w:tcPr>
          <w:p>
            <w:pPr>
              <w:ind w:left="20"/>
              <w:spacing w:after="0"/>
              <w:rPr>
                <w:sz w:val="20"/>
                <w:szCs w:val="20"/>
                <w:color w:val="auto"/>
              </w:rPr>
            </w:pPr>
            <w:r>
              <w:rPr>
                <w:rFonts w:ascii="Arial" w:cs="Arial" w:eastAsia="Arial" w:hAnsi="Arial"/>
                <w:sz w:val="18"/>
                <w:szCs w:val="18"/>
                <w:color w:val="auto"/>
              </w:rPr>
              <w:t>Effective income tax rate</w:t>
            </w: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17.2 %</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11.8 %</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(10.7)%</w:t>
            </w:r>
          </w:p>
        </w:tc>
      </w:tr>
    </w:tbl>
    <w:p>
      <w:pPr>
        <w:spacing w:after="0" w:line="295" w:lineRule="exact"/>
        <w:rPr>
          <w:sz w:val="20"/>
          <w:szCs w:val="20"/>
          <w:color w:val="auto"/>
        </w:rPr>
      </w:pPr>
    </w:p>
    <w:p>
      <w:pPr>
        <w:jc w:val="both"/>
        <w:ind w:right="20" w:firstLine="486"/>
        <w:spacing w:after="0" w:line="286" w:lineRule="auto"/>
        <w:rPr>
          <w:sz w:val="20"/>
          <w:szCs w:val="20"/>
          <w:color w:val="auto"/>
        </w:rPr>
      </w:pPr>
      <w:r>
        <w:rPr>
          <w:rFonts w:ascii="Arial" w:cs="Arial" w:eastAsia="Arial" w:hAnsi="Arial"/>
          <w:sz w:val="17"/>
          <w:szCs w:val="17"/>
          <w:color w:val="auto"/>
        </w:rPr>
        <w:t>The change from income tax benefits of $2.2 million and $4.0 million for the 13 and 26 weeks ended June 27, 2020, respectively, to income tax expenses of $4.1 million and $5.1 million for the 13 and 26 weeks ended July 3, 2021, respectively, was primarily driven by a reduction in excess tax benefits related to the exercise of stock options and vesting of RSUs, as compared to the same periods in fiscal 2020.</w:t>
      </w:r>
    </w:p>
    <w:p>
      <w:pPr>
        <w:spacing w:after="0" w:line="57"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The Company's tax provision for interim periods is determined using an estimated annual effective tax rate, adjusted for discrete events arising in each respective quarter. During each interim period, the Company updates the estimated annual effective tax rate. Our effective income tax rate for the 13 and 26 weeks ended July 3, 2021 was lower than the U.S. statutory income tax rate of 21% primarily due to excess tax benefits related to the exercise of stock options and vesting of RSUs. The increase in our effective income tax rate for the 13 and 26 weeks ended July 3, 2021 compared to the corresponding period in fiscal 2020 was primarily due to the above mentioned reduction in discrete items related to the exercise of stock options and vesting of employee RSUs.</w:t>
      </w:r>
    </w:p>
    <w:p>
      <w:pPr>
        <w:spacing w:after="0" w:line="84"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Our policy is to recognize interest and penalties associated with uncertain tax benefits as part of the income tax provision and include accrued interest and penalties with the related income tax liability on our condensed consolidated balance sheets. To date, we have not recognized any interest and penalties in our condensed consolidated statements of operations and comprehensive income, nor have we accrued for or made payments for interest and penalties. We had no unrecognized tax benefits as of July 3, 2021 and January 2, 2021, respectively, and do not anticipate any changes to our uncertain tax positions within the next 12 months.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Related Party Transactions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Leases</w:t>
      </w:r>
    </w:p>
    <w:p>
      <w:pPr>
        <w:spacing w:after="0" w:line="11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We leased property from entities affiliated with certain of our non-controlling stockholders for 15 store locations and one warehouse location as of both July 3, 2021 and June 27, 2020. Affiliated entities received aggregate lease payments from us of $1.5 million for each of the 13 weeks ended July 3, 2021 and June 27, 2020, respectively, and $3.0 million for each of the 26 weeks ended July 3, 2021 and June 27, 2020, respectively. We had total prepaid rent for these properties of $0.5 million as of July 3, 2021 and zero as of January 2, 2021.</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4"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Independent Operator Notes and Receivables</w:t>
      </w:r>
    </w:p>
    <w:p>
      <w:pPr>
        <w:spacing w:after="0" w:line="117"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We offer interest-bearing notes to IOs and the gross operating notes and receivables due from these IOs was $36.7 million and $41.0 million as of July 3, 2021 and January 2, 2021, respectively. See Note 2 for additional information.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Commitments and Contingencies</w:t>
      </w:r>
    </w:p>
    <w:p>
      <w:pPr>
        <w:spacing w:after="0" w:line="121"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We are involved from time to time in claims, proceedings and litigation arising in the normal course of business. We do not believe the impact of such litigation will have a material adverse effect on our condensed consolidated financial statements taken as a whole.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Earnings Per Share</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sets forth the calculation of basic and diluted earnings per share (amounts in thousands, except per share data):</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13 Weeks Ended</w:t>
            </w: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26 Weeks Ended</w:t>
            </w:r>
          </w:p>
        </w:tc>
        <w:tc>
          <w:tcPr>
            <w:tcW w:w="1020" w:type="dxa"/>
            <w:vAlign w:val="bottom"/>
            <w:tcBorders>
              <w:bottom w:val="single" w:sz="8" w:color="auto"/>
            </w:tcBorders>
          </w:tcPr>
          <w:p>
            <w:pPr>
              <w:spacing w:after="0"/>
              <w:rPr>
                <w:sz w:val="16"/>
                <w:szCs w:val="16"/>
                <w:color w:val="auto"/>
              </w:rPr>
            </w:pPr>
          </w:p>
        </w:tc>
      </w:tr>
      <w:tr>
        <w:trPr>
          <w:trHeight w:val="135"/>
        </w:trPr>
        <w:tc>
          <w:tcPr>
            <w:tcW w:w="50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60" w:type="dxa"/>
            <w:vAlign w:val="bottom"/>
            <w:gridSpan w:val="2"/>
          </w:tcPr>
          <w:p>
            <w:pPr>
              <w:ind w:left="220"/>
              <w:spacing w:after="0" w:line="135" w:lineRule="exact"/>
              <w:rPr>
                <w:sz w:val="20"/>
                <w:szCs w:val="20"/>
                <w:color w:val="auto"/>
              </w:rPr>
            </w:pPr>
            <w:r>
              <w:rPr>
                <w:rFonts w:ascii="Arial" w:cs="Arial" w:eastAsia="Arial" w:hAnsi="Arial"/>
                <w:sz w:val="14"/>
                <w:szCs w:val="14"/>
                <w:b w:val="1"/>
                <w:bCs w:val="1"/>
                <w:color w:val="auto"/>
              </w:rPr>
              <w:t>July 3,</w:t>
            </w:r>
          </w:p>
        </w:tc>
        <w:tc>
          <w:tcPr>
            <w:tcW w:w="460" w:type="dxa"/>
            <w:vAlign w:val="bottom"/>
          </w:tcPr>
          <w:p>
            <w:pPr>
              <w:spacing w:after="0"/>
              <w:rPr>
                <w:sz w:val="11"/>
                <w:szCs w:val="11"/>
                <w:color w:val="auto"/>
              </w:rPr>
            </w:pPr>
          </w:p>
        </w:tc>
        <w:tc>
          <w:tcPr>
            <w:tcW w:w="1020" w:type="dxa"/>
            <w:vAlign w:val="bottom"/>
          </w:tcPr>
          <w:p>
            <w:pPr>
              <w:jc w:val="right"/>
              <w:ind w:right="394"/>
              <w:spacing w:after="0" w:line="135" w:lineRule="exact"/>
              <w:rPr>
                <w:sz w:val="20"/>
                <w:szCs w:val="20"/>
                <w:color w:val="auto"/>
              </w:rPr>
            </w:pPr>
            <w:r>
              <w:rPr>
                <w:rFonts w:ascii="Arial" w:cs="Arial" w:eastAsia="Arial" w:hAnsi="Arial"/>
                <w:sz w:val="14"/>
                <w:szCs w:val="14"/>
                <w:b w:val="1"/>
                <w:bCs w:val="1"/>
                <w:color w:val="auto"/>
                <w:w w:val="92"/>
              </w:rPr>
              <w:t>June 27,</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80" w:type="dxa"/>
            <w:vAlign w:val="bottom"/>
            <w:gridSpan w:val="2"/>
          </w:tcPr>
          <w:p>
            <w:pPr>
              <w:ind w:left="220"/>
              <w:spacing w:after="0" w:line="135" w:lineRule="exact"/>
              <w:rPr>
                <w:sz w:val="20"/>
                <w:szCs w:val="20"/>
                <w:color w:val="auto"/>
              </w:rPr>
            </w:pPr>
            <w:r>
              <w:rPr>
                <w:rFonts w:ascii="Arial" w:cs="Arial" w:eastAsia="Arial" w:hAnsi="Arial"/>
                <w:sz w:val="14"/>
                <w:szCs w:val="14"/>
                <w:b w:val="1"/>
                <w:bCs w:val="1"/>
                <w:color w:val="auto"/>
              </w:rPr>
              <w:t>July 3,</w:t>
            </w:r>
          </w:p>
        </w:tc>
        <w:tc>
          <w:tcPr>
            <w:tcW w:w="460" w:type="dxa"/>
            <w:vAlign w:val="bottom"/>
          </w:tcPr>
          <w:p>
            <w:pPr>
              <w:spacing w:after="0"/>
              <w:rPr>
                <w:sz w:val="11"/>
                <w:szCs w:val="11"/>
                <w:color w:val="auto"/>
              </w:rPr>
            </w:pPr>
          </w:p>
        </w:tc>
        <w:tc>
          <w:tcPr>
            <w:tcW w:w="1020" w:type="dxa"/>
            <w:vAlign w:val="bottom"/>
          </w:tcPr>
          <w:p>
            <w:pPr>
              <w:jc w:val="right"/>
              <w:ind w:right="394"/>
              <w:spacing w:after="0" w:line="135" w:lineRule="exact"/>
              <w:rPr>
                <w:sz w:val="20"/>
                <w:szCs w:val="20"/>
                <w:color w:val="auto"/>
              </w:rPr>
            </w:pPr>
            <w:r>
              <w:rPr>
                <w:rFonts w:ascii="Arial" w:cs="Arial" w:eastAsia="Arial" w:hAnsi="Arial"/>
                <w:sz w:val="14"/>
                <w:szCs w:val="14"/>
                <w:b w:val="1"/>
                <w:bCs w:val="1"/>
                <w:color w:val="auto"/>
                <w:w w:val="92"/>
              </w:rPr>
              <w:t>June 27,</w:t>
            </w:r>
          </w:p>
        </w:tc>
      </w:tr>
      <w:tr>
        <w:trPr>
          <w:trHeight w:val="188"/>
        </w:trPr>
        <w:tc>
          <w:tcPr>
            <w:tcW w:w="50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2020</w:t>
            </w:r>
          </w:p>
        </w:tc>
      </w:tr>
      <w:tr>
        <w:trPr>
          <w:trHeight w:val="211"/>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Numerator</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30"/>
        </w:trPr>
        <w:tc>
          <w:tcPr>
            <w:tcW w:w="5000" w:type="dxa"/>
            <w:vAlign w:val="bottom"/>
          </w:tcPr>
          <w:p>
            <w:pPr>
              <w:ind w:left="20"/>
              <w:spacing w:after="0"/>
              <w:rPr>
                <w:sz w:val="20"/>
                <w:szCs w:val="20"/>
                <w:color w:val="auto"/>
              </w:rPr>
            </w:pPr>
            <w:r>
              <w:rPr>
                <w:rFonts w:ascii="Arial" w:cs="Arial" w:eastAsia="Arial" w:hAnsi="Arial"/>
                <w:sz w:val="18"/>
                <w:szCs w:val="18"/>
                <w:color w:val="auto"/>
              </w:rPr>
              <w:t>Net income and comprehensive income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19,640</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29,333</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38,532</w:t>
            </w:r>
          </w:p>
        </w:tc>
        <w:tc>
          <w:tcPr>
            <w:tcW w:w="12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41,975</w:t>
            </w:r>
          </w:p>
        </w:tc>
      </w:tr>
      <w:tr>
        <w:trPr>
          <w:trHeight w:val="229"/>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Denominator</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5000" w:type="dxa"/>
            <w:vAlign w:val="bottom"/>
          </w:tcPr>
          <w:p>
            <w:pPr>
              <w:ind w:left="20"/>
              <w:spacing w:after="0"/>
              <w:rPr>
                <w:sz w:val="20"/>
                <w:szCs w:val="20"/>
                <w:color w:val="auto"/>
              </w:rPr>
            </w:pPr>
            <w:r>
              <w:rPr>
                <w:rFonts w:ascii="Arial" w:cs="Arial" w:eastAsia="Arial" w:hAnsi="Arial"/>
                <w:sz w:val="18"/>
                <w:szCs w:val="18"/>
                <w:color w:val="auto"/>
              </w:rPr>
              <w:t>Weighted-average shares outstanding — basic</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95,724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90,800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95,449</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90,152</w:t>
            </w:r>
          </w:p>
        </w:tc>
      </w:tr>
      <w:tr>
        <w:trPr>
          <w:trHeight w:val="230"/>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 of dilutive stock options</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4,023</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7,103</w:t>
            </w:r>
          </w:p>
        </w:tc>
      </w:tr>
      <w:tr>
        <w:trPr>
          <w:trHeight w:val="229"/>
        </w:trPr>
        <w:tc>
          <w:tcPr>
            <w:tcW w:w="5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Effect of dilutive RSUs</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r>
      <w:tr>
        <w:trPr>
          <w:trHeight w:val="223"/>
        </w:trPr>
        <w:tc>
          <w:tcPr>
            <w:tcW w:w="5000" w:type="dxa"/>
            <w:vAlign w:val="bottom"/>
            <w:shd w:val="clear" w:color="auto" w:fill="CCEEFF"/>
          </w:tcPr>
          <w:p>
            <w:pPr>
              <w:ind w:left="20"/>
              <w:spacing w:after="0" w:line="223" w:lineRule="exact"/>
              <w:rPr>
                <w:sz w:val="20"/>
                <w:szCs w:val="20"/>
                <w:color w:val="auto"/>
              </w:rPr>
            </w:pPr>
            <w:r>
              <w:rPr>
                <w:rFonts w:ascii="Arial" w:cs="Arial" w:eastAsia="Arial" w:hAnsi="Arial"/>
                <w:sz w:val="16"/>
                <w:szCs w:val="16"/>
                <w:color w:val="auto"/>
              </w:rPr>
              <w:t xml:space="preserve">Weighted-average shares outstanding — diluted </w:t>
            </w:r>
            <w:r>
              <w:rPr>
                <w:rFonts w:ascii="Arial" w:cs="Arial" w:eastAsia="Arial" w:hAnsi="Arial"/>
                <w:sz w:val="25"/>
                <w:szCs w:val="25"/>
                <w:color w:val="auto"/>
                <w:vertAlign w:val="superscript"/>
              </w:rPr>
              <w:t>(1)</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99,604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98,618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99,587</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97,333</w:t>
            </w:r>
          </w:p>
        </w:tc>
      </w:tr>
      <w:tr>
        <w:trPr>
          <w:trHeight w:val="229"/>
        </w:trPr>
        <w:tc>
          <w:tcPr>
            <w:tcW w:w="5000" w:type="dxa"/>
            <w:vAlign w:val="bottom"/>
          </w:tcPr>
          <w:p>
            <w:pPr>
              <w:ind w:left="20"/>
              <w:spacing w:after="0"/>
              <w:rPr>
                <w:sz w:val="20"/>
                <w:szCs w:val="20"/>
                <w:color w:val="auto"/>
              </w:rPr>
            </w:pPr>
            <w:r>
              <w:rPr>
                <w:rFonts w:ascii="Arial" w:cs="Arial" w:eastAsia="Arial" w:hAnsi="Arial"/>
                <w:sz w:val="18"/>
                <w:szCs w:val="18"/>
                <w:color w:val="auto"/>
              </w:rPr>
              <w:t>Earnings per share :</w:t>
            </w: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5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0.40</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0.47</w:t>
            </w:r>
          </w:p>
        </w:tc>
      </w:tr>
      <w:tr>
        <w:trPr>
          <w:trHeight w:val="230"/>
        </w:trPr>
        <w:tc>
          <w:tcPr>
            <w:tcW w:w="5000" w:type="dxa"/>
            <w:vAlign w:val="bottom"/>
          </w:tcPr>
          <w:p>
            <w:pPr>
              <w:ind w:left="220"/>
              <w:spacing w:after="0"/>
              <w:rPr>
                <w:sz w:val="20"/>
                <w:szCs w:val="20"/>
                <w:color w:val="auto"/>
              </w:rPr>
            </w:pPr>
            <w:r>
              <w:rPr>
                <w:rFonts w:ascii="Arial" w:cs="Arial" w:eastAsia="Arial" w:hAnsi="Arial"/>
                <w:sz w:val="18"/>
                <w:szCs w:val="18"/>
                <w:color w:val="auto"/>
              </w:rPr>
              <w:t>Diluted</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0.20</w:t>
            </w:r>
          </w:p>
        </w:tc>
        <w:tc>
          <w:tcPr>
            <w:tcW w:w="100" w:type="dxa"/>
            <w:vAlign w:val="bottom"/>
          </w:tcPr>
          <w:p>
            <w:pPr>
              <w:spacing w:after="0"/>
              <w:rPr>
                <w:sz w:val="20"/>
                <w:szCs w:val="20"/>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0.30</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0.39</w:t>
            </w:r>
          </w:p>
        </w:tc>
        <w:tc>
          <w:tcPr>
            <w:tcW w:w="120" w:type="dxa"/>
            <w:vAlign w:val="bottom"/>
          </w:tcPr>
          <w:p>
            <w:pPr>
              <w:spacing w:after="0"/>
              <w:rPr>
                <w:sz w:val="20"/>
                <w:szCs w:val="20"/>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0.43</w:t>
            </w:r>
          </w:p>
        </w:tc>
      </w:tr>
    </w:tbl>
    <w:p>
      <w:pPr>
        <w:spacing w:after="0" w:line="111"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w:t>
      </w:r>
    </w:p>
    <w:p>
      <w:pPr>
        <w:spacing w:after="0" w:line="49" w:lineRule="exact"/>
        <w:rPr>
          <w:sz w:val="20"/>
          <w:szCs w:val="20"/>
          <w:color w:val="auto"/>
        </w:rPr>
      </w:pPr>
    </w:p>
    <w:p>
      <w:pPr>
        <w:jc w:val="both"/>
        <w:ind w:left="500" w:hanging="492"/>
        <w:spacing w:after="0" w:line="261" w:lineRule="auto"/>
        <w:tabs>
          <w:tab w:leader="none" w:pos="500" w:val="left"/>
        </w:tabs>
        <w:numPr>
          <w:ilvl w:val="0"/>
          <w:numId w:val="8"/>
        </w:numPr>
        <w:rPr>
          <w:rFonts w:ascii="Arial" w:cs="Arial" w:eastAsia="Arial" w:hAnsi="Arial"/>
          <w:sz w:val="16"/>
          <w:szCs w:val="16"/>
          <w:color w:val="231F20"/>
        </w:rPr>
      </w:pPr>
      <w:r>
        <w:rPr>
          <w:rFonts w:ascii="Arial" w:cs="Arial" w:eastAsia="Arial" w:hAnsi="Arial"/>
          <w:sz w:val="16"/>
          <w:szCs w:val="16"/>
          <w:color w:val="auto"/>
        </w:rPr>
        <w:t>We are required to include in diluted weighted-average shares outstanding contingently issuable shares that would be issued assuming the end of our reporting period was the end of the relevant PSU award contingency period. No PSUs were included in diluted weighted-average shares outstanding for the 13 and 26 weeks ended July 3, 2021 and June 27, 2020.</w:t>
      </w:r>
    </w:p>
    <w:p>
      <w:pPr>
        <w:spacing w:after="0" w:line="178"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The following weighted-average common stock equivalents were excluded from the calculation of diluted earnings per share because their effect would have been anti-dilutive (amounts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0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13 Weeks Ended</w:t>
            </w:r>
          </w:p>
        </w:tc>
        <w:tc>
          <w:tcPr>
            <w:tcW w:w="3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w w:val="90"/>
              </w:rPr>
              <w:t>26 Weeks Ended</w:t>
            </w:r>
          </w:p>
        </w:tc>
        <w:tc>
          <w:tcPr>
            <w:tcW w:w="1020" w:type="dxa"/>
            <w:vAlign w:val="bottom"/>
            <w:tcBorders>
              <w:bottom w:val="single" w:sz="8" w:color="auto"/>
            </w:tcBorders>
          </w:tcPr>
          <w:p>
            <w:pPr>
              <w:spacing w:after="0"/>
              <w:rPr>
                <w:sz w:val="16"/>
                <w:szCs w:val="16"/>
                <w:color w:val="auto"/>
              </w:rPr>
            </w:pPr>
          </w:p>
        </w:tc>
      </w:tr>
      <w:tr>
        <w:trPr>
          <w:trHeight w:val="135"/>
        </w:trPr>
        <w:tc>
          <w:tcPr>
            <w:tcW w:w="5000" w:type="dxa"/>
            <w:vAlign w:val="bottom"/>
          </w:tcPr>
          <w:p>
            <w:pPr>
              <w:spacing w:after="0"/>
              <w:rPr>
                <w:sz w:val="11"/>
                <w:szCs w:val="11"/>
                <w:color w:val="auto"/>
              </w:rPr>
            </w:pPr>
          </w:p>
        </w:tc>
        <w:tc>
          <w:tcPr>
            <w:tcW w:w="980" w:type="dxa"/>
            <w:vAlign w:val="bottom"/>
          </w:tcPr>
          <w:p>
            <w:pPr>
              <w:jc w:val="center"/>
              <w:ind w:left="428"/>
              <w:spacing w:after="0" w:line="135" w:lineRule="exact"/>
              <w:rPr>
                <w:sz w:val="20"/>
                <w:szCs w:val="20"/>
                <w:color w:val="auto"/>
              </w:rPr>
            </w:pPr>
            <w:r>
              <w:rPr>
                <w:rFonts w:ascii="Arial" w:cs="Arial" w:eastAsia="Arial" w:hAnsi="Arial"/>
                <w:sz w:val="14"/>
                <w:szCs w:val="14"/>
                <w:b w:val="1"/>
                <w:bCs w:val="1"/>
                <w:color w:val="auto"/>
                <w:w w:val="91"/>
              </w:rPr>
              <w:t>July 3,</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jc w:val="center"/>
              <w:ind w:left="308"/>
              <w:spacing w:after="0" w:line="135" w:lineRule="exact"/>
              <w:rPr>
                <w:sz w:val="20"/>
                <w:szCs w:val="20"/>
                <w:color w:val="auto"/>
              </w:rPr>
            </w:pPr>
            <w:r>
              <w:rPr>
                <w:rFonts w:ascii="Arial" w:cs="Arial" w:eastAsia="Arial" w:hAnsi="Arial"/>
                <w:sz w:val="14"/>
                <w:szCs w:val="14"/>
                <w:b w:val="1"/>
                <w:bCs w:val="1"/>
                <w:color w:val="auto"/>
                <w:w w:val="92"/>
              </w:rPr>
              <w:t>June 27,</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jc w:val="center"/>
              <w:ind w:left="408"/>
              <w:spacing w:after="0" w:line="135" w:lineRule="exact"/>
              <w:rPr>
                <w:sz w:val="20"/>
                <w:szCs w:val="20"/>
                <w:color w:val="auto"/>
              </w:rPr>
            </w:pPr>
            <w:r>
              <w:rPr>
                <w:rFonts w:ascii="Arial" w:cs="Arial" w:eastAsia="Arial" w:hAnsi="Arial"/>
                <w:sz w:val="14"/>
                <w:szCs w:val="14"/>
                <w:b w:val="1"/>
                <w:bCs w:val="1"/>
                <w:color w:val="auto"/>
                <w:w w:val="91"/>
              </w:rPr>
              <w:t>July 3,</w:t>
            </w: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20" w:type="dxa"/>
            <w:vAlign w:val="bottom"/>
          </w:tcPr>
          <w:p>
            <w:pPr>
              <w:jc w:val="center"/>
              <w:ind w:right="382"/>
              <w:spacing w:after="0" w:line="135" w:lineRule="exact"/>
              <w:rPr>
                <w:sz w:val="20"/>
                <w:szCs w:val="20"/>
                <w:color w:val="auto"/>
              </w:rPr>
            </w:pPr>
            <w:r>
              <w:rPr>
                <w:rFonts w:ascii="Arial" w:cs="Arial" w:eastAsia="Arial" w:hAnsi="Arial"/>
                <w:sz w:val="14"/>
                <w:szCs w:val="14"/>
                <w:b w:val="1"/>
                <w:bCs w:val="1"/>
                <w:color w:val="auto"/>
                <w:w w:val="92"/>
              </w:rPr>
              <w:t>June 27,</w:t>
            </w:r>
          </w:p>
        </w:tc>
      </w:tr>
      <w:tr>
        <w:trPr>
          <w:trHeight w:val="188"/>
        </w:trPr>
        <w:tc>
          <w:tcPr>
            <w:tcW w:w="5980" w:type="dxa"/>
            <w:vAlign w:val="bottom"/>
            <w:gridSpan w:val="2"/>
          </w:tcPr>
          <w:p>
            <w:pPr>
              <w:jc w:val="right"/>
              <w:ind w:right="28"/>
              <w:spacing w:after="0"/>
              <w:rPr>
                <w:sz w:val="20"/>
                <w:szCs w:val="20"/>
                <w:color w:val="auto"/>
              </w:rPr>
            </w:pPr>
            <w:r>
              <w:rPr>
                <w:rFonts w:ascii="Arial" w:cs="Arial" w:eastAsia="Arial" w:hAnsi="Arial"/>
                <w:sz w:val="14"/>
                <w:szCs w:val="14"/>
                <w:b w:val="1"/>
                <w:bCs w:val="1"/>
                <w:color w:val="auto"/>
              </w:rPr>
              <w:t>2021</w:t>
            </w:r>
          </w:p>
        </w:tc>
        <w:tc>
          <w:tcPr>
            <w:tcW w:w="1700" w:type="dxa"/>
            <w:vAlign w:val="bottom"/>
            <w:gridSpan w:val="3"/>
          </w:tcPr>
          <w:p>
            <w:pPr>
              <w:jc w:val="right"/>
              <w:ind w:right="148"/>
              <w:spacing w:after="0"/>
              <w:rPr>
                <w:sz w:val="20"/>
                <w:szCs w:val="20"/>
                <w:color w:val="auto"/>
              </w:rPr>
            </w:pPr>
            <w:r>
              <w:rPr>
                <w:rFonts w:ascii="Arial" w:cs="Arial" w:eastAsia="Arial" w:hAnsi="Arial"/>
                <w:sz w:val="14"/>
                <w:szCs w:val="14"/>
                <w:b w:val="1"/>
                <w:bCs w:val="1"/>
                <w:color w:val="auto"/>
              </w:rPr>
              <w:t>2020</w:t>
            </w:r>
          </w:p>
        </w:tc>
        <w:tc>
          <w:tcPr>
            <w:tcW w:w="1480" w:type="dxa"/>
            <w:vAlign w:val="bottom"/>
            <w:gridSpan w:val="3"/>
          </w:tcPr>
          <w:p>
            <w:pPr>
              <w:jc w:val="right"/>
              <w:ind w:right="48"/>
              <w:spacing w:after="0"/>
              <w:rPr>
                <w:sz w:val="20"/>
                <w:szCs w:val="20"/>
                <w:color w:val="auto"/>
              </w:rPr>
            </w:pPr>
            <w:r>
              <w:rPr>
                <w:rFonts w:ascii="Arial" w:cs="Arial" w:eastAsia="Arial" w:hAnsi="Arial"/>
                <w:sz w:val="14"/>
                <w:szCs w:val="14"/>
                <w:b w:val="1"/>
                <w:bCs w:val="1"/>
                <w:color w:val="auto"/>
              </w:rPr>
              <w:t>2021</w:t>
            </w: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20" w:type="dxa"/>
            <w:vAlign w:val="bottom"/>
          </w:tcPr>
          <w:p>
            <w:pPr>
              <w:jc w:val="right"/>
              <w:ind w:right="522"/>
              <w:spacing w:after="0"/>
              <w:rPr>
                <w:sz w:val="20"/>
                <w:szCs w:val="20"/>
                <w:color w:val="auto"/>
              </w:rPr>
            </w:pPr>
            <w:r>
              <w:rPr>
                <w:rFonts w:ascii="Arial" w:cs="Arial" w:eastAsia="Arial" w:hAnsi="Arial"/>
                <w:sz w:val="14"/>
                <w:szCs w:val="14"/>
                <w:b w:val="1"/>
                <w:bCs w:val="1"/>
                <w:color w:val="auto"/>
              </w:rPr>
              <w:t>2020</w:t>
            </w:r>
          </w:p>
        </w:tc>
      </w:tr>
      <w:tr>
        <w:trPr>
          <w:trHeight w:val="224"/>
        </w:trPr>
        <w:tc>
          <w:tcPr>
            <w:tcW w:w="5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RSUs</w:t>
            </w:r>
          </w:p>
        </w:tc>
        <w:tc>
          <w:tcPr>
            <w:tcW w:w="980" w:type="dxa"/>
            <w:vAlign w:val="bottom"/>
            <w:tcBorders>
              <w:top w:val="single" w:sz="8" w:color="auto"/>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4"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i w:val="1"/>
          <w:iCs w:val="1"/>
          <w:color w:val="auto"/>
        </w:rPr>
        <w:t xml:space="preserve">You should read the following discussion of our financial condition and results of operations in conjunction with the unaudited condensed consolidated financial statements and related notes thereto included elsewhere </w:t>
      </w:r>
      <w:r>
        <w:rPr>
          <w:rFonts w:ascii="Arial" w:cs="Arial" w:eastAsia="Arial" w:hAnsi="Arial"/>
          <w:sz w:val="18"/>
          <w:szCs w:val="18"/>
          <w:i w:val="1"/>
          <w:iCs w:val="1"/>
          <w:color w:val="231F20"/>
        </w:rPr>
        <w:t>in this report,</w:t>
      </w:r>
      <w:r>
        <w:rPr>
          <w:rFonts w:ascii="Arial" w:cs="Arial" w:eastAsia="Arial" w:hAnsi="Arial"/>
          <w:sz w:val="18"/>
          <w:szCs w:val="18"/>
          <w:i w:val="1"/>
          <w:iCs w:val="1"/>
          <w:color w:val="auto"/>
        </w:rPr>
        <w:t xml:space="preserve"> and the audited consolidated financial statements and related notes thereto and management’s discussion and analysis of financial condition and results of operations included in our Annual Report on Form 10-K for the fiscal year ended January 2, 2021 filed with the </w:t>
      </w:r>
      <w:r>
        <w:rPr>
          <w:rFonts w:ascii="Arial" w:cs="Arial" w:eastAsia="Arial" w:hAnsi="Arial"/>
          <w:sz w:val="18"/>
          <w:szCs w:val="18"/>
          <w:i w:val="1"/>
          <w:iCs w:val="1"/>
          <w:color w:val="231F20"/>
        </w:rPr>
        <w:t>United States ("U.S.") Securities and Exchange Commission (the "SEC")</w:t>
      </w:r>
      <w:r>
        <w:rPr>
          <w:rFonts w:ascii="Arial" w:cs="Arial" w:eastAsia="Arial" w:hAnsi="Arial"/>
          <w:sz w:val="18"/>
          <w:szCs w:val="18"/>
          <w:i w:val="1"/>
          <w:iCs w:val="1"/>
          <w:color w:val="auto"/>
        </w:rPr>
        <w:t xml:space="preserve"> on March 2, 2021 ("2020 Annual Report on Form 10-K"). This discussion may contain forward-looking statements based upon current expectations that involve risks and uncertainties. Our actual results may differ materially from those anticipated in these forward-looking statements as a result of various factors, including those set forth in other sections of this report.</w:t>
      </w:r>
    </w:p>
    <w:p>
      <w:pPr>
        <w:spacing w:after="0" w:line="87"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i w:val="1"/>
          <w:iCs w:val="1"/>
          <w:color w:val="auto"/>
        </w:rPr>
        <w:t>We operate on a fiscal year that ends on the Saturday closest to December 31st each year. References to the second quarter of fiscal 2021 and the second quarter of fiscal 2020 refer to the 13 weeks ended July 3, 2021 and June 27, 2020, respectively.</w:t>
      </w:r>
    </w:p>
    <w:p>
      <w:pPr>
        <w:spacing w:after="0" w:line="62"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231F20"/>
        </w:rPr>
        <w:t>As used in this report, references to "Grocery Outlet," "the Company," "the registrant," "we," "us" and "our," refer to Grocery Outlet Holding Corp.</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and its consolidated subsidiaries unless otherwise indicated or the context requires otherwise.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We are a high-growth, extreme value retailer of quality, name-brand consumables and fresh products sold through a network of independently operated stores. Our flexible buying model allows us to offer quality, name-brand opportunistic products at prices generally 40% to 70% below those of conventional retailers. Entrepreneurial independent operators (“IOs”) run our stores and create a neighborhood feel through personalized customer service and a localized product offering. As of July 3, 2021, we had 400 stores in California, Washington, Oregon, Pennsylvania, Idaho and Nevada.</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Secondary Public Offerings</w:t>
      </w:r>
    </w:p>
    <w:p>
      <w:pPr>
        <w:spacing w:after="0" w:line="121"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On February 3, 2020, certain of our selling stockholders completed a secondary public offering of shares of our common stock. We did not receive any of the proceeds from the sale of these shares by the selling stockholders. We incurred related offering costs of $1.1 million which we recognized in selling, general and administrative expenses during the first quarter of fiscal 2020. We received $1.4 million in cash (excluding withholding taxes) in connection with the exercise of 191,470 options by certain stockholders participating in this secondary public offering.</w:t>
      </w:r>
    </w:p>
    <w:p>
      <w:pPr>
        <w:spacing w:after="0" w:line="63"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On April 27, 2020, certain of our selling stockholders completed another secondary public offering of shares of our common stock. We did not receive any of the proceeds from the sale of these shares by the selling stockholders. We incurred related offering costs of $1.0 million which we recognized in selling, general and administrative expenses during the second quarter of fiscal 2020. We received $1.6 million in cash (excluding withholding taxes) in connection with the exercise of 269,000 options by certain stockholders participating in this secondary public offering.</w:t>
      </w:r>
    </w:p>
    <w:p>
      <w:pPr>
        <w:spacing w:after="0" w:line="63"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On May 28, 2020, the stockholder affiliated with our former private equity sponsor, Hellman and Friedman LLC, distributed the remainder of its holdings representing 9.6 million shares of our common stock to its equity holders. We did not receive any proceeds or incur any material costs related to this distribution.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w:t>
      </w:r>
    </w:p>
    <w:p>
      <w:pPr>
        <w:spacing w:after="0" w:line="121" w:lineRule="exact"/>
        <w:rPr>
          <w:sz w:val="20"/>
          <w:szCs w:val="20"/>
          <w:color w:val="auto"/>
        </w:rPr>
      </w:pPr>
    </w:p>
    <w:p>
      <w:pPr>
        <w:jc w:val="both"/>
        <w:ind w:firstLine="486"/>
        <w:spacing w:after="0" w:line="288" w:lineRule="auto"/>
        <w:rPr>
          <w:sz w:val="20"/>
          <w:szCs w:val="20"/>
          <w:color w:val="auto"/>
        </w:rPr>
      </w:pPr>
      <w:r>
        <w:rPr>
          <w:rFonts w:ascii="Arial" w:cs="Arial" w:eastAsia="Arial" w:hAnsi="Arial"/>
          <w:sz w:val="16"/>
          <w:szCs w:val="16"/>
          <w:color w:val="auto"/>
        </w:rPr>
        <w:t>On March 11, 2020, the World Health Organization declared the novel strain of coronavirus, COVID-19, a global pandemic and recommended containment and mitigation measures worldwide. As a result, many states, including states where we have significant operations, declared a state of emergency, closed schools and non-essential businesses and enacted limitations on the number of people allowed to gather at one time in the same space. As of the date of this filing, the states in which we operate have "re-opened" but states and counties maintain differing and evolving requirements related to COVID-19. As we cycle periods of 2020 that included elevated COVID-related demand, we are reporting declines in year-over-year net sales and comparable store sales growth. In addition, consumer behavior continues to be impacted by a variety of factors including, in part, increased consumer mobility and travel, higher food-away-from-home spend, continued consolidation of grocery store visits, elevated grocery e-commerce usage and higher levels of government stimulus, leading to consumers prioritizing convenience over value. There has also been a recent surge of positive COVID-19 cases related to the Delta variant around the country, including states in which we operate, creating additional uncertainty and potential impacts to staffing. As a result of those factors, it is difficult to predict near term consumer behavior and resulting sales trends for our business.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4"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60" w:lineRule="exact"/>
        <w:rPr>
          <w:sz w:val="20"/>
          <w:szCs w:val="20"/>
          <w:color w:val="auto"/>
        </w:rPr>
      </w:pPr>
    </w:p>
    <w:p>
      <w:pPr>
        <w:jc w:val="both"/>
        <w:ind w:firstLine="486"/>
        <w:spacing w:after="0" w:line="285" w:lineRule="auto"/>
        <w:rPr>
          <w:sz w:val="20"/>
          <w:szCs w:val="20"/>
          <w:color w:val="auto"/>
        </w:rPr>
      </w:pPr>
      <w:r>
        <w:rPr>
          <w:rFonts w:ascii="Arial" w:cs="Arial" w:eastAsia="Arial" w:hAnsi="Arial"/>
          <w:sz w:val="16"/>
          <w:szCs w:val="16"/>
          <w:color w:val="auto"/>
        </w:rPr>
        <w:t>Our IOs have faced and will continue to face staffing challenges including overtime pay, increased payroll attributable to employees who are compensated for their time to receive vaccines, and staffing shortages for a variety of reasons that are attributable to the COVID-19 pandemic. In early 2021, many counties in California and Washington enacted ordinances mandating "hazard pay" for grocery workers. While most of those ordinances have applied to large companies with more than 300 employees and have not applied to smaller businesses operated by a single employer (such as an Independent Operator), these ordinances do create staffing issues as many competitors are subject to those ordinances. In addition, federal and state governments have enacted legislation, such as the American Rescue Plan Act of 2021 and California's Senate Bill No. 95 to provide additional company paid benefits for employees and former employees impacted by the COVID-19 pandemic. Also, in the event that a Company employee, an IO, or IO employee tests positive for COVID-19, we may have to temporarily close a store, office or distribution center for cleaning and/or quarantine one or more employees which could negatively impact our financial results. We have incurred, and expect to continue to incur, cleaning and safety costs, supplies, and higher personnel expenses. In addition, since the start of the pandemic certain inventory items have at times been, and may in the future again be, in short supply. Additionally, certain fixture upgrades and new refrigeration units now have longer lead times. All of these factors could impact the ability of stores to operate normal hours of operation or have sufficient inventory at all times which may disrupt our business and negatively impact our financial results. Further, planned construction and opening of new stores have been and may continue to be negatively impacted due to increased time periods to get materials such as steel, obtain permits and licenses and set up utilities. Finally, we have incurred, and expect to continue to incur, additional expenses as a result of certain increased costs related to our IOs. For example, we are paying a portion of the costs of personal protective equipment ("PPE") and cleaning supplies for our IOs as well as reducing interest rates on outstanding IO notes. We cannot reasonably estimate the length or severity of this pandemic, but it could have a material adverse impact on our consolidated financial position, consolidated results of operations, and consolidated cash flows in fiscal 2021. See "Item 1A. Risk Factors—Major health epidemics, such as the outbreak caused by COVID-19, and other outbreaks could disrupt and adversely affect our operations, financial condition and business" in our 2020 Annual Report on Form 10-K for additional information.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Factors and Measures We Use to Evaluate Our Business</w:t>
      </w:r>
    </w:p>
    <w:p>
      <w:pPr>
        <w:spacing w:after="0" w:line="121"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We consider a variety of financial and operating measures in assessing the performance of our business. The key GAAP measures we use are net sales, gross profit and gross margin, selling, general and administrative expenses (“SG&amp;A”) and operating income. The key operational metrics and non-GAAP measures we use are number of new stores, comparable store sales, EBITDA, adjusted EBITDA and adjusted net income.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Quarter of Fiscal 2021 Overview</w:t>
      </w:r>
    </w:p>
    <w:p>
      <w:pPr>
        <w:spacing w:after="0" w:line="18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Key financial and operating performance results for the second quarter of fiscal 2021 were as follows:</w:t>
      </w:r>
    </w:p>
    <w:p>
      <w:pPr>
        <w:spacing w:after="0" w:line="117" w:lineRule="exact"/>
        <w:rPr>
          <w:sz w:val="20"/>
          <w:szCs w:val="20"/>
          <w:color w:val="auto"/>
        </w:rPr>
      </w:pPr>
    </w:p>
    <w:p>
      <w:pPr>
        <w:ind w:left="820" w:hanging="326"/>
        <w:spacing w:after="0" w:line="277" w:lineRule="auto"/>
        <w:tabs>
          <w:tab w:leader="none" w:pos="815" w:val="left"/>
        </w:tabs>
        <w:numPr>
          <w:ilvl w:val="0"/>
          <w:numId w:val="9"/>
        </w:numPr>
        <w:rPr>
          <w:rFonts w:ascii="Arial" w:cs="Arial" w:eastAsia="Arial" w:hAnsi="Arial"/>
          <w:sz w:val="18"/>
          <w:szCs w:val="18"/>
          <w:color w:val="auto"/>
        </w:rPr>
      </w:pPr>
      <w:r>
        <w:rPr>
          <w:rFonts w:ascii="Arial" w:cs="Arial" w:eastAsia="Arial" w:hAnsi="Arial"/>
          <w:sz w:val="18"/>
          <w:szCs w:val="18"/>
          <w:color w:val="auto"/>
        </w:rPr>
        <w:t>Net sales decreased by 3.5% to $775.5 million from $803.4 million in the second quarter of fiscal 2020; comparable store sales decreased by 10.0% compared to a 16.7% increase in the same period last year.</w:t>
      </w:r>
    </w:p>
    <w:p>
      <w:pPr>
        <w:spacing w:after="0" w:line="62" w:lineRule="exact"/>
        <w:rPr>
          <w:rFonts w:ascii="Arial" w:cs="Arial" w:eastAsia="Arial" w:hAnsi="Arial"/>
          <w:sz w:val="18"/>
          <w:szCs w:val="18"/>
          <w:color w:val="auto"/>
        </w:rPr>
      </w:pPr>
    </w:p>
    <w:p>
      <w:pPr>
        <w:ind w:left="820" w:hanging="326"/>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opened 11 new stores, ending the second quarter of fiscal 2021 with 400 stores in six states.</w:t>
      </w:r>
    </w:p>
    <w:p>
      <w:pPr>
        <w:spacing w:after="0" w:line="117" w:lineRule="exact"/>
        <w:rPr>
          <w:rFonts w:ascii="Arial" w:cs="Arial" w:eastAsia="Arial" w:hAnsi="Arial"/>
          <w:sz w:val="18"/>
          <w:szCs w:val="18"/>
          <w:color w:val="auto"/>
        </w:rPr>
      </w:pPr>
    </w:p>
    <w:p>
      <w:pPr>
        <w:ind w:left="820" w:hanging="326"/>
        <w:spacing w:after="0" w:line="277" w:lineRule="auto"/>
        <w:tabs>
          <w:tab w:leader="none" w:pos="815" w:val="left"/>
        </w:tabs>
        <w:numPr>
          <w:ilvl w:val="0"/>
          <w:numId w:val="9"/>
        </w:numPr>
        <w:rPr>
          <w:rFonts w:ascii="Arial" w:cs="Arial" w:eastAsia="Arial" w:hAnsi="Arial"/>
          <w:sz w:val="18"/>
          <w:szCs w:val="18"/>
          <w:color w:val="auto"/>
        </w:rPr>
      </w:pPr>
      <w:r>
        <w:rPr>
          <w:rFonts w:ascii="Arial" w:cs="Arial" w:eastAsia="Arial" w:hAnsi="Arial"/>
          <w:sz w:val="18"/>
          <w:szCs w:val="18"/>
          <w:color w:val="auto"/>
        </w:rPr>
        <w:t>Net income decreased 33.0% to $19.6 million, or $0.20 per diluted share, compared to net income of $29.3 million, or $0.30 per diluted share, in the second quarter of fiscal 2020.</w:t>
      </w:r>
    </w:p>
    <w:p>
      <w:pPr>
        <w:spacing w:after="0" w:line="33" w:lineRule="exact"/>
        <w:rPr>
          <w:rFonts w:ascii="Arial" w:cs="Arial" w:eastAsia="Arial" w:hAnsi="Arial"/>
          <w:sz w:val="18"/>
          <w:szCs w:val="18"/>
          <w:color w:val="auto"/>
        </w:rPr>
      </w:pPr>
    </w:p>
    <w:p>
      <w:pPr>
        <w:ind w:left="820" w:hanging="326"/>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Adjusted EBITDA</w:t>
      </w:r>
      <w:r>
        <w:rPr>
          <w:rFonts w:ascii="Arial" w:cs="Arial" w:eastAsia="Arial" w:hAnsi="Arial"/>
          <w:sz w:val="28"/>
          <w:szCs w:val="28"/>
          <w:color w:val="auto"/>
          <w:vertAlign w:val="superscript"/>
        </w:rPr>
        <w:t>(1)</w:t>
      </w:r>
      <w:r>
        <w:rPr>
          <w:rFonts w:ascii="Arial" w:cs="Arial" w:eastAsia="Arial" w:hAnsi="Arial"/>
          <w:sz w:val="18"/>
          <w:szCs w:val="18"/>
          <w:color w:val="auto"/>
        </w:rPr>
        <w:t xml:space="preserve"> decreased 15.7% to $50.8 million compared to $60.3 million in the second quarter of fiscal 2020.</w:t>
      </w:r>
    </w:p>
    <w:p>
      <w:pPr>
        <w:spacing w:after="0" w:line="44" w:lineRule="exact"/>
        <w:rPr>
          <w:rFonts w:ascii="Arial" w:cs="Arial" w:eastAsia="Arial" w:hAnsi="Arial"/>
          <w:sz w:val="18"/>
          <w:szCs w:val="18"/>
          <w:color w:val="auto"/>
        </w:rPr>
      </w:pPr>
    </w:p>
    <w:p>
      <w:pPr>
        <w:ind w:left="820" w:hanging="326"/>
        <w:spacing w:after="0" w:line="226" w:lineRule="auto"/>
        <w:tabs>
          <w:tab w:leader="none" w:pos="820" w:val="left"/>
        </w:tabs>
        <w:numPr>
          <w:ilvl w:val="0"/>
          <w:numId w:val="9"/>
        </w:numPr>
        <w:rPr>
          <w:rFonts w:ascii="Arial" w:cs="Arial" w:eastAsia="Arial" w:hAnsi="Arial"/>
          <w:sz w:val="16"/>
          <w:szCs w:val="16"/>
          <w:color w:val="auto"/>
        </w:rPr>
      </w:pPr>
      <w:r>
        <w:rPr>
          <w:rFonts w:ascii="Arial" w:cs="Arial" w:eastAsia="Arial" w:hAnsi="Arial"/>
          <w:sz w:val="16"/>
          <w:szCs w:val="16"/>
          <w:color w:val="auto"/>
        </w:rPr>
        <w:t>Adjusted net income</w:t>
      </w:r>
      <w:r>
        <w:rPr>
          <w:rFonts w:ascii="Arial" w:cs="Arial" w:eastAsia="Arial" w:hAnsi="Arial"/>
          <w:sz w:val="20"/>
          <w:szCs w:val="20"/>
          <w:color w:val="auto"/>
          <w:vertAlign w:val="superscript"/>
        </w:rPr>
        <w:t>(1)</w:t>
      </w:r>
      <w:r>
        <w:rPr>
          <w:rFonts w:ascii="Arial" w:cs="Arial" w:eastAsia="Arial" w:hAnsi="Arial"/>
          <w:sz w:val="16"/>
          <w:szCs w:val="16"/>
          <w:color w:val="auto"/>
        </w:rPr>
        <w:t xml:space="preserve"> decreased 27.1% to $23.3 million, or $0.23 per adjusted diluted share, compared to $32.0 million, or $0.32 per adjusted</w:t>
      </w:r>
    </w:p>
    <w:p>
      <w:pPr>
        <w:spacing w:after="0" w:line="1" w:lineRule="exact"/>
        <w:rPr>
          <w:sz w:val="20"/>
          <w:szCs w:val="20"/>
          <w:color w:val="auto"/>
        </w:rPr>
      </w:pPr>
    </w:p>
    <w:p>
      <w:pPr>
        <w:ind w:left="820"/>
        <w:spacing w:after="0"/>
        <w:rPr>
          <w:sz w:val="20"/>
          <w:szCs w:val="20"/>
          <w:color w:val="auto"/>
        </w:rPr>
      </w:pPr>
      <w:r>
        <w:rPr>
          <w:rFonts w:ascii="Arial" w:cs="Arial" w:eastAsia="Arial" w:hAnsi="Arial"/>
          <w:sz w:val="18"/>
          <w:szCs w:val="18"/>
          <w:color w:val="auto"/>
        </w:rPr>
        <w:t>diluted share, in the second quarter of fiscal 2020.</w:t>
      </w:r>
    </w:p>
    <w:p>
      <w:pPr>
        <w:spacing w:after="0" w:line="38" w:lineRule="exact"/>
        <w:rPr>
          <w:sz w:val="20"/>
          <w:szCs w:val="20"/>
          <w:color w:val="auto"/>
        </w:rPr>
      </w:pPr>
    </w:p>
    <w:p>
      <w:pPr>
        <w:ind w:left="820"/>
        <w:spacing w:after="0"/>
        <w:rPr>
          <w:sz w:val="20"/>
          <w:szCs w:val="20"/>
          <w:color w:val="auto"/>
        </w:rPr>
      </w:pPr>
      <w:r>
        <w:rPr>
          <w:rFonts w:ascii="Arial" w:cs="Arial" w:eastAsia="Arial" w:hAnsi="Arial"/>
          <w:sz w:val="11"/>
          <w:szCs w:val="11"/>
          <w:color w:val="auto"/>
        </w:rPr>
        <w:t>_______________________</w:t>
      </w:r>
    </w:p>
    <w:p>
      <w:pPr>
        <w:spacing w:after="0" w:line="103" w:lineRule="exact"/>
        <w:rPr>
          <w:sz w:val="20"/>
          <w:szCs w:val="20"/>
          <w:color w:val="auto"/>
        </w:rPr>
      </w:pPr>
    </w:p>
    <w:p>
      <w:pPr>
        <w:jc w:val="both"/>
        <w:ind w:left="660" w:hanging="328"/>
        <w:spacing w:after="0" w:line="274" w:lineRule="auto"/>
        <w:tabs>
          <w:tab w:leader="none" w:pos="660" w:val="left"/>
        </w:tabs>
        <w:numPr>
          <w:ilvl w:val="0"/>
          <w:numId w:val="10"/>
        </w:numPr>
        <w:rPr>
          <w:rFonts w:ascii="Arial" w:cs="Arial" w:eastAsia="Arial" w:hAnsi="Arial"/>
          <w:sz w:val="15"/>
          <w:szCs w:val="15"/>
          <w:color w:val="auto"/>
        </w:rPr>
      </w:pPr>
      <w:r>
        <w:rPr>
          <w:rFonts w:ascii="Arial" w:cs="Arial" w:eastAsia="Arial" w:hAnsi="Arial"/>
          <w:sz w:val="15"/>
          <w:szCs w:val="15"/>
          <w:color w:val="auto"/>
        </w:rPr>
        <w:t>Adjusted EBITDA, adjusted net income and adjusted diluted earnings per share are non-GAAP financial measures and should be considered as a supplement to, and not as a substitute for, or superior to, financial measures calculated in accordance with GAAP. Beginning with the fourth quarter of fiscal 2020, we updated our definitions of adjusted EBITDA and adjusted net income to simplify our presentation and enhance comparability between periods. The presentations for adjusted EBITDA, adjusted net income and adjusted diluted earnings per share for fiscal 2020 have been recast to reflect these changes. See GAAP to non-GAAP reconciliations in the "Operating Metrics and Non-GAAP Financial Measures" section below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4"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Components of 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117" w:lineRule="exact"/>
        <w:rPr>
          <w:sz w:val="20"/>
          <w:szCs w:val="20"/>
          <w:color w:val="auto"/>
        </w:rPr>
      </w:pPr>
    </w:p>
    <w:p>
      <w:pPr>
        <w:jc w:val="both"/>
        <w:ind w:firstLine="486"/>
        <w:spacing w:after="0" w:line="287" w:lineRule="auto"/>
        <w:rPr>
          <w:sz w:val="20"/>
          <w:szCs w:val="20"/>
          <w:color w:val="auto"/>
        </w:rPr>
      </w:pPr>
      <w:r>
        <w:rPr>
          <w:rFonts w:ascii="Arial" w:cs="Arial" w:eastAsia="Arial" w:hAnsi="Arial"/>
          <w:sz w:val="16"/>
          <w:szCs w:val="16"/>
          <w:color w:val="auto"/>
        </w:rPr>
        <w:t>We recognize revenues from the sale of products at the point of sale, net of any taxes or deposits collected and remitted to governmental authorities. Discounts provided to customers by us are recognized at the time of sale as a reduction in sales as the products are sold. Discounts that are funded solely by IOs are not recognized as a reduction in sales as the IO bears the incidental costs arising from the discount. We do not accept manufacturer coupons. Sales consist of sales from comparable stores and non-comparable stores, described below under “Comparable Store Sales.” Growth of our sales is generally driven by expansion of our store base in existing and new markets as well as comparable store sales growth. Sales are impacted by the spending habits of our customers, product mix and availability, as well as promotional and competitive activities. Our ever-changing selection of offerings across diverse product categories supports growth in sales by attracting new customers and encouraging repeat visits from our existing customers. The spending habits of our customers are affected by changes in macroeconomic conditions, such as those experienced beginning in March 2020 due to the COVID-19 pandemic, and changes in discretionary income. As another example, the recent re-opening of businesses has led to a decrease in our customer count as customers are again traveling and eating out at restaurants. Our customers’ discretionary income is primarily impacted by wages, fuel and other cost-of-living increases including food-at-home inflation, as well as consumer trends and preferences, which fluctuate depending on the environment. Because we offer a broad selection of merchandise at extreme values, historically we have benefited from periods of economic uncertainty.</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Sales, Gross Profit and Gross Margin</w:t>
      </w:r>
    </w:p>
    <w:p>
      <w:pPr>
        <w:spacing w:after="0" w:line="117"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Cost of sales includes, among other things, merchandise costs, inventory markdowns, inventory losses and transportation, distribution and warehousing costs, including depreciation. Gross profit is equal to our sales less our cost of sales. Gross margin is gross profit as a percentage of our sales. Gross margin is a measure used by management to indicate whether we are selling merchandise at an appropriate gross profit. Gross margin is impacted by product mix and availability, as some products generally provide higher gross margins, and by our merchandise costs, which can vary. Gross margin is also impacted by the costs of distributing and transporting product to our stores, which can vary. Our gross profit is variable in nature and generally follows changes in sales. While our disciplined buying approach has produced consistent gross margins throughout economic cycles which we believe has helped to mitigate adverse impacts on gross profit and results of operations, rapid changes in consumer demand like we experienced at the beginning of the COVID-19 pandemic could result in unexpected changes to our gross margins. The components of our cost of sales may not be comparable to the components of cost of sales or similar measures of our competitors and other retailers. As a result, our gross profit and gross margin may not be comparable to similar data made available by our competitors and other retailers.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17" w:lineRule="exact"/>
        <w:rPr>
          <w:sz w:val="20"/>
          <w:szCs w:val="20"/>
          <w:color w:val="auto"/>
        </w:rPr>
      </w:pPr>
    </w:p>
    <w:p>
      <w:pPr>
        <w:jc w:val="both"/>
        <w:ind w:firstLine="486"/>
        <w:spacing w:after="0" w:line="289" w:lineRule="auto"/>
        <w:rPr>
          <w:sz w:val="20"/>
          <w:szCs w:val="20"/>
          <w:color w:val="auto"/>
        </w:rPr>
      </w:pPr>
      <w:r>
        <w:rPr>
          <w:rFonts w:ascii="Arial" w:cs="Arial" w:eastAsia="Arial" w:hAnsi="Arial"/>
          <w:sz w:val="16"/>
          <w:szCs w:val="16"/>
          <w:color w:val="auto"/>
        </w:rPr>
        <w:t>SG&amp;A expenses are comprised of both store-related expenses and corporate expenses. Store-related expenses include commissions paid to IOs, occupancy and shared maintenance costs, the cost of opening new IO stores, and Company-operated store expenses, including payroll, benefits, supplies and utilities. In addition, beginning in fiscal 2020, SG&amp;A included incremental costs associated with COVID-19, such as cleaning and safety costs, costs for PPE and supplies. Corporate expenses include payroll and benefits for corporate and field support, marketing and advertising, insurance and professional services and operator recruiting and training costs. SG&amp;A generally increases as we grow our store base and invest in our corporate infrastructure. SG&amp;A expenses related to commissions paid to IOs are variable in nature and generally increase as gross profits rise and decrease as gross profits decline. The remainder of our expenses are primarily fixed in nature. We continue to closely manage our expenses and monitor SG&amp;A as a percentage of sales. The components of our SG&amp;A may not be comparable to the components of similar measures of our competitors and other retailers. We expect that our SG&amp;A will continue to increase in future periods as we continue to grow our sales revenue.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Income</w:t>
      </w:r>
    </w:p>
    <w:p>
      <w:pPr>
        <w:spacing w:after="0" w:line="117"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Operating income is gross profit less SG&amp;A, depreciation and amortization and share-based compensation. Operating income excludes interest expense, net, gain on insurance recoveries, debt extinguishment and modification costs and income tax expense (benefit). We use operating income as an indicator of the productivity of our business and our ability to manage expenses.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4"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89"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The following tables summarize key components of our results of operations both in dollars and as a percentage of sales (amounts in thousands, except for percentages):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980" w:type="dxa"/>
            <w:vAlign w:val="bottom"/>
            <w:gridSpan w:val="9"/>
          </w:tcPr>
          <w:p>
            <w:pPr>
              <w:ind w:left="840"/>
              <w:spacing w:after="0"/>
              <w:rPr>
                <w:sz w:val="20"/>
                <w:szCs w:val="20"/>
                <w:color w:val="auto"/>
              </w:rPr>
            </w:pPr>
            <w:r>
              <w:rPr>
                <w:rFonts w:ascii="Arial" w:cs="Arial" w:eastAsia="Arial" w:hAnsi="Arial"/>
                <w:sz w:val="14"/>
                <w:szCs w:val="14"/>
                <w:b w:val="1"/>
                <w:bCs w:val="1"/>
                <w:color w:val="auto"/>
              </w:rPr>
              <w:t>13 Weeks Ended</w:t>
            </w:r>
          </w:p>
        </w:tc>
        <w:tc>
          <w:tcPr>
            <w:tcW w:w="280" w:type="dxa"/>
            <w:vAlign w:val="bottom"/>
          </w:tcPr>
          <w:p>
            <w:pPr>
              <w:spacing w:after="0"/>
              <w:rPr>
                <w:sz w:val="16"/>
                <w:szCs w:val="16"/>
                <w:color w:val="auto"/>
              </w:rPr>
            </w:pPr>
          </w:p>
        </w:tc>
        <w:tc>
          <w:tcPr>
            <w:tcW w:w="1760" w:type="dxa"/>
            <w:vAlign w:val="bottom"/>
            <w:gridSpan w:val="5"/>
          </w:tcPr>
          <w:p>
            <w:pPr>
              <w:jc w:val="right"/>
              <w:spacing w:after="0"/>
              <w:rPr>
                <w:sz w:val="20"/>
                <w:szCs w:val="20"/>
                <w:color w:val="auto"/>
              </w:rPr>
            </w:pPr>
            <w:r>
              <w:rPr>
                <w:rFonts w:ascii="Arial" w:cs="Arial" w:eastAsia="Arial" w:hAnsi="Arial"/>
                <w:sz w:val="14"/>
                <w:szCs w:val="14"/>
                <w:b w:val="1"/>
                <w:bCs w:val="1"/>
                <w:color w:val="auto"/>
              </w:rPr>
              <w:t>26 Weeks Ended</w:t>
            </w:r>
          </w:p>
        </w:tc>
        <w:tc>
          <w:tcPr>
            <w:tcW w:w="1040" w:type="dxa"/>
            <w:vAlign w:val="bottom"/>
          </w:tcPr>
          <w:p>
            <w:pPr>
              <w:spacing w:after="0"/>
              <w:rPr>
                <w:sz w:val="16"/>
                <w:szCs w:val="16"/>
                <w:color w:val="auto"/>
              </w:rPr>
            </w:pPr>
          </w:p>
        </w:tc>
      </w:tr>
      <w:tr>
        <w:trPr>
          <w:trHeight w:val="134"/>
        </w:trPr>
        <w:tc>
          <w:tcPr>
            <w:tcW w:w="4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380" w:type="dxa"/>
            <w:vAlign w:val="bottom"/>
            <w:tcBorders>
              <w:top w:val="single" w:sz="8" w:color="auto"/>
            </w:tcBorders>
            <w:gridSpan w:val="4"/>
          </w:tcPr>
          <w:p>
            <w:pPr>
              <w:ind w:left="340"/>
              <w:spacing w:after="0" w:line="135" w:lineRule="exact"/>
              <w:rPr>
                <w:sz w:val="20"/>
                <w:szCs w:val="20"/>
                <w:color w:val="auto"/>
              </w:rPr>
            </w:pPr>
            <w:r>
              <w:rPr>
                <w:rFonts w:ascii="Arial" w:cs="Arial" w:eastAsia="Arial" w:hAnsi="Arial"/>
                <w:sz w:val="14"/>
                <w:szCs w:val="14"/>
                <w:b w:val="1"/>
                <w:bCs w:val="1"/>
                <w:color w:val="auto"/>
              </w:rPr>
              <w:t>July 3,</w:t>
            </w:r>
          </w:p>
        </w:tc>
        <w:tc>
          <w:tcPr>
            <w:tcW w:w="30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gridSpan w:val="3"/>
          </w:tcPr>
          <w:p>
            <w:pPr>
              <w:jc w:val="right"/>
              <w:ind w:right="500"/>
              <w:spacing w:after="0" w:line="135" w:lineRule="exact"/>
              <w:rPr>
                <w:sz w:val="20"/>
                <w:szCs w:val="20"/>
                <w:color w:val="auto"/>
              </w:rPr>
            </w:pPr>
            <w:r>
              <w:rPr>
                <w:rFonts w:ascii="Arial" w:cs="Arial" w:eastAsia="Arial" w:hAnsi="Arial"/>
                <w:sz w:val="14"/>
                <w:szCs w:val="14"/>
                <w:b w:val="1"/>
                <w:bCs w:val="1"/>
                <w:color w:val="auto"/>
              </w:rPr>
              <w:t>June 27,</w:t>
            </w:r>
          </w:p>
        </w:tc>
        <w:tc>
          <w:tcPr>
            <w:tcW w:w="10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gridSpan w:val="4"/>
          </w:tcPr>
          <w:p>
            <w:pPr>
              <w:ind w:left="260"/>
              <w:spacing w:after="0" w:line="135" w:lineRule="exact"/>
              <w:rPr>
                <w:sz w:val="20"/>
                <w:szCs w:val="20"/>
                <w:color w:val="auto"/>
              </w:rPr>
            </w:pPr>
            <w:r>
              <w:rPr>
                <w:rFonts w:ascii="Arial" w:cs="Arial" w:eastAsia="Arial" w:hAnsi="Arial"/>
                <w:sz w:val="14"/>
                <w:szCs w:val="14"/>
                <w:b w:val="1"/>
                <w:bCs w:val="1"/>
                <w:color w:val="auto"/>
              </w:rPr>
              <w:t>July 3,</w:t>
            </w:r>
          </w:p>
        </w:tc>
        <w:tc>
          <w:tcPr>
            <w:tcW w:w="44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jc w:val="right"/>
              <w:ind w:right="392"/>
              <w:spacing w:after="0" w:line="135" w:lineRule="exact"/>
              <w:rPr>
                <w:sz w:val="20"/>
                <w:szCs w:val="20"/>
                <w:color w:val="auto"/>
              </w:rPr>
            </w:pPr>
            <w:r>
              <w:rPr>
                <w:rFonts w:ascii="Arial" w:cs="Arial" w:eastAsia="Arial" w:hAnsi="Arial"/>
                <w:sz w:val="14"/>
                <w:szCs w:val="14"/>
                <w:b w:val="1"/>
                <w:bCs w:val="1"/>
                <w:color w:val="auto"/>
                <w:w w:val="96"/>
              </w:rPr>
              <w:t>June 27,</w:t>
            </w:r>
          </w:p>
        </w:tc>
      </w:tr>
      <w:tr>
        <w:trPr>
          <w:trHeight w:val="188"/>
        </w:trPr>
        <w:tc>
          <w:tcPr>
            <w:tcW w:w="4700" w:type="dxa"/>
            <w:vAlign w:val="bottom"/>
            <w:tcBorders>
              <w:bottom w:val="single" w:sz="8" w:color="CCEEFF"/>
            </w:tcBorders>
          </w:tcPr>
          <w:p>
            <w:pPr>
              <w:spacing w:after="0"/>
              <w:rPr>
                <w:sz w:val="16"/>
                <w:szCs w:val="16"/>
                <w:color w:val="auto"/>
              </w:rPr>
            </w:pPr>
          </w:p>
        </w:tc>
        <w:tc>
          <w:tcPr>
            <w:tcW w:w="2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2021</w:t>
            </w: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2020</w:t>
            </w:r>
          </w:p>
        </w:tc>
      </w:tr>
      <w:tr>
        <w:trPr>
          <w:trHeight w:val="224"/>
        </w:trPr>
        <w:tc>
          <w:tcPr>
            <w:tcW w:w="4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775,535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803,429</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1,528,001</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1,563,737</w:t>
            </w:r>
          </w:p>
        </w:tc>
      </w:tr>
      <w:tr>
        <w:trPr>
          <w:trHeight w:val="230"/>
        </w:trPr>
        <w:tc>
          <w:tcPr>
            <w:tcW w:w="49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Cost of sales</w:t>
            </w: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537,737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549,678</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1,058,276</w:t>
            </w:r>
          </w:p>
        </w:tc>
        <w:tc>
          <w:tcPr>
            <w:tcW w:w="60" w:type="dxa"/>
            <w:vAlign w:val="bottom"/>
            <w:tcBorders>
              <w:bottom w:val="single" w:sz="8" w:color="auto"/>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1,072,960</w:t>
            </w:r>
          </w:p>
        </w:tc>
      </w:tr>
      <w:tr>
        <w:trPr>
          <w:trHeight w:val="223"/>
        </w:trPr>
        <w:tc>
          <w:tcPr>
            <w:tcW w:w="4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00" w:type="dxa"/>
            <w:vAlign w:val="bottom"/>
            <w:shd w:val="clear" w:color="auto" w:fill="CCEEFF"/>
          </w:tcPr>
          <w:p>
            <w:pPr>
              <w:spacing w:after="0"/>
              <w:rPr>
                <w:sz w:val="19"/>
                <w:szCs w:val="19"/>
                <w:color w:val="auto"/>
              </w:rPr>
            </w:pPr>
          </w:p>
        </w:tc>
        <w:tc>
          <w:tcPr>
            <w:tcW w:w="12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237,798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253,751</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469,725</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490,777</w:t>
            </w:r>
          </w:p>
        </w:tc>
      </w:tr>
      <w:tr>
        <w:trPr>
          <w:trHeight w:val="229"/>
        </w:trPr>
        <w:tc>
          <w:tcPr>
            <w:tcW w:w="4980" w:type="dxa"/>
            <w:vAlign w:val="bottom"/>
            <w:gridSpan w:val="2"/>
          </w:tcPr>
          <w:p>
            <w:pPr>
              <w:ind w:left="20"/>
              <w:spacing w:after="0"/>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49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shd w:val="clear" w:color="auto" w:fill="CCEEFF"/>
          </w:tcPr>
          <w:p>
            <w:pPr>
              <w:spacing w:after="0"/>
              <w:rPr>
                <w:sz w:val="19"/>
                <w:szCs w:val="19"/>
                <w:color w:val="auto"/>
              </w:rPr>
            </w:pPr>
          </w:p>
        </w:tc>
        <w:tc>
          <w:tcPr>
            <w:tcW w:w="12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192,955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198,002</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381,553</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384,933</w:t>
            </w:r>
          </w:p>
        </w:tc>
      </w:tr>
      <w:tr>
        <w:trPr>
          <w:trHeight w:val="229"/>
        </w:trPr>
        <w:tc>
          <w:tcPr>
            <w:tcW w:w="4980" w:type="dxa"/>
            <w:vAlign w:val="bottom"/>
            <w:gridSpan w:val="2"/>
          </w:tcPr>
          <w:p>
            <w:pPr>
              <w:ind w:left="24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19"/>
                <w:szCs w:val="19"/>
                <w:color w:val="auto"/>
              </w:rPr>
            </w:pPr>
          </w:p>
        </w:tc>
        <w:tc>
          <w:tcPr>
            <w:tcW w:w="1280" w:type="dxa"/>
            <w:vAlign w:val="bottom"/>
            <w:gridSpan w:val="3"/>
          </w:tcPr>
          <w:p>
            <w:pPr>
              <w:jc w:val="right"/>
              <w:ind w:right="80"/>
              <w:spacing w:after="0"/>
              <w:rPr>
                <w:sz w:val="20"/>
                <w:szCs w:val="20"/>
                <w:color w:val="auto"/>
              </w:rPr>
            </w:pPr>
            <w:r>
              <w:rPr>
                <w:rFonts w:ascii="Arial" w:cs="Arial" w:eastAsia="Arial" w:hAnsi="Arial"/>
                <w:sz w:val="18"/>
                <w:szCs w:val="18"/>
                <w:color w:val="auto"/>
              </w:rPr>
              <w:t>16,959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13,215</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32,502</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26,160</w:t>
            </w:r>
          </w:p>
        </w:tc>
      </w:tr>
      <w:tr>
        <w:trPr>
          <w:trHeight w:val="230"/>
        </w:trPr>
        <w:tc>
          <w:tcPr>
            <w:tcW w:w="49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Share-based compensation</w:t>
            </w: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4,210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10,175</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8,149</w:t>
            </w:r>
          </w:p>
        </w:tc>
        <w:tc>
          <w:tcPr>
            <w:tcW w:w="60" w:type="dxa"/>
            <w:vAlign w:val="bottom"/>
            <w:tcBorders>
              <w:bottom w:val="single" w:sz="8" w:color="auto"/>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30,452</w:t>
            </w:r>
          </w:p>
        </w:tc>
      </w:tr>
      <w:tr>
        <w:trPr>
          <w:trHeight w:val="223"/>
        </w:trPr>
        <w:tc>
          <w:tcPr>
            <w:tcW w:w="4980" w:type="dxa"/>
            <w:vAlign w:val="bottom"/>
            <w:tcBorders>
              <w:bottom w:val="single" w:sz="8" w:color="CCEEFF"/>
            </w:tcBorders>
            <w:gridSpan w:val="2"/>
          </w:tcPr>
          <w:p>
            <w:pPr>
              <w:ind w:left="46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214,124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221,392</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422,204</w:t>
            </w:r>
          </w:p>
        </w:tc>
        <w:tc>
          <w:tcPr>
            <w:tcW w:w="60" w:type="dxa"/>
            <w:vAlign w:val="bottom"/>
            <w:tcBorders>
              <w:bottom w:val="single" w:sz="8" w:color="auto"/>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441,545</w:t>
            </w:r>
          </w:p>
        </w:tc>
      </w:tr>
      <w:tr>
        <w:trPr>
          <w:trHeight w:val="223"/>
        </w:trPr>
        <w:tc>
          <w:tcPr>
            <w:tcW w:w="4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23,674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32,359</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47,521</w:t>
            </w:r>
          </w:p>
        </w:tc>
        <w:tc>
          <w:tcPr>
            <w:tcW w:w="60" w:type="dxa"/>
            <w:vAlign w:val="bottom"/>
            <w:tcBorders>
              <w:bottom w:val="single" w:sz="8" w:color="auto"/>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49,232</w:t>
            </w:r>
          </w:p>
        </w:tc>
      </w:tr>
      <w:tr>
        <w:trPr>
          <w:trHeight w:val="209"/>
        </w:trPr>
        <w:tc>
          <w:tcPr>
            <w:tcW w:w="4980" w:type="dxa"/>
            <w:vAlign w:val="bottom"/>
            <w:gridSpan w:val="2"/>
          </w:tcPr>
          <w:p>
            <w:pPr>
              <w:ind w:left="20"/>
              <w:spacing w:after="0"/>
              <w:rPr>
                <w:sz w:val="20"/>
                <w:szCs w:val="20"/>
                <w:color w:val="auto"/>
              </w:rPr>
            </w:pPr>
            <w:r>
              <w:rPr>
                <w:rFonts w:ascii="Arial" w:cs="Arial" w:eastAsia="Arial" w:hAnsi="Arial"/>
                <w:sz w:val="18"/>
                <w:szCs w:val="18"/>
                <w:color w:val="auto"/>
              </w:rPr>
              <w:t>Other expenses (income):</w:t>
            </w: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0"/>
        </w:trPr>
        <w:tc>
          <w:tcPr>
            <w:tcW w:w="49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Interest expense, net</w:t>
            </w:r>
          </w:p>
        </w:tc>
        <w:tc>
          <w:tcPr>
            <w:tcW w:w="200" w:type="dxa"/>
            <w:vAlign w:val="bottom"/>
            <w:shd w:val="clear" w:color="auto" w:fill="CCEEFF"/>
          </w:tcPr>
          <w:p>
            <w:pPr>
              <w:spacing w:after="0"/>
              <w:rPr>
                <w:sz w:val="19"/>
                <w:szCs w:val="19"/>
                <w:color w:val="auto"/>
              </w:rPr>
            </w:pPr>
          </w:p>
        </w:tc>
        <w:tc>
          <w:tcPr>
            <w:tcW w:w="12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3,922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5,270</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7,828</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11,104</w:t>
            </w:r>
          </w:p>
        </w:tc>
      </w:tr>
      <w:tr>
        <w:trPr>
          <w:trHeight w:val="229"/>
        </w:trPr>
        <w:tc>
          <w:tcPr>
            <w:tcW w:w="4980" w:type="dxa"/>
            <w:vAlign w:val="bottom"/>
            <w:gridSpan w:val="2"/>
          </w:tcPr>
          <w:p>
            <w:pPr>
              <w:ind w:left="240"/>
              <w:spacing w:after="0"/>
              <w:rPr>
                <w:sz w:val="20"/>
                <w:szCs w:val="20"/>
                <w:color w:val="auto"/>
              </w:rPr>
            </w:pPr>
            <w:r>
              <w:rPr>
                <w:rFonts w:ascii="Arial" w:cs="Arial" w:eastAsia="Arial" w:hAnsi="Arial"/>
                <w:sz w:val="18"/>
                <w:szCs w:val="18"/>
                <w:color w:val="auto"/>
              </w:rPr>
              <w:t>Gain on insurance recoveries</w:t>
            </w:r>
          </w:p>
        </w:tc>
        <w:tc>
          <w:tcPr>
            <w:tcW w:w="200" w:type="dxa"/>
            <w:vAlign w:val="bottom"/>
          </w:tcPr>
          <w:p>
            <w:pPr>
              <w:spacing w:after="0"/>
              <w:rPr>
                <w:sz w:val="19"/>
                <w:szCs w:val="19"/>
                <w:color w:val="auto"/>
              </w:rPr>
            </w:pP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(3,970)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gridSpan w:val="4"/>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(3,970)</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9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Debt extinguishment and modification costs</w:t>
            </w:r>
          </w:p>
        </w:tc>
        <w:tc>
          <w:tcPr>
            <w:tcW w:w="200" w:type="dxa"/>
            <w:vAlign w:val="bottom"/>
            <w:shd w:val="clear" w:color="auto" w:fill="CCEEFF"/>
          </w:tcPr>
          <w:p>
            <w:pPr>
              <w:spacing w:after="0"/>
              <w:rPr>
                <w:sz w:val="19"/>
                <w:szCs w:val="19"/>
                <w:color w:val="auto"/>
              </w:rPr>
            </w:pPr>
          </w:p>
        </w:tc>
        <w:tc>
          <w:tcPr>
            <w:tcW w:w="138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30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32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r>
      <w:tr>
        <w:trPr>
          <w:trHeight w:val="223"/>
        </w:trPr>
        <w:tc>
          <w:tcPr>
            <w:tcW w:w="4980" w:type="dxa"/>
            <w:vAlign w:val="bottom"/>
            <w:tcBorders>
              <w:bottom w:val="single" w:sz="8" w:color="CCEEFF"/>
            </w:tcBorders>
            <w:gridSpan w:val="2"/>
          </w:tcPr>
          <w:p>
            <w:pPr>
              <w:ind w:left="460"/>
              <w:spacing w:after="0"/>
              <w:rPr>
                <w:sz w:val="20"/>
                <w:szCs w:val="20"/>
                <w:color w:val="auto"/>
              </w:rPr>
            </w:pPr>
            <w:r>
              <w:rPr>
                <w:rFonts w:ascii="Arial" w:cs="Arial" w:eastAsia="Arial" w:hAnsi="Arial"/>
                <w:sz w:val="18"/>
                <w:szCs w:val="18"/>
                <w:color w:val="auto"/>
              </w:rPr>
              <w:t>Total other expenses (income)</w:t>
            </w:r>
          </w:p>
        </w:tc>
        <w:tc>
          <w:tcPr>
            <w:tcW w:w="20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5,270</w:t>
            </w:r>
          </w:p>
        </w:tc>
        <w:tc>
          <w:tcPr>
            <w:tcW w:w="40" w:type="dxa"/>
            <w:vAlign w:val="bottom"/>
            <w:tcBorders>
              <w:top w:val="single" w:sz="8" w:color="auto"/>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3,858</w:t>
            </w:r>
          </w:p>
        </w:tc>
        <w:tc>
          <w:tcPr>
            <w:tcW w:w="60" w:type="dxa"/>
            <w:vAlign w:val="bottom"/>
            <w:tcBorders>
              <w:top w:val="single" w:sz="8" w:color="auto"/>
              <w:bottom w:val="single" w:sz="8" w:color="auto"/>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11,302</w:t>
            </w:r>
          </w:p>
        </w:tc>
      </w:tr>
      <w:tr>
        <w:trPr>
          <w:trHeight w:val="223"/>
        </w:trPr>
        <w:tc>
          <w:tcPr>
            <w:tcW w:w="4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200" w:type="dxa"/>
            <w:vAlign w:val="bottom"/>
            <w:shd w:val="clear" w:color="auto" w:fill="CCEEFF"/>
          </w:tcPr>
          <w:p>
            <w:pPr>
              <w:spacing w:after="0"/>
              <w:rPr>
                <w:sz w:val="19"/>
                <w:szCs w:val="19"/>
                <w:color w:val="auto"/>
              </w:rPr>
            </w:pPr>
          </w:p>
        </w:tc>
        <w:tc>
          <w:tcPr>
            <w:tcW w:w="12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23,722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27,089</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43,663</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37,930</w:t>
            </w:r>
          </w:p>
        </w:tc>
      </w:tr>
      <w:tr>
        <w:trPr>
          <w:trHeight w:val="230"/>
        </w:trPr>
        <w:tc>
          <w:tcPr>
            <w:tcW w:w="49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Income tax expense (benefit)</w:t>
            </w: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4,082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color w:val="auto"/>
              </w:rPr>
              <w:t>(2,244)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5,131</w:t>
            </w:r>
          </w:p>
        </w:tc>
        <w:tc>
          <w:tcPr>
            <w:tcW w:w="60" w:type="dxa"/>
            <w:vAlign w:val="bottom"/>
            <w:tcBorders>
              <w:bottom w:val="single" w:sz="8" w:color="auto"/>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(4,045)</w:t>
            </w:r>
          </w:p>
        </w:tc>
      </w:tr>
      <w:tr>
        <w:trPr>
          <w:trHeight w:val="248"/>
        </w:trPr>
        <w:tc>
          <w:tcPr>
            <w:tcW w:w="4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income and comprehensive income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19,640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29,333</w:t>
            </w: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38,532</w:t>
            </w:r>
          </w:p>
        </w:tc>
        <w:tc>
          <w:tcPr>
            <w:tcW w:w="60" w:type="dxa"/>
            <w:vAlign w:val="bottom"/>
            <w:tcBorders>
              <w:bottom w:val="single" w:sz="8" w:color="auto"/>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41,975</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697"/>
        </w:trPr>
        <w:tc>
          <w:tcPr>
            <w:tcW w:w="47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13 Weeks Ended</w:t>
            </w:r>
          </w:p>
        </w:tc>
        <w:tc>
          <w:tcPr>
            <w:tcW w:w="10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26 Weeks Ended</w:t>
            </w:r>
          </w:p>
        </w:tc>
        <w:tc>
          <w:tcPr>
            <w:tcW w:w="1040" w:type="dxa"/>
            <w:vAlign w:val="bottom"/>
            <w:tcBorders>
              <w:bottom w:val="single" w:sz="8" w:color="auto"/>
            </w:tcBorders>
          </w:tcPr>
          <w:p>
            <w:pPr>
              <w:spacing w:after="0"/>
              <w:rPr>
                <w:sz w:val="24"/>
                <w:szCs w:val="24"/>
                <w:color w:val="auto"/>
              </w:rPr>
            </w:pPr>
          </w:p>
        </w:tc>
      </w:tr>
      <w:tr>
        <w:trPr>
          <w:trHeight w:val="134"/>
        </w:trPr>
        <w:tc>
          <w:tcPr>
            <w:tcW w:w="4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80" w:type="dxa"/>
            <w:vAlign w:val="bottom"/>
            <w:gridSpan w:val="4"/>
          </w:tcPr>
          <w:p>
            <w:pPr>
              <w:ind w:left="100"/>
              <w:spacing w:after="0" w:line="135" w:lineRule="exact"/>
              <w:rPr>
                <w:sz w:val="20"/>
                <w:szCs w:val="20"/>
                <w:color w:val="auto"/>
              </w:rPr>
            </w:pPr>
            <w:r>
              <w:rPr>
                <w:rFonts w:ascii="Arial" w:cs="Arial" w:eastAsia="Arial" w:hAnsi="Arial"/>
                <w:sz w:val="14"/>
                <w:szCs w:val="14"/>
                <w:b w:val="1"/>
                <w:bCs w:val="1"/>
                <w:color w:val="auto"/>
              </w:rPr>
              <w:t>July 3,</w:t>
            </w:r>
          </w:p>
        </w:tc>
        <w:tc>
          <w:tcPr>
            <w:tcW w:w="300" w:type="dxa"/>
            <w:vAlign w:val="bottom"/>
          </w:tcPr>
          <w:p>
            <w:pPr>
              <w:spacing w:after="0"/>
              <w:rPr>
                <w:sz w:val="11"/>
                <w:szCs w:val="11"/>
                <w:color w:val="auto"/>
              </w:rPr>
            </w:pPr>
          </w:p>
        </w:tc>
        <w:tc>
          <w:tcPr>
            <w:tcW w:w="1060" w:type="dxa"/>
            <w:vAlign w:val="bottom"/>
          </w:tcPr>
          <w:p>
            <w:pPr>
              <w:jc w:val="right"/>
              <w:ind w:right="432"/>
              <w:spacing w:after="0" w:line="135" w:lineRule="exact"/>
              <w:rPr>
                <w:sz w:val="20"/>
                <w:szCs w:val="20"/>
                <w:color w:val="auto"/>
              </w:rPr>
            </w:pPr>
            <w:r>
              <w:rPr>
                <w:rFonts w:ascii="Arial" w:cs="Arial" w:eastAsia="Arial" w:hAnsi="Arial"/>
                <w:sz w:val="14"/>
                <w:szCs w:val="14"/>
                <w:b w:val="1"/>
                <w:bCs w:val="1"/>
                <w:color w:val="auto"/>
                <w:w w:val="92"/>
              </w:rPr>
              <w:t>June 27,</w:t>
            </w:r>
          </w:p>
        </w:tc>
        <w:tc>
          <w:tcPr>
            <w:tcW w:w="100" w:type="dxa"/>
            <w:vAlign w:val="bottom"/>
          </w:tcPr>
          <w:p>
            <w:pPr>
              <w:spacing w:after="0"/>
              <w:rPr>
                <w:sz w:val="11"/>
                <w:szCs w:val="11"/>
                <w:color w:val="auto"/>
              </w:rPr>
            </w:pPr>
          </w:p>
        </w:tc>
        <w:tc>
          <w:tcPr>
            <w:tcW w:w="140" w:type="dxa"/>
            <w:vAlign w:val="bottom"/>
            <w:gridSpan w:val="2"/>
          </w:tcPr>
          <w:p>
            <w:pPr>
              <w:spacing w:after="0"/>
              <w:rPr>
                <w:sz w:val="11"/>
                <w:szCs w:val="11"/>
                <w:color w:val="auto"/>
              </w:rPr>
            </w:pPr>
          </w:p>
        </w:tc>
        <w:tc>
          <w:tcPr>
            <w:tcW w:w="280" w:type="dxa"/>
            <w:vAlign w:val="bottom"/>
          </w:tcPr>
          <w:p>
            <w:pPr>
              <w:spacing w:after="0"/>
              <w:rPr>
                <w:sz w:val="11"/>
                <w:szCs w:val="11"/>
                <w:color w:val="auto"/>
              </w:rPr>
            </w:pPr>
          </w:p>
        </w:tc>
        <w:tc>
          <w:tcPr>
            <w:tcW w:w="1320" w:type="dxa"/>
            <w:vAlign w:val="bottom"/>
            <w:gridSpan w:val="4"/>
          </w:tcPr>
          <w:p>
            <w:pPr>
              <w:ind w:left="160"/>
              <w:spacing w:after="0" w:line="135" w:lineRule="exact"/>
              <w:rPr>
                <w:sz w:val="20"/>
                <w:szCs w:val="20"/>
                <w:color w:val="auto"/>
              </w:rPr>
            </w:pPr>
            <w:r>
              <w:rPr>
                <w:rFonts w:ascii="Arial" w:cs="Arial" w:eastAsia="Arial" w:hAnsi="Arial"/>
                <w:sz w:val="14"/>
                <w:szCs w:val="14"/>
                <w:b w:val="1"/>
                <w:bCs w:val="1"/>
                <w:color w:val="auto"/>
              </w:rPr>
              <w:t>July 3,</w:t>
            </w:r>
          </w:p>
        </w:tc>
        <w:tc>
          <w:tcPr>
            <w:tcW w:w="440" w:type="dxa"/>
            <w:vAlign w:val="bottom"/>
          </w:tcPr>
          <w:p>
            <w:pPr>
              <w:spacing w:after="0"/>
              <w:rPr>
                <w:sz w:val="11"/>
                <w:szCs w:val="11"/>
                <w:color w:val="auto"/>
              </w:rPr>
            </w:pPr>
          </w:p>
        </w:tc>
        <w:tc>
          <w:tcPr>
            <w:tcW w:w="1040" w:type="dxa"/>
            <w:vAlign w:val="bottom"/>
          </w:tcPr>
          <w:p>
            <w:pPr>
              <w:jc w:val="right"/>
              <w:ind w:right="432"/>
              <w:spacing w:after="0" w:line="135" w:lineRule="exact"/>
              <w:rPr>
                <w:sz w:val="20"/>
                <w:szCs w:val="20"/>
                <w:color w:val="auto"/>
              </w:rPr>
            </w:pPr>
            <w:r>
              <w:rPr>
                <w:rFonts w:ascii="Arial" w:cs="Arial" w:eastAsia="Arial" w:hAnsi="Arial"/>
                <w:sz w:val="14"/>
                <w:szCs w:val="14"/>
                <w:b w:val="1"/>
                <w:bCs w:val="1"/>
                <w:color w:val="auto"/>
                <w:w w:val="89"/>
              </w:rPr>
              <w:t>June 27,</w:t>
            </w:r>
          </w:p>
        </w:tc>
      </w:tr>
      <w:tr>
        <w:trPr>
          <w:trHeight w:val="188"/>
        </w:trPr>
        <w:tc>
          <w:tcPr>
            <w:tcW w:w="47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2021</w:t>
            </w: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2020</w:t>
            </w:r>
          </w:p>
        </w:tc>
      </w:tr>
      <w:tr>
        <w:trPr>
          <w:trHeight w:val="211"/>
        </w:trPr>
        <w:tc>
          <w:tcPr>
            <w:tcW w:w="4700" w:type="dxa"/>
            <w:vAlign w:val="bottom"/>
            <w:shd w:val="clear" w:color="auto" w:fill="CCEEFF"/>
          </w:tcPr>
          <w:p>
            <w:pPr>
              <w:ind w:left="20"/>
              <w:spacing w:after="0" w:line="211" w:lineRule="exact"/>
              <w:rPr>
                <w:sz w:val="20"/>
                <w:szCs w:val="20"/>
                <w:color w:val="auto"/>
              </w:rPr>
            </w:pPr>
            <w:r>
              <w:rPr>
                <w:rFonts w:ascii="Arial" w:cs="Arial" w:eastAsia="Arial" w:hAnsi="Arial"/>
                <w:sz w:val="16"/>
                <w:szCs w:val="16"/>
                <w:b w:val="1"/>
                <w:bCs w:val="1"/>
                <w:color w:val="auto"/>
              </w:rPr>
              <w:t xml:space="preserve">Percentage of sales </w:t>
            </w:r>
            <w:r>
              <w:rPr>
                <w:rFonts w:ascii="Arial" w:cs="Arial" w:eastAsia="Arial" w:hAnsi="Arial"/>
                <w:sz w:val="24"/>
                <w:szCs w:val="24"/>
                <w:b w:val="1"/>
                <w:bCs w:val="1"/>
                <w:color w:val="auto"/>
                <w:vertAlign w:val="superscript"/>
              </w:rPr>
              <w:t>(1)</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30"/>
        </w:trPr>
        <w:tc>
          <w:tcPr>
            <w:tcW w:w="4980" w:type="dxa"/>
            <w:vAlign w:val="bottom"/>
            <w:gridSpan w:val="2"/>
          </w:tcPr>
          <w:p>
            <w:pPr>
              <w:ind w:left="20"/>
              <w:spacing w:after="0"/>
              <w:rPr>
                <w:sz w:val="20"/>
                <w:szCs w:val="20"/>
                <w:color w:val="auto"/>
              </w:rPr>
            </w:pPr>
            <w:r>
              <w:rPr>
                <w:rFonts w:ascii="Arial" w:cs="Arial" w:eastAsia="Arial" w:hAnsi="Arial"/>
                <w:sz w:val="18"/>
                <w:szCs w:val="18"/>
                <w:color w:val="auto"/>
              </w:rPr>
              <w:t>Net sales</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100.0 %</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100.0 %</w:t>
            </w:r>
          </w:p>
        </w:tc>
      </w:tr>
      <w:tr>
        <w:trPr>
          <w:trHeight w:val="230"/>
        </w:trPr>
        <w:tc>
          <w:tcPr>
            <w:tcW w:w="4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Cost of sales</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69.3 %</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68.4 %</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69.3 %</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68.6 %</w:t>
            </w:r>
          </w:p>
        </w:tc>
      </w:tr>
      <w:tr>
        <w:trPr>
          <w:trHeight w:val="223"/>
        </w:trPr>
        <w:tc>
          <w:tcPr>
            <w:tcW w:w="470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28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30.7 %</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31.6 %</w:t>
            </w:r>
          </w:p>
        </w:tc>
        <w:tc>
          <w:tcPr>
            <w:tcW w:w="10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30.7 %</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31.4 %</w:t>
            </w:r>
          </w:p>
        </w:tc>
      </w:tr>
      <w:tr>
        <w:trPr>
          <w:trHeight w:val="230"/>
        </w:trPr>
        <w:tc>
          <w:tcPr>
            <w:tcW w:w="4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0"/>
        </w:trPr>
        <w:tc>
          <w:tcPr>
            <w:tcW w:w="4980" w:type="dxa"/>
            <w:vAlign w:val="bottom"/>
            <w:gridSpan w:val="2"/>
          </w:tcPr>
          <w:p>
            <w:pPr>
              <w:ind w:left="240"/>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24.9 %</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24.6 %</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25.0 %</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24.6 %</w:t>
            </w:r>
          </w:p>
        </w:tc>
      </w:tr>
      <w:tr>
        <w:trPr>
          <w:trHeight w:val="229"/>
        </w:trPr>
        <w:tc>
          <w:tcPr>
            <w:tcW w:w="49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Depreciation and amortization</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2.2 %</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2.1 %</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1.7 %</w:t>
            </w:r>
          </w:p>
        </w:tc>
      </w:tr>
      <w:tr>
        <w:trPr>
          <w:trHeight w:val="230"/>
        </w:trPr>
        <w:tc>
          <w:tcPr>
            <w:tcW w:w="4980" w:type="dxa"/>
            <w:vAlign w:val="bottom"/>
            <w:gridSpan w:val="2"/>
          </w:tcPr>
          <w:p>
            <w:pPr>
              <w:ind w:left="240"/>
              <w:spacing w:after="0"/>
              <w:rPr>
                <w:sz w:val="20"/>
                <w:szCs w:val="20"/>
                <w:color w:val="auto"/>
              </w:rPr>
            </w:pPr>
            <w:r>
              <w:rPr>
                <w:rFonts w:ascii="Arial" w:cs="Arial" w:eastAsia="Arial" w:hAnsi="Arial"/>
                <w:sz w:val="18"/>
                <w:szCs w:val="18"/>
                <w:color w:val="auto"/>
              </w:rPr>
              <w:t>Share-based compensation</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0.5 %</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1.3 %</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0.5 %</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1.9 %</w:t>
            </w:r>
          </w:p>
        </w:tc>
      </w:tr>
      <w:tr>
        <w:trPr>
          <w:trHeight w:val="223"/>
        </w:trPr>
        <w:tc>
          <w:tcPr>
            <w:tcW w:w="4700" w:type="dxa"/>
            <w:vAlign w:val="bottom"/>
            <w:tcBorders>
              <w:top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27.6 %</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27.6 %</w:t>
            </w:r>
          </w:p>
        </w:tc>
        <w:tc>
          <w:tcPr>
            <w:tcW w:w="10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27.6 %</w:t>
            </w: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28.2 %</w:t>
            </w:r>
          </w:p>
        </w:tc>
      </w:tr>
      <w:tr>
        <w:trPr>
          <w:trHeight w:val="223"/>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from operations</w:t>
            </w:r>
          </w:p>
        </w:tc>
        <w:tc>
          <w:tcPr>
            <w:tcW w:w="2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3.1 %</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4.0 %</w:t>
            </w:r>
          </w:p>
        </w:tc>
        <w:tc>
          <w:tcPr>
            <w:tcW w:w="10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3.1 %</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3.1 %</w:t>
            </w:r>
          </w:p>
        </w:tc>
      </w:tr>
      <w:tr>
        <w:trPr>
          <w:trHeight w:val="209"/>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expenses (income):</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30"/>
        </w:trPr>
        <w:tc>
          <w:tcPr>
            <w:tcW w:w="4980" w:type="dxa"/>
            <w:vAlign w:val="bottom"/>
            <w:gridSpan w:val="2"/>
          </w:tcPr>
          <w:p>
            <w:pPr>
              <w:ind w:left="240"/>
              <w:spacing w:after="0"/>
              <w:rPr>
                <w:sz w:val="20"/>
                <w:szCs w:val="20"/>
                <w:color w:val="auto"/>
              </w:rPr>
            </w:pPr>
            <w:r>
              <w:rPr>
                <w:rFonts w:ascii="Arial" w:cs="Arial" w:eastAsia="Arial" w:hAnsi="Arial"/>
                <w:sz w:val="18"/>
                <w:szCs w:val="18"/>
                <w:color w:val="auto"/>
              </w:rPr>
              <w:t>Interest expense, net</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0.5 %</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0.7 %</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0.5 %</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0.7 %</w:t>
            </w:r>
          </w:p>
        </w:tc>
      </w:tr>
      <w:tr>
        <w:trPr>
          <w:trHeight w:val="230"/>
        </w:trPr>
        <w:tc>
          <w:tcPr>
            <w:tcW w:w="49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Gain on insurance recoveries</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0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 %</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30"/>
        </w:trPr>
        <w:tc>
          <w:tcPr>
            <w:tcW w:w="4980" w:type="dxa"/>
            <w:vAlign w:val="bottom"/>
            <w:gridSpan w:val="2"/>
          </w:tcPr>
          <w:p>
            <w:pPr>
              <w:ind w:left="240"/>
              <w:spacing w:after="0"/>
              <w:rPr>
                <w:sz w:val="20"/>
                <w:szCs w:val="20"/>
                <w:color w:val="auto"/>
              </w:rPr>
            </w:pPr>
            <w:r>
              <w:rPr>
                <w:rFonts w:ascii="Arial" w:cs="Arial" w:eastAsia="Arial" w:hAnsi="Arial"/>
                <w:sz w:val="18"/>
                <w:szCs w:val="18"/>
                <w:color w:val="auto"/>
              </w:rPr>
              <w:t>Debt extinguishment and modification costs</w:t>
            </w:r>
          </w:p>
        </w:tc>
        <w:tc>
          <w:tcPr>
            <w:tcW w:w="200" w:type="dxa"/>
            <w:vAlign w:val="bottom"/>
          </w:tcPr>
          <w:p>
            <w:pPr>
              <w:spacing w:after="0"/>
              <w:rPr>
                <w:sz w:val="19"/>
                <w:szCs w:val="19"/>
                <w:color w:val="auto"/>
              </w:rPr>
            </w:pPr>
          </w:p>
        </w:tc>
        <w:tc>
          <w:tcPr>
            <w:tcW w:w="1380" w:type="dxa"/>
            <w:vAlign w:val="bottom"/>
            <w:gridSpan w:val="4"/>
          </w:tcPr>
          <w:p>
            <w:pPr>
              <w:jc w:val="right"/>
              <w:ind w:right="320"/>
              <w:spacing w:after="0"/>
              <w:rPr>
                <w:sz w:val="20"/>
                <w:szCs w:val="20"/>
                <w:color w:val="auto"/>
              </w:rPr>
            </w:pPr>
            <w:r>
              <w:rPr>
                <w:rFonts w:ascii="Arial" w:cs="Arial" w:eastAsia="Arial" w:hAnsi="Arial"/>
                <w:sz w:val="18"/>
                <w:szCs w:val="18"/>
                <w:color w:val="auto"/>
              </w:rPr>
              <w:t>— %</w:t>
            </w:r>
          </w:p>
        </w:tc>
        <w:tc>
          <w:tcPr>
            <w:tcW w:w="300" w:type="dxa"/>
            <w:vAlign w:val="bottom"/>
          </w:tcPr>
          <w:p>
            <w:pPr>
              <w:spacing w:after="0"/>
              <w:rPr>
                <w:sz w:val="19"/>
                <w:szCs w:val="19"/>
                <w:color w:val="auto"/>
              </w:rPr>
            </w:pPr>
          </w:p>
        </w:tc>
        <w:tc>
          <w:tcPr>
            <w:tcW w:w="1300" w:type="dxa"/>
            <w:vAlign w:val="bottom"/>
            <w:gridSpan w:val="4"/>
          </w:tcPr>
          <w:p>
            <w:pPr>
              <w:jc w:val="right"/>
              <w:ind w:right="260"/>
              <w:spacing w:after="0"/>
              <w:rPr>
                <w:sz w:val="20"/>
                <w:szCs w:val="20"/>
                <w:color w:val="auto"/>
              </w:rPr>
            </w:pPr>
            <w:r>
              <w:rPr>
                <w:rFonts w:ascii="Arial" w:cs="Arial" w:eastAsia="Arial" w:hAnsi="Arial"/>
                <w:sz w:val="18"/>
                <w:szCs w:val="18"/>
                <w:color w:val="auto"/>
              </w:rPr>
              <w:t>— %</w:t>
            </w:r>
          </w:p>
        </w:tc>
        <w:tc>
          <w:tcPr>
            <w:tcW w:w="280" w:type="dxa"/>
            <w:vAlign w:val="bottom"/>
          </w:tcPr>
          <w:p>
            <w:pPr>
              <w:spacing w:after="0"/>
              <w:rPr>
                <w:sz w:val="19"/>
                <w:szCs w:val="19"/>
                <w:color w:val="auto"/>
              </w:rPr>
            </w:pPr>
          </w:p>
        </w:tc>
        <w:tc>
          <w:tcPr>
            <w:tcW w:w="1320" w:type="dxa"/>
            <w:vAlign w:val="bottom"/>
            <w:gridSpan w:val="4"/>
          </w:tcPr>
          <w:p>
            <w:pPr>
              <w:jc w:val="right"/>
              <w:ind w:right="200"/>
              <w:spacing w:after="0"/>
              <w:rPr>
                <w:sz w:val="20"/>
                <w:szCs w:val="20"/>
                <w:color w:val="auto"/>
              </w:rPr>
            </w:pPr>
            <w:r>
              <w:rPr>
                <w:rFonts w:ascii="Arial" w:cs="Arial" w:eastAsia="Arial" w:hAnsi="Arial"/>
                <w:sz w:val="18"/>
                <w:szCs w:val="18"/>
                <w:color w:val="auto"/>
              </w:rPr>
              <w:t>— %</w:t>
            </w:r>
          </w:p>
        </w:tc>
        <w:tc>
          <w:tcPr>
            <w:tcW w:w="4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23"/>
        </w:trPr>
        <w:tc>
          <w:tcPr>
            <w:tcW w:w="4700" w:type="dxa"/>
            <w:vAlign w:val="bottom"/>
            <w:tcBorders>
              <w:top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other expenses (income)</w:t>
            </w: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gridSpan w:val="2"/>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0.7 %</w:t>
            </w:r>
          </w:p>
        </w:tc>
        <w:tc>
          <w:tcPr>
            <w:tcW w:w="10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0.3 %</w:t>
            </w: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0.7 %</w:t>
            </w:r>
          </w:p>
        </w:tc>
      </w:tr>
      <w:tr>
        <w:trPr>
          <w:trHeight w:val="223"/>
        </w:trPr>
        <w:tc>
          <w:tcPr>
            <w:tcW w:w="470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3.1 %</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3.4 %</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2.9 %</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2.4 %</w:t>
            </w:r>
          </w:p>
        </w:tc>
      </w:tr>
      <w:tr>
        <w:trPr>
          <w:trHeight w:val="230"/>
        </w:trPr>
        <w:tc>
          <w:tcPr>
            <w:tcW w:w="4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tax expense (benefit)</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0.5 %</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0.3 %</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23"/>
        </w:trPr>
        <w:tc>
          <w:tcPr>
            <w:tcW w:w="4700" w:type="dxa"/>
            <w:vAlign w:val="bottom"/>
          </w:tcPr>
          <w:p>
            <w:pPr>
              <w:ind w:left="20"/>
              <w:spacing w:after="0"/>
              <w:rPr>
                <w:sz w:val="20"/>
                <w:szCs w:val="20"/>
                <w:color w:val="auto"/>
              </w:rPr>
            </w:pPr>
            <w:r>
              <w:rPr>
                <w:rFonts w:ascii="Arial" w:cs="Arial" w:eastAsia="Arial" w:hAnsi="Arial"/>
                <w:sz w:val="18"/>
                <w:szCs w:val="18"/>
                <w:color w:val="auto"/>
              </w:rPr>
              <w:t>Net income and comprehensive income</w:t>
            </w:r>
          </w:p>
        </w:tc>
        <w:tc>
          <w:tcPr>
            <w:tcW w:w="28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2.5 %</w:t>
            </w: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3.7 %</w:t>
            </w:r>
          </w:p>
        </w:tc>
        <w:tc>
          <w:tcPr>
            <w:tcW w:w="100" w:type="dxa"/>
            <w:vAlign w:val="bottom"/>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2.5 %</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2.7 %</w:t>
            </w:r>
          </w:p>
        </w:tc>
      </w:tr>
      <w:tr>
        <w:trPr>
          <w:trHeight w:val="20"/>
        </w:trPr>
        <w:tc>
          <w:tcPr>
            <w:tcW w:w="47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71"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w:t>
      </w:r>
    </w:p>
    <w:p>
      <w:pPr>
        <w:spacing w:after="0" w:line="49" w:lineRule="exact"/>
        <w:rPr>
          <w:sz w:val="20"/>
          <w:szCs w:val="20"/>
          <w:color w:val="auto"/>
        </w:rPr>
      </w:pPr>
    </w:p>
    <w:p>
      <w:pPr>
        <w:ind w:left="500" w:hanging="492"/>
        <w:spacing w:after="0"/>
        <w:tabs>
          <w:tab w:leader="none" w:pos="5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Components may not sum to totals due to rounding.</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4"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Metrics and Non-GAAP Financial Measures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Number of New Stores</w:t>
      </w:r>
    </w:p>
    <w:p>
      <w:pPr>
        <w:spacing w:after="0" w:line="117" w:lineRule="exact"/>
        <w:rPr>
          <w:sz w:val="20"/>
          <w:szCs w:val="20"/>
          <w:color w:val="auto"/>
        </w:rPr>
      </w:pPr>
    </w:p>
    <w:p>
      <w:pPr>
        <w:jc w:val="both"/>
        <w:ind w:firstLine="486"/>
        <w:spacing w:after="0" w:line="342" w:lineRule="auto"/>
        <w:rPr>
          <w:sz w:val="20"/>
          <w:szCs w:val="20"/>
          <w:color w:val="auto"/>
        </w:rPr>
      </w:pPr>
      <w:r>
        <w:rPr>
          <w:rFonts w:ascii="Arial" w:cs="Arial" w:eastAsia="Arial" w:hAnsi="Arial"/>
          <w:sz w:val="16"/>
          <w:szCs w:val="16"/>
          <w:color w:val="auto"/>
        </w:rPr>
        <w:t>The number of new stores reflects the number of stores opened during a particular reporting period. New stores require an initial capital investment in the store build-outs, fixtures and equipment which we amortize over time as well as cash required for inventory and pre-opening expenses.</w:t>
      </w:r>
    </w:p>
    <w:p>
      <w:pPr>
        <w:spacing w:after="0" w:line="16"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We expect new store growth to be the primary driver of our sales growth over the long term. We lease substantially all of our store locations. Our initial lease terms on stores are typically ten years with options to renew for two or three successive five-year periods.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Comparable Store Sales</w:t>
      </w:r>
    </w:p>
    <w:p>
      <w:pPr>
        <w:spacing w:after="0" w:line="117" w:lineRule="exact"/>
        <w:rPr>
          <w:sz w:val="20"/>
          <w:szCs w:val="20"/>
          <w:color w:val="auto"/>
        </w:rPr>
      </w:pPr>
    </w:p>
    <w:p>
      <w:pPr>
        <w:jc w:val="both"/>
        <w:ind w:firstLine="486"/>
        <w:spacing w:after="0" w:line="342" w:lineRule="auto"/>
        <w:rPr>
          <w:sz w:val="20"/>
          <w:szCs w:val="20"/>
          <w:color w:val="auto"/>
        </w:rPr>
      </w:pPr>
      <w:r>
        <w:rPr>
          <w:rFonts w:ascii="Arial" w:cs="Arial" w:eastAsia="Arial" w:hAnsi="Arial"/>
          <w:sz w:val="16"/>
          <w:szCs w:val="16"/>
          <w:color w:val="auto"/>
        </w:rPr>
        <w:t>We use comparable store sales as an operating metric to measure performance of a store during the current reporting period against the performance of the same store in the corresponding period of the previous year. Comparable store sales are impacted by the same factors that impact sales.</w:t>
      </w:r>
    </w:p>
    <w:p>
      <w:pPr>
        <w:spacing w:after="0" w:line="16"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Comparable store sales consists of sales from our stores beginning on the first day of the fourteenth full fiscal month following the store’s opening, which is when we believe comparability is achieved. Included in our comparable store definition are those stores that have been remodeled, expanded, or relocated in their existing location or respective trade areas. Excluded from our comparable store definition are those stores that have been closed for an extended period as well as any planned store closures or dispositions. When applicable, as was the case with fiscal 2020, we exclude the sales in the non-comparable week of a 53-week year from the same store sales calculation.</w:t>
      </w:r>
    </w:p>
    <w:p>
      <w:pPr>
        <w:spacing w:after="0" w:line="80"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Opening new stores is a primary component of our growth strategy and, as we continue to execute on our growth strategy, we expect a significant portion of our sales growth will be attributable to non-comparable store sales. Accordingly, comparable store sales is only one measure we use to assess the success of our growth strategy.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EBITDA, Adjusted EBITDA and Adjusted Net Income</w:t>
      </w:r>
    </w:p>
    <w:p>
      <w:pPr>
        <w:spacing w:after="0" w:line="117"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EBITDA, adjusted EBITDA and adjusted net income are key metrics used by management and our board of directors to assess our financial performance. EBITDA, adjusted EBITDA and adjusted net income are also frequently used by analysts, investors and other interested parties to evaluate companies in our industry. We use EBITDA, adjusted EBITDA and adjusted net income to supplement GAAP measures of performance to evaluate the effectiveness of our business strategies, to make budgeting decisions and to compare our performance against that of other peer companies using similar measures. In addition, we use EBITDA to supplement GAAP measures of performance to evaluate our performance in connection with compensation decisions. Management believes it is useful to investors and analysts to evaluate these non-GAAP measures on the same basis as management uses to evaluate our operating results. We believe that excluding items from operating income, net income and net income per diluted share that may not be indicative of, or are unrelated to, our core operating results, and that may vary in frequency or magnitude, enhances the comparability of our results and provides a better baseline for analyzing trends in our business.</w:t>
      </w:r>
    </w:p>
    <w:p>
      <w:pPr>
        <w:spacing w:after="0" w:line="73" w:lineRule="exact"/>
        <w:rPr>
          <w:sz w:val="20"/>
          <w:szCs w:val="20"/>
          <w:color w:val="auto"/>
        </w:rPr>
      </w:pPr>
    </w:p>
    <w:p>
      <w:pPr>
        <w:jc w:val="both"/>
        <w:ind w:firstLine="486"/>
        <w:spacing w:after="0" w:line="288" w:lineRule="auto"/>
        <w:rPr>
          <w:sz w:val="20"/>
          <w:szCs w:val="20"/>
          <w:color w:val="auto"/>
        </w:rPr>
      </w:pPr>
      <w:r>
        <w:rPr>
          <w:rFonts w:ascii="Arial" w:cs="Arial" w:eastAsia="Arial" w:hAnsi="Arial"/>
          <w:sz w:val="16"/>
          <w:szCs w:val="16"/>
          <w:color w:val="auto"/>
        </w:rPr>
        <w:t>We define EBITDA as net income before net interest expense, income taxes and depreciation and amortization expenses. Adjusted EBITDA represents EBITDA adjusted to exclude share-based compensation expense, non-cash rent, asset impairment and gain or loss on disposition, provision for accounts receivable reserves and certain other expenses. Adjusted net income represents net income adjusted for the previously mentioned EBITDA adjustments, further adjusted for costs related to amortization of purchase accounting assets and deferred financing costs, tax impact of option exercises and vesting of RSUs, and tax effect of total adjustments. EBITDA, adjusted EBITDA and adjusted net income are non-GAAP measures and may not be comparable to similar measures reported by other companies. EBITDA, adjusted EBITDA and adjusted net income have limitations as analytical tools, and you should not consider them in isolation or as a substitute for analysis of our results as reported under GAAP. We address the limitations of the non-GAAP measures through the use of various GAAP measures. In the future we may incur expenses or charges such as those added back to calculate adjusted EBITDA or adjusted net income. Our presentation of adjusted EBITDA and adjusted net income should not be construed as an inference that our future results will be unaffected by the adjustments we have used to derive our non-GAAP measures.</w:t>
      </w:r>
    </w:p>
    <w:p>
      <w:pPr>
        <w:spacing w:after="0" w:line="60"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Beginning with the fourth quarter of fiscal 2020, we updated our definitions of adjusted EBITDA and adjusted net income to simplify our presentation and enhance comparability between periods. We no longer exclude new store pre-opening expenses from our presentation of adjusted EBITDA and adjusted net income. We also updated our definition of adjusted net income to exclude the tax impact of options exercises and vesting of RSUs. Lastly, debt extinguishment and modification costs were reclassified to the other adjustments line item within the presentation of both adjusted EBITDA and adjusted net income. The presentations for adjusted EBITDA and adjusted net income for the 13 and 26 weeks ended ended June 27, 2020 have been recast to reflect these changes and reconciliations between the revised and previous</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4"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6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definitions of adjusted EBITDA and adjusted net income for each quarter of fiscal years 2020 and 2019 were provided in our Form 8-K filed with the SEC on March 2, 2021.</w:t>
      </w:r>
    </w:p>
    <w:p>
      <w:pPr>
        <w:spacing w:after="0" w:line="62"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The following table summarizes key operating metrics and non-GAAP components of our results of operations for the periods presented (amounts in thousands, except for percentages and store counts):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13 Weeks Ended</w:t>
            </w:r>
          </w:p>
        </w:tc>
        <w:tc>
          <w:tcPr>
            <w:tcW w:w="10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26 Weeks Ended</w:t>
            </w:r>
          </w:p>
        </w:tc>
        <w:tc>
          <w:tcPr>
            <w:tcW w:w="1080" w:type="dxa"/>
            <w:vAlign w:val="bottom"/>
            <w:tcBorders>
              <w:bottom w:val="single" w:sz="8" w:color="auto"/>
            </w:tcBorders>
          </w:tcPr>
          <w:p>
            <w:pPr>
              <w:spacing w:after="0"/>
              <w:rPr>
                <w:sz w:val="16"/>
                <w:szCs w:val="16"/>
                <w:color w:val="auto"/>
              </w:rPr>
            </w:pPr>
          </w:p>
        </w:tc>
      </w:tr>
      <w:tr>
        <w:trPr>
          <w:trHeight w:val="134"/>
        </w:trPr>
        <w:tc>
          <w:tcPr>
            <w:tcW w:w="46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320" w:type="dxa"/>
            <w:vAlign w:val="bottom"/>
            <w:gridSpan w:val="2"/>
          </w:tcPr>
          <w:p>
            <w:pPr>
              <w:ind w:left="220"/>
              <w:spacing w:after="0" w:line="135" w:lineRule="exact"/>
              <w:rPr>
                <w:sz w:val="20"/>
                <w:szCs w:val="20"/>
                <w:color w:val="auto"/>
              </w:rPr>
            </w:pPr>
            <w:r>
              <w:rPr>
                <w:rFonts w:ascii="Arial" w:cs="Arial" w:eastAsia="Arial" w:hAnsi="Arial"/>
                <w:sz w:val="14"/>
                <w:szCs w:val="14"/>
                <w:b w:val="1"/>
                <w:bCs w:val="1"/>
                <w:color w:val="auto"/>
              </w:rPr>
              <w:t>July 3,</w:t>
            </w:r>
          </w:p>
        </w:tc>
        <w:tc>
          <w:tcPr>
            <w:tcW w:w="480" w:type="dxa"/>
            <w:vAlign w:val="bottom"/>
          </w:tcPr>
          <w:p>
            <w:pPr>
              <w:spacing w:after="0"/>
              <w:rPr>
                <w:sz w:val="11"/>
                <w:szCs w:val="11"/>
                <w:color w:val="auto"/>
              </w:rPr>
            </w:pPr>
          </w:p>
        </w:tc>
        <w:tc>
          <w:tcPr>
            <w:tcW w:w="1080" w:type="dxa"/>
            <w:vAlign w:val="bottom"/>
          </w:tcPr>
          <w:p>
            <w:pPr>
              <w:jc w:val="right"/>
              <w:ind w:right="435"/>
              <w:spacing w:after="0" w:line="135" w:lineRule="exact"/>
              <w:rPr>
                <w:sz w:val="20"/>
                <w:szCs w:val="20"/>
                <w:color w:val="auto"/>
              </w:rPr>
            </w:pPr>
            <w:r>
              <w:rPr>
                <w:rFonts w:ascii="Arial" w:cs="Arial" w:eastAsia="Arial" w:hAnsi="Arial"/>
                <w:sz w:val="14"/>
                <w:szCs w:val="14"/>
                <w:b w:val="1"/>
                <w:bCs w:val="1"/>
                <w:color w:val="auto"/>
                <w:w w:val="96"/>
              </w:rPr>
              <w:t>June 27,</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320" w:type="dxa"/>
            <w:vAlign w:val="bottom"/>
            <w:gridSpan w:val="2"/>
          </w:tcPr>
          <w:p>
            <w:pPr>
              <w:ind w:left="220"/>
              <w:spacing w:after="0" w:line="135" w:lineRule="exact"/>
              <w:rPr>
                <w:sz w:val="20"/>
                <w:szCs w:val="20"/>
                <w:color w:val="auto"/>
              </w:rPr>
            </w:pPr>
            <w:r>
              <w:rPr>
                <w:rFonts w:ascii="Arial" w:cs="Arial" w:eastAsia="Arial" w:hAnsi="Arial"/>
                <w:sz w:val="14"/>
                <w:szCs w:val="14"/>
                <w:b w:val="1"/>
                <w:bCs w:val="1"/>
                <w:color w:val="auto"/>
              </w:rPr>
              <w:t>July 3,</w:t>
            </w:r>
          </w:p>
        </w:tc>
        <w:tc>
          <w:tcPr>
            <w:tcW w:w="500" w:type="dxa"/>
            <w:vAlign w:val="bottom"/>
          </w:tcPr>
          <w:p>
            <w:pPr>
              <w:spacing w:after="0"/>
              <w:rPr>
                <w:sz w:val="11"/>
                <w:szCs w:val="11"/>
                <w:color w:val="auto"/>
              </w:rPr>
            </w:pPr>
          </w:p>
        </w:tc>
        <w:tc>
          <w:tcPr>
            <w:tcW w:w="1080" w:type="dxa"/>
            <w:vAlign w:val="bottom"/>
          </w:tcPr>
          <w:p>
            <w:pPr>
              <w:jc w:val="right"/>
              <w:ind w:right="455"/>
              <w:spacing w:after="0" w:line="135" w:lineRule="exact"/>
              <w:rPr>
                <w:sz w:val="20"/>
                <w:szCs w:val="20"/>
                <w:color w:val="auto"/>
              </w:rPr>
            </w:pPr>
            <w:r>
              <w:rPr>
                <w:rFonts w:ascii="Arial" w:cs="Arial" w:eastAsia="Arial" w:hAnsi="Arial"/>
                <w:sz w:val="14"/>
                <w:szCs w:val="14"/>
                <w:b w:val="1"/>
                <w:bCs w:val="1"/>
                <w:color w:val="auto"/>
                <w:w w:val="92"/>
              </w:rPr>
              <w:t>June 27,</w:t>
            </w:r>
          </w:p>
        </w:tc>
      </w:tr>
      <w:tr>
        <w:trPr>
          <w:trHeight w:val="188"/>
        </w:trPr>
        <w:tc>
          <w:tcPr>
            <w:tcW w:w="46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2020</w:t>
            </w:r>
          </w:p>
        </w:tc>
      </w:tr>
      <w:tr>
        <w:trPr>
          <w:trHeight w:val="211"/>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Financial and Operations Data</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30"/>
        </w:trPr>
        <w:tc>
          <w:tcPr>
            <w:tcW w:w="4660" w:type="dxa"/>
            <w:vAlign w:val="bottom"/>
          </w:tcPr>
          <w:p>
            <w:pPr>
              <w:ind w:left="20"/>
              <w:spacing w:after="0"/>
              <w:rPr>
                <w:sz w:val="20"/>
                <w:szCs w:val="20"/>
                <w:color w:val="auto"/>
              </w:rPr>
            </w:pPr>
            <w:r>
              <w:rPr>
                <w:rFonts w:ascii="Arial" w:cs="Arial" w:eastAsia="Arial" w:hAnsi="Arial"/>
                <w:sz w:val="18"/>
                <w:szCs w:val="18"/>
                <w:color w:val="auto"/>
              </w:rPr>
              <w:t>Number of new stores</w:t>
            </w:r>
          </w:p>
        </w:tc>
        <w:tc>
          <w:tcPr>
            <w:tcW w:w="340" w:type="dxa"/>
            <w:vAlign w:val="bottom"/>
          </w:tcPr>
          <w:p>
            <w:pPr>
              <w:spacing w:after="0"/>
              <w:rPr>
                <w:sz w:val="19"/>
                <w:szCs w:val="19"/>
                <w:color w:val="auto"/>
              </w:rPr>
            </w:pPr>
          </w:p>
        </w:tc>
        <w:tc>
          <w:tcPr>
            <w:tcW w:w="1200" w:type="dxa"/>
            <w:vAlign w:val="bottom"/>
          </w:tcPr>
          <w:p>
            <w:pPr>
              <w:jc w:val="right"/>
              <w:ind w:right="136"/>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ind w:right="135"/>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136"/>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jc w:val="right"/>
              <w:ind w:right="135"/>
              <w:spacing w:after="0"/>
              <w:rPr>
                <w:sz w:val="20"/>
                <w:szCs w:val="20"/>
                <w:color w:val="auto"/>
              </w:rPr>
            </w:pPr>
            <w:r>
              <w:rPr>
                <w:rFonts w:ascii="Arial" w:cs="Arial" w:eastAsia="Arial" w:hAnsi="Arial"/>
                <w:sz w:val="18"/>
                <w:szCs w:val="18"/>
                <w:color w:val="auto"/>
              </w:rPr>
              <w:t>17</w:t>
            </w:r>
          </w:p>
        </w:tc>
      </w:tr>
      <w:tr>
        <w:trPr>
          <w:trHeight w:val="229"/>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Number of stores open at end of period</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400</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362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400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362</w:t>
            </w:r>
          </w:p>
        </w:tc>
      </w:tr>
      <w:tr>
        <w:trPr>
          <w:trHeight w:val="230"/>
        </w:trPr>
        <w:tc>
          <w:tcPr>
            <w:tcW w:w="4660" w:type="dxa"/>
            <w:vAlign w:val="bottom"/>
          </w:tcPr>
          <w:p>
            <w:pPr>
              <w:ind w:left="20"/>
              <w:spacing w:after="0" w:line="230" w:lineRule="exact"/>
              <w:rPr>
                <w:sz w:val="20"/>
                <w:szCs w:val="20"/>
                <w:color w:val="auto"/>
              </w:rPr>
            </w:pPr>
            <w:r>
              <w:rPr>
                <w:rFonts w:ascii="Arial" w:cs="Arial" w:eastAsia="Arial" w:hAnsi="Arial"/>
                <w:sz w:val="17"/>
                <w:szCs w:val="17"/>
                <w:color w:val="auto"/>
              </w:rPr>
              <w:t xml:space="preserve">Comparable store sales increase (decrease) </w:t>
            </w:r>
            <w:r>
              <w:rPr>
                <w:rFonts w:ascii="Arial" w:cs="Arial" w:eastAsia="Arial" w:hAnsi="Arial"/>
                <w:sz w:val="26"/>
                <w:szCs w:val="26"/>
                <w:color w:val="auto"/>
                <w:vertAlign w:val="superscript"/>
              </w:rPr>
              <w:t>(1)</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16.7 %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17.0 %</w:t>
            </w:r>
          </w:p>
        </w:tc>
      </w:tr>
      <w:tr>
        <w:trPr>
          <w:trHeight w:val="229"/>
        </w:trPr>
        <w:tc>
          <w:tcPr>
            <w:tcW w:w="4660" w:type="dxa"/>
            <w:vAlign w:val="bottom"/>
            <w:shd w:val="clear" w:color="auto" w:fill="CCEEFF"/>
          </w:tcPr>
          <w:p>
            <w:pPr>
              <w:ind w:left="20"/>
              <w:spacing w:after="0" w:line="230" w:lineRule="exact"/>
              <w:rPr>
                <w:sz w:val="20"/>
                <w:szCs w:val="20"/>
                <w:color w:val="auto"/>
              </w:rPr>
            </w:pPr>
            <w:r>
              <w:rPr>
                <w:rFonts w:ascii="Arial" w:cs="Arial" w:eastAsia="Arial" w:hAnsi="Arial"/>
                <w:sz w:val="17"/>
                <w:szCs w:val="17"/>
                <w:color w:val="auto"/>
              </w:rPr>
              <w:t xml:space="preserve">EBITDA </w:t>
            </w:r>
            <w:r>
              <w:rPr>
                <w:rFonts w:ascii="Arial" w:cs="Arial" w:eastAsia="Arial" w:hAnsi="Arial"/>
                <w:sz w:val="26"/>
                <w:szCs w:val="26"/>
                <w:color w:val="auto"/>
                <w:vertAlign w:val="superscript"/>
              </w:rPr>
              <w:t>(2)</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45,311</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46,246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85,302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76,491</w:t>
            </w:r>
          </w:p>
        </w:tc>
      </w:tr>
      <w:tr>
        <w:trPr>
          <w:trHeight w:val="229"/>
        </w:trPr>
        <w:tc>
          <w:tcPr>
            <w:tcW w:w="4660" w:type="dxa"/>
            <w:vAlign w:val="bottom"/>
          </w:tcPr>
          <w:p>
            <w:pPr>
              <w:ind w:left="20"/>
              <w:spacing w:after="0" w:line="230" w:lineRule="exact"/>
              <w:rPr>
                <w:sz w:val="20"/>
                <w:szCs w:val="20"/>
                <w:color w:val="auto"/>
              </w:rPr>
            </w:pPr>
            <w:r>
              <w:rPr>
                <w:rFonts w:ascii="Arial" w:cs="Arial" w:eastAsia="Arial" w:hAnsi="Arial"/>
                <w:sz w:val="17"/>
                <w:szCs w:val="17"/>
                <w:color w:val="auto"/>
              </w:rPr>
              <w:t xml:space="preserve">Adjusted EBITDA </w:t>
            </w:r>
            <w:r>
              <w:rPr>
                <w:rFonts w:ascii="Arial" w:cs="Arial" w:eastAsia="Arial" w:hAnsi="Arial"/>
                <w:sz w:val="26"/>
                <w:szCs w:val="26"/>
                <w:color w:val="auto"/>
                <w:vertAlign w:val="superscript"/>
              </w:rPr>
              <w:t>(2)</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36"/>
              <w:spacing w:after="0"/>
              <w:rPr>
                <w:sz w:val="20"/>
                <w:szCs w:val="20"/>
                <w:color w:val="auto"/>
              </w:rPr>
            </w:pPr>
            <w:r>
              <w:rPr>
                <w:rFonts w:ascii="Arial" w:cs="Arial" w:eastAsia="Arial" w:hAnsi="Arial"/>
                <w:sz w:val="18"/>
                <w:szCs w:val="18"/>
                <w:color w:val="auto"/>
              </w:rPr>
              <w:t>50,836</w:t>
            </w:r>
          </w:p>
        </w:tc>
        <w:tc>
          <w:tcPr>
            <w:tcW w:w="12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35"/>
              <w:spacing w:after="0"/>
              <w:rPr>
                <w:sz w:val="20"/>
                <w:szCs w:val="20"/>
                <w:color w:val="auto"/>
              </w:rPr>
            </w:pPr>
            <w:r>
              <w:rPr>
                <w:rFonts w:ascii="Arial" w:cs="Arial" w:eastAsia="Arial" w:hAnsi="Arial"/>
                <w:sz w:val="18"/>
                <w:szCs w:val="18"/>
                <w:color w:val="auto"/>
              </w:rPr>
              <w:t>60,307</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36"/>
              <w:spacing w:after="0"/>
              <w:rPr>
                <w:sz w:val="20"/>
                <w:szCs w:val="20"/>
                <w:color w:val="auto"/>
              </w:rPr>
            </w:pPr>
            <w:r>
              <w:rPr>
                <w:rFonts w:ascii="Arial" w:cs="Arial" w:eastAsia="Arial" w:hAnsi="Arial"/>
                <w:sz w:val="18"/>
                <w:szCs w:val="18"/>
                <w:color w:val="auto"/>
              </w:rPr>
              <w:t>99,673</w:t>
            </w:r>
          </w:p>
        </w:tc>
        <w:tc>
          <w:tcPr>
            <w:tcW w:w="10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35"/>
              <w:spacing w:after="0"/>
              <w:rPr>
                <w:sz w:val="20"/>
                <w:szCs w:val="20"/>
                <w:color w:val="auto"/>
              </w:rPr>
            </w:pPr>
            <w:r>
              <w:rPr>
                <w:rFonts w:ascii="Arial" w:cs="Arial" w:eastAsia="Arial" w:hAnsi="Arial"/>
                <w:sz w:val="18"/>
                <w:szCs w:val="18"/>
                <w:color w:val="auto"/>
              </w:rPr>
              <w:t>116,928</w:t>
            </w:r>
          </w:p>
        </w:tc>
      </w:tr>
      <w:tr>
        <w:trPr>
          <w:trHeight w:val="230"/>
        </w:trPr>
        <w:tc>
          <w:tcPr>
            <w:tcW w:w="4660" w:type="dxa"/>
            <w:vAlign w:val="bottom"/>
            <w:shd w:val="clear" w:color="auto" w:fill="CCEEFF"/>
          </w:tcPr>
          <w:p>
            <w:pPr>
              <w:ind w:left="20"/>
              <w:spacing w:after="0" w:line="230" w:lineRule="exact"/>
              <w:rPr>
                <w:sz w:val="20"/>
                <w:szCs w:val="20"/>
                <w:color w:val="auto"/>
              </w:rPr>
            </w:pPr>
            <w:r>
              <w:rPr>
                <w:rFonts w:ascii="Arial" w:cs="Arial" w:eastAsia="Arial" w:hAnsi="Arial"/>
                <w:sz w:val="17"/>
                <w:szCs w:val="17"/>
                <w:color w:val="auto"/>
              </w:rPr>
              <w:t xml:space="preserve">Adjusted net income </w:t>
            </w:r>
            <w:r>
              <w:rPr>
                <w:rFonts w:ascii="Arial" w:cs="Arial" w:eastAsia="Arial" w:hAnsi="Arial"/>
                <w:sz w:val="26"/>
                <w:szCs w:val="26"/>
                <w:color w:val="auto"/>
                <w:vertAlign w:val="superscript"/>
              </w:rPr>
              <w:t>(2)</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23,335</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31,993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46,459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60,746</w:t>
            </w:r>
          </w:p>
        </w:tc>
      </w:tr>
    </w:tbl>
    <w:p>
      <w:pPr>
        <w:spacing w:after="0" w:line="98"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w:t>
      </w:r>
    </w:p>
    <w:p>
      <w:pPr>
        <w:spacing w:after="0" w:line="49" w:lineRule="exact"/>
        <w:rPr>
          <w:sz w:val="20"/>
          <w:szCs w:val="20"/>
          <w:color w:val="auto"/>
        </w:rPr>
      </w:pPr>
    </w:p>
    <w:p>
      <w:pPr>
        <w:ind w:left="500" w:hanging="492"/>
        <w:spacing w:after="0" w:line="275" w:lineRule="auto"/>
        <w:tabs>
          <w:tab w:leader="none" w:pos="5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Comparable store sales consist of sales from our stores beginning on the first day of the fourteenth full fiscal month following the store’s opening, which is when we believe comparability is achieved.</w:t>
      </w:r>
    </w:p>
    <w:p>
      <w:pPr>
        <w:spacing w:after="0" w:line="10" w:lineRule="exact"/>
        <w:rPr>
          <w:rFonts w:ascii="Arial" w:cs="Arial" w:eastAsia="Arial" w:hAnsi="Arial"/>
          <w:sz w:val="16"/>
          <w:szCs w:val="16"/>
          <w:color w:val="auto"/>
        </w:rPr>
      </w:pPr>
    </w:p>
    <w:p>
      <w:pPr>
        <w:jc w:val="both"/>
        <w:ind w:left="500" w:hanging="492"/>
        <w:spacing w:after="0" w:line="261" w:lineRule="auto"/>
        <w:tabs>
          <w:tab w:leader="none" w:pos="5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See "GAAP to Non-GAAP Reconciliations" section below for a reconciliation from our net income to EBITDA and adjusted EBITDA, net income to adjusted net income, and GAAP earnings per share to adjusted earnings per share for the periods presented. Beginning with the fourth quarter of fiscal 2020, we updated our definitions of adjusted EBITDA and adjusted net income to simplify our presentation and enhance comparability between periods.</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4"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GAAP to Non-GAAP Reconciliations</w:t>
      </w:r>
    </w:p>
    <w:p>
      <w:pPr>
        <w:spacing w:after="0" w:line="117" w:lineRule="exact"/>
        <w:rPr>
          <w:sz w:val="20"/>
          <w:szCs w:val="20"/>
          <w:color w:val="auto"/>
        </w:rPr>
      </w:pPr>
    </w:p>
    <w:p>
      <w:pPr>
        <w:ind w:firstLine="486"/>
        <w:spacing w:after="0" w:line="308" w:lineRule="auto"/>
        <w:rPr>
          <w:sz w:val="20"/>
          <w:szCs w:val="20"/>
          <w:color w:val="auto"/>
        </w:rPr>
      </w:pPr>
      <w:r>
        <w:rPr>
          <w:rFonts w:ascii="Arial" w:cs="Arial" w:eastAsia="Arial" w:hAnsi="Arial"/>
          <w:sz w:val="17"/>
          <w:szCs w:val="17"/>
          <w:color w:val="auto"/>
        </w:rPr>
        <w:t>The following tables provide a reconciliation from our GAAP net income to EBITDA and adjusted EBITDA, GAAP net income to adjusted net income, and our GAAP earnings per share to adjusted earnings per share for the periods presented (amounts in thousands, except per share data):</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60" w:type="dxa"/>
            <w:vAlign w:val="bottom"/>
          </w:tcPr>
          <w:p>
            <w:pPr>
              <w:spacing w:after="0"/>
              <w:rPr>
                <w:sz w:val="16"/>
                <w:szCs w:val="16"/>
                <w:color w:val="auto"/>
              </w:rPr>
            </w:pPr>
          </w:p>
        </w:tc>
        <w:tc>
          <w:tcPr>
            <w:tcW w:w="47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7"/>
          </w:tcPr>
          <w:p>
            <w:pPr>
              <w:jc w:val="right"/>
              <w:ind w:right="1020"/>
              <w:spacing w:after="0"/>
              <w:rPr>
                <w:sz w:val="20"/>
                <w:szCs w:val="20"/>
                <w:color w:val="auto"/>
              </w:rPr>
            </w:pPr>
            <w:r>
              <w:rPr>
                <w:rFonts w:ascii="Arial" w:cs="Arial" w:eastAsia="Arial" w:hAnsi="Arial"/>
                <w:sz w:val="14"/>
                <w:szCs w:val="14"/>
                <w:b w:val="1"/>
                <w:bCs w:val="1"/>
                <w:color w:val="auto"/>
              </w:rPr>
              <w:t>13 Weeks Ended</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7"/>
          </w:tcPr>
          <w:p>
            <w:pPr>
              <w:jc w:val="right"/>
              <w:ind w:right="1040"/>
              <w:spacing w:after="0"/>
              <w:rPr>
                <w:sz w:val="20"/>
                <w:szCs w:val="20"/>
                <w:color w:val="auto"/>
              </w:rPr>
            </w:pPr>
            <w:r>
              <w:rPr>
                <w:rFonts w:ascii="Arial" w:cs="Arial" w:eastAsia="Arial" w:hAnsi="Arial"/>
                <w:sz w:val="14"/>
                <w:szCs w:val="14"/>
                <w:b w:val="1"/>
                <w:bCs w:val="1"/>
                <w:color w:val="auto"/>
              </w:rPr>
              <w:t>26 Weeks Ended</w:t>
            </w: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4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80" w:type="dxa"/>
            <w:vAlign w:val="bottom"/>
            <w:gridSpan w:val="2"/>
          </w:tcPr>
          <w:p>
            <w:pPr>
              <w:jc w:val="right"/>
              <w:ind w:right="540"/>
              <w:spacing w:after="0" w:line="135" w:lineRule="exact"/>
              <w:rPr>
                <w:sz w:val="20"/>
                <w:szCs w:val="20"/>
                <w:color w:val="auto"/>
              </w:rPr>
            </w:pPr>
            <w:r>
              <w:rPr>
                <w:rFonts w:ascii="Arial" w:cs="Arial" w:eastAsia="Arial" w:hAnsi="Arial"/>
                <w:sz w:val="14"/>
                <w:szCs w:val="14"/>
                <w:b w:val="1"/>
                <w:bCs w:val="1"/>
                <w:color w:val="auto"/>
              </w:rPr>
              <w:t>July 3,</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80" w:type="dxa"/>
            <w:vAlign w:val="bottom"/>
            <w:gridSpan w:val="2"/>
          </w:tcPr>
          <w:p>
            <w:pPr>
              <w:jc w:val="right"/>
              <w:ind w:right="480"/>
              <w:spacing w:after="0" w:line="135" w:lineRule="exact"/>
              <w:rPr>
                <w:sz w:val="20"/>
                <w:szCs w:val="20"/>
                <w:color w:val="auto"/>
              </w:rPr>
            </w:pPr>
            <w:r>
              <w:rPr>
                <w:rFonts w:ascii="Arial" w:cs="Arial" w:eastAsia="Arial" w:hAnsi="Arial"/>
                <w:sz w:val="14"/>
                <w:szCs w:val="14"/>
                <w:b w:val="1"/>
                <w:bCs w:val="1"/>
                <w:color w:val="auto"/>
              </w:rPr>
              <w:t>June 27,</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60" w:type="dxa"/>
            <w:vAlign w:val="bottom"/>
            <w:gridSpan w:val="2"/>
          </w:tcPr>
          <w:p>
            <w:pPr>
              <w:jc w:val="right"/>
              <w:ind w:right="480"/>
              <w:spacing w:after="0" w:line="135" w:lineRule="exact"/>
              <w:rPr>
                <w:sz w:val="20"/>
                <w:szCs w:val="20"/>
                <w:color w:val="auto"/>
              </w:rPr>
            </w:pPr>
            <w:r>
              <w:rPr>
                <w:rFonts w:ascii="Arial" w:cs="Arial" w:eastAsia="Arial" w:hAnsi="Arial"/>
                <w:sz w:val="14"/>
                <w:szCs w:val="14"/>
                <w:b w:val="1"/>
                <w:bCs w:val="1"/>
                <w:color w:val="auto"/>
              </w:rPr>
              <w:t>July 3,</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jc w:val="right"/>
              <w:ind w:right="480"/>
              <w:spacing w:after="0" w:line="135" w:lineRule="exact"/>
              <w:rPr>
                <w:sz w:val="20"/>
                <w:szCs w:val="20"/>
                <w:color w:val="auto"/>
              </w:rPr>
            </w:pPr>
            <w:r>
              <w:rPr>
                <w:rFonts w:ascii="Arial" w:cs="Arial" w:eastAsia="Arial" w:hAnsi="Arial"/>
                <w:sz w:val="14"/>
                <w:szCs w:val="14"/>
                <w:b w:val="1"/>
                <w:bCs w:val="1"/>
                <w:color w:val="auto"/>
              </w:rPr>
              <w:t>June 27,</w:t>
            </w:r>
          </w:p>
        </w:tc>
        <w:tc>
          <w:tcPr>
            <w:tcW w:w="0" w:type="dxa"/>
            <w:vAlign w:val="bottom"/>
          </w:tcPr>
          <w:p>
            <w:pPr>
              <w:spacing w:after="0"/>
              <w:rPr>
                <w:sz w:val="1"/>
                <w:szCs w:val="1"/>
                <w:color w:val="auto"/>
              </w:rPr>
            </w:pPr>
          </w:p>
        </w:tc>
      </w:tr>
      <w:tr>
        <w:trPr>
          <w:trHeight w:val="188"/>
        </w:trPr>
        <w:tc>
          <w:tcPr>
            <w:tcW w:w="260" w:type="dxa"/>
            <w:vAlign w:val="bottom"/>
            <w:tcBorders>
              <w:bottom w:val="single" w:sz="8" w:color="CCEEFF"/>
            </w:tcBorders>
          </w:tcPr>
          <w:p>
            <w:pPr>
              <w:spacing w:after="0"/>
              <w:rPr>
                <w:sz w:val="16"/>
                <w:szCs w:val="16"/>
                <w:color w:val="auto"/>
              </w:rPr>
            </w:pPr>
          </w:p>
        </w:tc>
        <w:tc>
          <w:tcPr>
            <w:tcW w:w="47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2021</w:t>
            </w: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19,640</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29,333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38,532</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41,975</w:t>
            </w:r>
          </w:p>
        </w:tc>
        <w:tc>
          <w:tcPr>
            <w:tcW w:w="0" w:type="dxa"/>
            <w:vAlign w:val="bottom"/>
          </w:tcPr>
          <w:p>
            <w:pPr>
              <w:spacing w:after="0"/>
              <w:rPr>
                <w:sz w:val="1"/>
                <w:szCs w:val="1"/>
                <w:color w:val="auto"/>
              </w:rPr>
            </w:pPr>
          </w:p>
        </w:tc>
      </w:tr>
      <w:tr>
        <w:trPr>
          <w:trHeight w:val="229"/>
        </w:trPr>
        <w:tc>
          <w:tcPr>
            <w:tcW w:w="5000" w:type="dxa"/>
            <w:vAlign w:val="bottom"/>
            <w:gridSpan w:val="2"/>
          </w:tcPr>
          <w:p>
            <w:pPr>
              <w:ind w:left="20"/>
              <w:spacing w:after="0"/>
              <w:rPr>
                <w:sz w:val="20"/>
                <w:szCs w:val="20"/>
                <w:color w:val="auto"/>
              </w:rPr>
            </w:pPr>
            <w:r>
              <w:rPr>
                <w:rFonts w:ascii="Arial" w:cs="Arial" w:eastAsia="Arial" w:hAnsi="Arial"/>
                <w:sz w:val="18"/>
                <w:szCs w:val="18"/>
                <w:color w:val="auto"/>
              </w:rPr>
              <w:t>Interest expense, net</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3,922</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5,270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7,828</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11,104</w:t>
            </w:r>
          </w:p>
        </w:tc>
        <w:tc>
          <w:tcPr>
            <w:tcW w:w="0" w:type="dxa"/>
            <w:vAlign w:val="bottom"/>
          </w:tcPr>
          <w:p>
            <w:pPr>
              <w:spacing w:after="0"/>
              <w:rPr>
                <w:sz w:val="1"/>
                <w:szCs w:val="1"/>
                <w:color w:val="auto"/>
              </w:rPr>
            </w:pPr>
          </w:p>
        </w:tc>
      </w:tr>
      <w:tr>
        <w:trPr>
          <w:trHeight w:val="230"/>
        </w:trPr>
        <w:tc>
          <w:tcPr>
            <w:tcW w:w="5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tax expense (benefit)</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4,082</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(2,244)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5,131</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(4,045)</w:t>
            </w:r>
          </w:p>
        </w:tc>
        <w:tc>
          <w:tcPr>
            <w:tcW w:w="0" w:type="dxa"/>
            <w:vAlign w:val="bottom"/>
          </w:tcPr>
          <w:p>
            <w:pPr>
              <w:spacing w:after="0"/>
              <w:rPr>
                <w:sz w:val="1"/>
                <w:szCs w:val="1"/>
                <w:color w:val="auto"/>
              </w:rPr>
            </w:pPr>
          </w:p>
        </w:tc>
      </w:tr>
      <w:tr>
        <w:trPr>
          <w:trHeight w:val="229"/>
        </w:trPr>
        <w:tc>
          <w:tcPr>
            <w:tcW w:w="5000" w:type="dxa"/>
            <w:vAlign w:val="bottom"/>
            <w:tcBorders>
              <w:bottom w:val="single" w:sz="8" w:color="CCEEFF"/>
            </w:tcBorders>
            <w:gridSpan w:val="2"/>
          </w:tcPr>
          <w:p>
            <w:pPr>
              <w:ind w:left="20"/>
              <w:spacing w:after="0" w:line="230" w:lineRule="exact"/>
              <w:rPr>
                <w:sz w:val="20"/>
                <w:szCs w:val="20"/>
                <w:color w:val="auto"/>
              </w:rPr>
            </w:pPr>
            <w:r>
              <w:rPr>
                <w:rFonts w:ascii="Arial" w:cs="Arial" w:eastAsia="Arial" w:hAnsi="Arial"/>
                <w:sz w:val="17"/>
                <w:szCs w:val="17"/>
                <w:color w:val="auto"/>
              </w:rPr>
              <w:t xml:space="preserve">Depreciation and amortization expenses </w:t>
            </w:r>
            <w:r>
              <w:rPr>
                <w:rFonts w:ascii="Arial" w:cs="Arial" w:eastAsia="Arial" w:hAnsi="Arial"/>
                <w:sz w:val="26"/>
                <w:szCs w:val="26"/>
                <w:color w:val="auto"/>
                <w:vertAlign w:val="superscript"/>
              </w:rPr>
              <w:t>(1)</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17,667</w:t>
            </w:r>
          </w:p>
        </w:tc>
        <w:tc>
          <w:tcPr>
            <w:tcW w:w="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13,887</w:t>
            </w: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33,811</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27,457</w:t>
            </w:r>
          </w:p>
        </w:tc>
        <w:tc>
          <w:tcPr>
            <w:tcW w:w="0" w:type="dxa"/>
            <w:vAlign w:val="bottom"/>
          </w:tcPr>
          <w:p>
            <w:pPr>
              <w:spacing w:after="0"/>
              <w:rPr>
                <w:sz w:val="1"/>
                <w:szCs w:val="1"/>
                <w:color w:val="auto"/>
              </w:rPr>
            </w:pPr>
          </w:p>
        </w:tc>
      </w:tr>
      <w:tr>
        <w:trPr>
          <w:trHeight w:val="223"/>
        </w:trPr>
        <w:tc>
          <w:tcPr>
            <w:tcW w:w="50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EBITDA</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45,311</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46,246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85,302</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76,491</w:t>
            </w:r>
          </w:p>
        </w:tc>
        <w:tc>
          <w:tcPr>
            <w:tcW w:w="0" w:type="dxa"/>
            <w:vAlign w:val="bottom"/>
          </w:tcPr>
          <w:p>
            <w:pPr>
              <w:spacing w:after="0"/>
              <w:rPr>
                <w:sz w:val="1"/>
                <w:szCs w:val="1"/>
                <w:color w:val="auto"/>
              </w:rPr>
            </w:pPr>
          </w:p>
        </w:tc>
      </w:tr>
      <w:tr>
        <w:trPr>
          <w:trHeight w:val="229"/>
        </w:trPr>
        <w:tc>
          <w:tcPr>
            <w:tcW w:w="5000" w:type="dxa"/>
            <w:vAlign w:val="bottom"/>
            <w:gridSpan w:val="2"/>
          </w:tcPr>
          <w:p>
            <w:pPr>
              <w:ind w:left="20"/>
              <w:spacing w:after="0" w:line="230" w:lineRule="exact"/>
              <w:rPr>
                <w:sz w:val="20"/>
                <w:szCs w:val="20"/>
                <w:color w:val="auto"/>
              </w:rPr>
            </w:pPr>
            <w:r>
              <w:rPr>
                <w:rFonts w:ascii="Arial" w:cs="Arial" w:eastAsia="Arial" w:hAnsi="Arial"/>
                <w:sz w:val="17"/>
                <w:szCs w:val="17"/>
                <w:color w:val="auto"/>
              </w:rPr>
              <w:t xml:space="preserve">Share-based compensation expenses </w:t>
            </w:r>
            <w:r>
              <w:rPr>
                <w:rFonts w:ascii="Arial" w:cs="Arial" w:eastAsia="Arial" w:hAnsi="Arial"/>
                <w:sz w:val="26"/>
                <w:szCs w:val="26"/>
                <w:color w:val="auto"/>
                <w:vertAlign w:val="superscript"/>
              </w:rPr>
              <w:t>(2)</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4,210</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10,175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8,149</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30,452</w:t>
            </w:r>
          </w:p>
        </w:tc>
        <w:tc>
          <w:tcPr>
            <w:tcW w:w="0" w:type="dxa"/>
            <w:vAlign w:val="bottom"/>
          </w:tcPr>
          <w:p>
            <w:pPr>
              <w:spacing w:after="0"/>
              <w:rPr>
                <w:sz w:val="1"/>
                <w:szCs w:val="1"/>
                <w:color w:val="auto"/>
              </w:rPr>
            </w:pPr>
          </w:p>
        </w:tc>
      </w:tr>
      <w:tr>
        <w:trPr>
          <w:trHeight w:val="230"/>
        </w:trPr>
        <w:tc>
          <w:tcPr>
            <w:tcW w:w="500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7"/>
                <w:szCs w:val="17"/>
                <w:color w:val="auto"/>
              </w:rPr>
              <w:t xml:space="preserve">Non-cash rent </w:t>
            </w:r>
            <w:r>
              <w:rPr>
                <w:rFonts w:ascii="Arial" w:cs="Arial" w:eastAsia="Arial" w:hAnsi="Arial"/>
                <w:sz w:val="26"/>
                <w:szCs w:val="26"/>
                <w:color w:val="auto"/>
                <w:vertAlign w:val="superscript"/>
              </w:rPr>
              <w:t>(3)</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3,061</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2,759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5,969</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4,973</w:t>
            </w:r>
          </w:p>
        </w:tc>
        <w:tc>
          <w:tcPr>
            <w:tcW w:w="0" w:type="dxa"/>
            <w:vAlign w:val="bottom"/>
          </w:tcPr>
          <w:p>
            <w:pPr>
              <w:spacing w:after="0"/>
              <w:rPr>
                <w:sz w:val="1"/>
                <w:szCs w:val="1"/>
                <w:color w:val="auto"/>
              </w:rPr>
            </w:pPr>
          </w:p>
        </w:tc>
      </w:tr>
      <w:tr>
        <w:trPr>
          <w:trHeight w:val="229"/>
        </w:trPr>
        <w:tc>
          <w:tcPr>
            <w:tcW w:w="5000" w:type="dxa"/>
            <w:vAlign w:val="bottom"/>
            <w:gridSpan w:val="2"/>
          </w:tcPr>
          <w:p>
            <w:pPr>
              <w:ind w:left="20"/>
              <w:spacing w:after="0" w:line="230" w:lineRule="exact"/>
              <w:rPr>
                <w:sz w:val="20"/>
                <w:szCs w:val="20"/>
                <w:color w:val="auto"/>
              </w:rPr>
            </w:pPr>
            <w:r>
              <w:rPr>
                <w:rFonts w:ascii="Arial" w:cs="Arial" w:eastAsia="Arial" w:hAnsi="Arial"/>
                <w:sz w:val="17"/>
                <w:szCs w:val="17"/>
                <w:color w:val="auto"/>
              </w:rPr>
              <w:t xml:space="preserve">Asset impairment and gain or loss on disposition </w:t>
            </w:r>
            <w:r>
              <w:rPr>
                <w:rFonts w:ascii="Arial" w:cs="Arial" w:eastAsia="Arial" w:hAnsi="Arial"/>
                <w:sz w:val="26"/>
                <w:szCs w:val="26"/>
                <w:color w:val="auto"/>
                <w:vertAlign w:val="superscript"/>
              </w:rPr>
              <w:t>(4)</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305</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757</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953</w:t>
            </w:r>
          </w:p>
        </w:tc>
        <w:tc>
          <w:tcPr>
            <w:tcW w:w="0" w:type="dxa"/>
            <w:vAlign w:val="bottom"/>
          </w:tcPr>
          <w:p>
            <w:pPr>
              <w:spacing w:after="0"/>
              <w:rPr>
                <w:sz w:val="1"/>
                <w:szCs w:val="1"/>
                <w:color w:val="auto"/>
              </w:rPr>
            </w:pPr>
          </w:p>
        </w:tc>
      </w:tr>
      <w:tr>
        <w:trPr>
          <w:trHeight w:val="229"/>
        </w:trPr>
        <w:tc>
          <w:tcPr>
            <w:tcW w:w="500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7"/>
                <w:szCs w:val="17"/>
                <w:color w:val="auto"/>
              </w:rPr>
              <w:t xml:space="preserve">Provision for accounts receivable reserves </w:t>
            </w:r>
            <w:r>
              <w:rPr>
                <w:rFonts w:ascii="Arial" w:cs="Arial" w:eastAsia="Arial" w:hAnsi="Arial"/>
                <w:sz w:val="26"/>
                <w:szCs w:val="26"/>
                <w:color w:val="auto"/>
                <w:vertAlign w:val="superscript"/>
              </w:rPr>
              <w:t>(5)</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1,334</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(899)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2,289</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30"/>
        </w:trPr>
        <w:tc>
          <w:tcPr>
            <w:tcW w:w="5000" w:type="dxa"/>
            <w:vAlign w:val="bottom"/>
            <w:tcBorders>
              <w:bottom w:val="single" w:sz="8" w:color="CCEEFF"/>
            </w:tcBorders>
            <w:gridSpan w:val="2"/>
          </w:tcPr>
          <w:p>
            <w:pPr>
              <w:ind w:left="20"/>
              <w:spacing w:after="0" w:line="230" w:lineRule="exact"/>
              <w:rPr>
                <w:sz w:val="20"/>
                <w:szCs w:val="20"/>
                <w:color w:val="auto"/>
              </w:rPr>
            </w:pPr>
            <w:r>
              <w:rPr>
                <w:rFonts w:ascii="Arial" w:cs="Arial" w:eastAsia="Arial" w:hAnsi="Arial"/>
                <w:sz w:val="17"/>
                <w:szCs w:val="17"/>
                <w:color w:val="auto"/>
              </w:rPr>
              <w:t xml:space="preserve">Other </w:t>
            </w:r>
            <w:r>
              <w:rPr>
                <w:rFonts w:ascii="Arial" w:cs="Arial" w:eastAsia="Arial" w:hAnsi="Arial"/>
                <w:sz w:val="26"/>
                <w:szCs w:val="26"/>
                <w:color w:val="auto"/>
                <w:vertAlign w:val="superscript"/>
              </w:rPr>
              <w:t>(6)</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(3,385)</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2,048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(2,793)</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4,110</w:t>
            </w:r>
          </w:p>
        </w:tc>
        <w:tc>
          <w:tcPr>
            <w:tcW w:w="0" w:type="dxa"/>
            <w:vAlign w:val="bottom"/>
          </w:tcPr>
          <w:p>
            <w:pPr>
              <w:spacing w:after="0"/>
              <w:rPr>
                <w:sz w:val="1"/>
                <w:szCs w:val="1"/>
                <w:color w:val="auto"/>
              </w:rPr>
            </w:pPr>
          </w:p>
        </w:tc>
      </w:tr>
      <w:tr>
        <w:trPr>
          <w:trHeight w:val="248"/>
        </w:trPr>
        <w:tc>
          <w:tcPr>
            <w:tcW w:w="500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Adjusted EBITDA</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50,836</w:t>
            </w:r>
          </w:p>
        </w:tc>
        <w:tc>
          <w:tcPr>
            <w:tcW w:w="60" w:type="dxa"/>
            <w:vAlign w:val="bottom"/>
            <w:tcBorders>
              <w:bottom w:val="single" w:sz="8" w:color="auto"/>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60,307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99,673</w:t>
            </w:r>
          </w:p>
        </w:tc>
        <w:tc>
          <w:tcPr>
            <w:tcW w:w="6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116,928</w:t>
            </w:r>
          </w:p>
        </w:tc>
        <w:tc>
          <w:tcPr>
            <w:tcW w:w="0" w:type="dxa"/>
            <w:vAlign w:val="bottom"/>
          </w:tcPr>
          <w:p>
            <w:pPr>
              <w:spacing w:after="0"/>
              <w:rPr>
                <w:sz w:val="1"/>
                <w:szCs w:val="1"/>
                <w:color w:val="auto"/>
              </w:rPr>
            </w:pPr>
          </w:p>
        </w:tc>
      </w:tr>
      <w:tr>
        <w:trPr>
          <w:trHeight w:val="20"/>
        </w:trPr>
        <w:tc>
          <w:tcPr>
            <w:tcW w:w="260" w:type="dxa"/>
            <w:vAlign w:val="bottom"/>
            <w:tcBorders>
              <w:top w:val="single" w:sz="8" w:color="CCEEFF"/>
            </w:tcBorders>
          </w:tcPr>
          <w:p>
            <w:pPr>
              <w:spacing w:after="0" w:line="20" w:lineRule="exact"/>
              <w:rPr>
                <w:sz w:val="1"/>
                <w:szCs w:val="1"/>
                <w:color w:val="auto"/>
              </w:rPr>
            </w:pPr>
          </w:p>
        </w:tc>
        <w:tc>
          <w:tcPr>
            <w:tcW w:w="47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8"/>
        </w:trPr>
        <w:tc>
          <w:tcPr>
            <w:tcW w:w="26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13 Weeks Ended</w:t>
            </w:r>
          </w:p>
        </w:tc>
        <w:tc>
          <w:tcPr>
            <w:tcW w:w="9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26 Weeks Ended</w:t>
            </w:r>
          </w:p>
        </w:tc>
        <w:tc>
          <w:tcPr>
            <w:tcW w:w="96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4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80" w:type="dxa"/>
            <w:vAlign w:val="bottom"/>
            <w:gridSpan w:val="2"/>
          </w:tcPr>
          <w:p>
            <w:pPr>
              <w:jc w:val="right"/>
              <w:ind w:right="560"/>
              <w:spacing w:after="0" w:line="135" w:lineRule="exact"/>
              <w:rPr>
                <w:sz w:val="20"/>
                <w:szCs w:val="20"/>
                <w:color w:val="auto"/>
              </w:rPr>
            </w:pPr>
            <w:r>
              <w:rPr>
                <w:rFonts w:ascii="Arial" w:cs="Arial" w:eastAsia="Arial" w:hAnsi="Arial"/>
                <w:sz w:val="14"/>
                <w:szCs w:val="14"/>
                <w:b w:val="1"/>
                <w:bCs w:val="1"/>
                <w:color w:val="auto"/>
              </w:rPr>
              <w:t>July 3,</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60" w:type="dxa"/>
            <w:vAlign w:val="bottom"/>
          </w:tcPr>
          <w:p>
            <w:pPr>
              <w:jc w:val="right"/>
              <w:ind w:right="352"/>
              <w:spacing w:after="0" w:line="135" w:lineRule="exact"/>
              <w:rPr>
                <w:sz w:val="20"/>
                <w:szCs w:val="20"/>
                <w:color w:val="auto"/>
              </w:rPr>
            </w:pPr>
            <w:r>
              <w:rPr>
                <w:rFonts w:ascii="Arial" w:cs="Arial" w:eastAsia="Arial" w:hAnsi="Arial"/>
                <w:sz w:val="14"/>
                <w:szCs w:val="14"/>
                <w:b w:val="1"/>
                <w:bCs w:val="1"/>
                <w:color w:val="auto"/>
                <w:w w:val="89"/>
              </w:rPr>
              <w:t>June 27,</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60" w:type="dxa"/>
            <w:vAlign w:val="bottom"/>
            <w:gridSpan w:val="2"/>
          </w:tcPr>
          <w:p>
            <w:pPr>
              <w:jc w:val="right"/>
              <w:ind w:right="620"/>
              <w:spacing w:after="0" w:line="135" w:lineRule="exact"/>
              <w:rPr>
                <w:sz w:val="20"/>
                <w:szCs w:val="20"/>
                <w:color w:val="auto"/>
              </w:rPr>
            </w:pPr>
            <w:r>
              <w:rPr>
                <w:rFonts w:ascii="Arial" w:cs="Arial" w:eastAsia="Arial" w:hAnsi="Arial"/>
                <w:sz w:val="14"/>
                <w:szCs w:val="14"/>
                <w:b w:val="1"/>
                <w:bCs w:val="1"/>
                <w:color w:val="auto"/>
              </w:rPr>
              <w:t>July 3,</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tcPr>
          <w:p>
            <w:pPr>
              <w:jc w:val="right"/>
              <w:ind w:right="372"/>
              <w:spacing w:after="0" w:line="135" w:lineRule="exact"/>
              <w:rPr>
                <w:sz w:val="20"/>
                <w:szCs w:val="20"/>
                <w:color w:val="auto"/>
              </w:rPr>
            </w:pPr>
            <w:r>
              <w:rPr>
                <w:rFonts w:ascii="Arial" w:cs="Arial" w:eastAsia="Arial" w:hAnsi="Arial"/>
                <w:sz w:val="14"/>
                <w:szCs w:val="14"/>
                <w:b w:val="1"/>
                <w:bCs w:val="1"/>
                <w:color w:val="auto"/>
                <w:w w:val="85"/>
              </w:rPr>
              <w:t>June 27,</w:t>
            </w: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260" w:type="dxa"/>
            <w:vAlign w:val="bottom"/>
          </w:tcPr>
          <w:p>
            <w:pPr>
              <w:spacing w:after="0"/>
              <w:rPr>
                <w:sz w:val="16"/>
                <w:szCs w:val="16"/>
                <w:color w:val="auto"/>
              </w:rPr>
            </w:pPr>
          </w:p>
        </w:tc>
        <w:tc>
          <w:tcPr>
            <w:tcW w:w="47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2021</w:t>
            </w: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60" w:type="dxa"/>
            <w:vAlign w:val="bottom"/>
          </w:tcPr>
          <w:p>
            <w:pPr>
              <w:spacing w:after="0"/>
              <w:rPr>
                <w:sz w:val="19"/>
                <w:szCs w:val="19"/>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19,640</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29,333</w:t>
            </w:r>
          </w:p>
        </w:tc>
        <w:tc>
          <w:tcPr>
            <w:tcW w:w="12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38,532</w:t>
            </w:r>
          </w:p>
        </w:tc>
        <w:tc>
          <w:tcPr>
            <w:tcW w:w="10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79"/>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41,975</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0" w:type="dxa"/>
            <w:vAlign w:val="bottom"/>
          </w:tcPr>
          <w:p>
            <w:pPr>
              <w:spacing w:after="0"/>
              <w:rPr>
                <w:sz w:val="19"/>
                <w:szCs w:val="19"/>
                <w:color w:val="auto"/>
              </w:rPr>
            </w:pPr>
          </w:p>
        </w:tc>
        <w:tc>
          <w:tcPr>
            <w:tcW w:w="4740" w:type="dxa"/>
            <w:vAlign w:val="bottom"/>
          </w:tcPr>
          <w:p>
            <w:pPr>
              <w:spacing w:after="0" w:line="230" w:lineRule="exact"/>
              <w:rPr>
                <w:sz w:val="20"/>
                <w:szCs w:val="20"/>
                <w:color w:val="auto"/>
              </w:rPr>
            </w:pPr>
            <w:r>
              <w:rPr>
                <w:rFonts w:ascii="Arial" w:cs="Arial" w:eastAsia="Arial" w:hAnsi="Arial"/>
                <w:sz w:val="17"/>
                <w:szCs w:val="17"/>
                <w:color w:val="auto"/>
              </w:rPr>
              <w:t xml:space="preserve">Share-based compensation expenses </w:t>
            </w:r>
            <w:r>
              <w:rPr>
                <w:rFonts w:ascii="Arial" w:cs="Arial" w:eastAsia="Arial" w:hAnsi="Arial"/>
                <w:sz w:val="26"/>
                <w:szCs w:val="26"/>
                <w:color w:val="auto"/>
                <w:vertAlign w:val="superscript"/>
              </w:rPr>
              <w:t>(2)</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4,210</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10,175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8,149</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30,452</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60" w:type="dxa"/>
            <w:vAlign w:val="bottom"/>
          </w:tcPr>
          <w:p>
            <w:pPr>
              <w:spacing w:after="0"/>
              <w:rPr>
                <w:sz w:val="19"/>
                <w:szCs w:val="19"/>
                <w:color w:val="auto"/>
              </w:rPr>
            </w:pPr>
          </w:p>
        </w:tc>
        <w:tc>
          <w:tcPr>
            <w:tcW w:w="4740" w:type="dxa"/>
            <w:vAlign w:val="bottom"/>
            <w:shd w:val="clear" w:color="auto" w:fill="CCEEFF"/>
          </w:tcPr>
          <w:p>
            <w:pPr>
              <w:spacing w:after="0" w:line="230" w:lineRule="exact"/>
              <w:rPr>
                <w:sz w:val="20"/>
                <w:szCs w:val="20"/>
                <w:color w:val="auto"/>
              </w:rPr>
            </w:pPr>
            <w:r>
              <w:rPr>
                <w:rFonts w:ascii="Arial" w:cs="Arial" w:eastAsia="Arial" w:hAnsi="Arial"/>
                <w:sz w:val="17"/>
                <w:szCs w:val="17"/>
                <w:color w:val="auto"/>
              </w:rPr>
              <w:t xml:space="preserve">Non-cash rent </w:t>
            </w:r>
            <w:r>
              <w:rPr>
                <w:rFonts w:ascii="Arial" w:cs="Arial" w:eastAsia="Arial" w:hAnsi="Arial"/>
                <w:sz w:val="26"/>
                <w:szCs w:val="26"/>
                <w:color w:val="auto"/>
                <w:vertAlign w:val="superscript"/>
              </w:rPr>
              <w:t>(3)</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3,061</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2,759</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5,969</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4,973</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0" w:type="dxa"/>
            <w:vAlign w:val="bottom"/>
          </w:tcPr>
          <w:p>
            <w:pPr>
              <w:spacing w:after="0"/>
              <w:rPr>
                <w:sz w:val="19"/>
                <w:szCs w:val="19"/>
                <w:color w:val="auto"/>
              </w:rPr>
            </w:pPr>
          </w:p>
        </w:tc>
        <w:tc>
          <w:tcPr>
            <w:tcW w:w="4740" w:type="dxa"/>
            <w:vAlign w:val="bottom"/>
          </w:tcPr>
          <w:p>
            <w:pPr>
              <w:spacing w:after="0" w:line="230" w:lineRule="exact"/>
              <w:rPr>
                <w:sz w:val="20"/>
                <w:szCs w:val="20"/>
                <w:color w:val="auto"/>
              </w:rPr>
            </w:pPr>
            <w:r>
              <w:rPr>
                <w:rFonts w:ascii="Arial" w:cs="Arial" w:eastAsia="Arial" w:hAnsi="Arial"/>
                <w:sz w:val="17"/>
                <w:szCs w:val="17"/>
                <w:color w:val="auto"/>
              </w:rPr>
              <w:t xml:space="preserve">Asset impairment and gain or loss on disposition </w:t>
            </w:r>
            <w:r>
              <w:rPr>
                <w:rFonts w:ascii="Arial" w:cs="Arial" w:eastAsia="Arial" w:hAnsi="Arial"/>
                <w:sz w:val="26"/>
                <w:szCs w:val="26"/>
                <w:color w:val="auto"/>
                <w:vertAlign w:val="superscript"/>
              </w:rPr>
              <w:t>(4)</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305</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757</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953</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0" w:type="dxa"/>
            <w:vAlign w:val="bottom"/>
          </w:tcPr>
          <w:p>
            <w:pPr>
              <w:spacing w:after="0"/>
              <w:rPr>
                <w:sz w:val="19"/>
                <w:szCs w:val="19"/>
                <w:color w:val="auto"/>
              </w:rPr>
            </w:pPr>
          </w:p>
        </w:tc>
        <w:tc>
          <w:tcPr>
            <w:tcW w:w="4740" w:type="dxa"/>
            <w:vAlign w:val="bottom"/>
            <w:shd w:val="clear" w:color="auto" w:fill="CCEEFF"/>
          </w:tcPr>
          <w:p>
            <w:pPr>
              <w:spacing w:after="0" w:line="230" w:lineRule="exact"/>
              <w:rPr>
                <w:sz w:val="20"/>
                <w:szCs w:val="20"/>
                <w:color w:val="auto"/>
              </w:rPr>
            </w:pPr>
            <w:r>
              <w:rPr>
                <w:rFonts w:ascii="Arial" w:cs="Arial" w:eastAsia="Arial" w:hAnsi="Arial"/>
                <w:sz w:val="17"/>
                <w:szCs w:val="17"/>
                <w:color w:val="auto"/>
              </w:rPr>
              <w:t xml:space="preserve">Provision for accounts receivable reserves </w:t>
            </w:r>
            <w:r>
              <w:rPr>
                <w:rFonts w:ascii="Arial" w:cs="Arial" w:eastAsia="Arial" w:hAnsi="Arial"/>
                <w:sz w:val="26"/>
                <w:szCs w:val="26"/>
                <w:color w:val="auto"/>
                <w:vertAlign w:val="superscript"/>
              </w:rPr>
              <w:t>(5)</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1,334</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2,289</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0" w:type="dxa"/>
            <w:vAlign w:val="bottom"/>
          </w:tcPr>
          <w:p>
            <w:pPr>
              <w:spacing w:after="0"/>
              <w:rPr>
                <w:sz w:val="19"/>
                <w:szCs w:val="19"/>
                <w:color w:val="auto"/>
              </w:rPr>
            </w:pPr>
          </w:p>
        </w:tc>
        <w:tc>
          <w:tcPr>
            <w:tcW w:w="4740" w:type="dxa"/>
            <w:vAlign w:val="bottom"/>
          </w:tcPr>
          <w:p>
            <w:pPr>
              <w:spacing w:after="0" w:line="230" w:lineRule="exact"/>
              <w:rPr>
                <w:sz w:val="20"/>
                <w:szCs w:val="20"/>
                <w:color w:val="auto"/>
              </w:rPr>
            </w:pPr>
            <w:r>
              <w:rPr>
                <w:rFonts w:ascii="Arial" w:cs="Arial" w:eastAsia="Arial" w:hAnsi="Arial"/>
                <w:sz w:val="17"/>
                <w:szCs w:val="17"/>
                <w:color w:val="auto"/>
              </w:rPr>
              <w:t xml:space="preserve">Other </w:t>
            </w:r>
            <w:r>
              <w:rPr>
                <w:rFonts w:ascii="Arial" w:cs="Arial" w:eastAsia="Arial" w:hAnsi="Arial"/>
                <w:sz w:val="26"/>
                <w:szCs w:val="26"/>
                <w:color w:val="auto"/>
                <w:vertAlign w:val="superscript"/>
              </w:rPr>
              <w:t>(6)</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(3,385)</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2,048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(2,793)</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4,110</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60" w:type="dxa"/>
            <w:vAlign w:val="bottom"/>
          </w:tcPr>
          <w:p>
            <w:pPr>
              <w:spacing w:after="0"/>
              <w:rPr>
                <w:sz w:val="15"/>
                <w:szCs w:val="15"/>
                <w:color w:val="auto"/>
              </w:rPr>
            </w:pPr>
          </w:p>
        </w:tc>
        <w:tc>
          <w:tcPr>
            <w:tcW w:w="47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Amortization of purchase accounting assets and deferred</w:t>
            </w:r>
          </w:p>
        </w:tc>
        <w:tc>
          <w:tcPr>
            <w:tcW w:w="30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2,943</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2,944</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5,886</w:t>
            </w: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5,880</w:t>
            </w: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60" w:type="dxa"/>
            <w:vAlign w:val="bottom"/>
          </w:tcPr>
          <w:p>
            <w:pPr>
              <w:spacing w:after="0"/>
              <w:rPr>
                <w:sz w:val="19"/>
                <w:szCs w:val="19"/>
                <w:color w:val="auto"/>
              </w:rPr>
            </w:pPr>
          </w:p>
        </w:tc>
        <w:tc>
          <w:tcPr>
            <w:tcW w:w="4740" w:type="dxa"/>
            <w:vAlign w:val="bottom"/>
            <w:shd w:val="clear" w:color="auto" w:fill="CCEEFF"/>
          </w:tcPr>
          <w:p>
            <w:pPr>
              <w:spacing w:after="0" w:line="230" w:lineRule="exact"/>
              <w:rPr>
                <w:sz w:val="20"/>
                <w:szCs w:val="20"/>
                <w:color w:val="auto"/>
              </w:rPr>
            </w:pPr>
            <w:r>
              <w:rPr>
                <w:rFonts w:ascii="Arial" w:cs="Arial" w:eastAsia="Arial" w:hAnsi="Arial"/>
                <w:sz w:val="17"/>
                <w:szCs w:val="17"/>
                <w:color w:val="auto"/>
              </w:rPr>
              <w:t xml:space="preserve">financing costs </w:t>
            </w:r>
            <w:r>
              <w:rPr>
                <w:rFonts w:ascii="Arial" w:cs="Arial" w:eastAsia="Arial" w:hAnsi="Arial"/>
                <w:sz w:val="26"/>
                <w:szCs w:val="26"/>
                <w:color w:val="auto"/>
                <w:vertAlign w:val="superscript"/>
              </w:rPr>
              <w:t>(7)</w:t>
            </w:r>
          </w:p>
        </w:tc>
        <w:tc>
          <w:tcPr>
            <w:tcW w:w="30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60" w:type="dxa"/>
            <w:vAlign w:val="bottom"/>
          </w:tcPr>
          <w:p>
            <w:pPr>
              <w:spacing w:after="0"/>
              <w:rPr>
                <w:sz w:val="15"/>
                <w:szCs w:val="15"/>
                <w:color w:val="auto"/>
              </w:rPr>
            </w:pPr>
          </w:p>
        </w:tc>
        <w:tc>
          <w:tcPr>
            <w:tcW w:w="4740" w:type="dxa"/>
            <w:vAlign w:val="bottom"/>
          </w:tcPr>
          <w:p>
            <w:pPr>
              <w:spacing w:after="0" w:line="176" w:lineRule="exact"/>
              <w:rPr>
                <w:sz w:val="20"/>
                <w:szCs w:val="20"/>
                <w:color w:val="auto"/>
              </w:rPr>
            </w:pPr>
            <w:r>
              <w:rPr>
                <w:rFonts w:ascii="Arial" w:cs="Arial" w:eastAsia="Arial" w:hAnsi="Arial"/>
                <w:sz w:val="18"/>
                <w:szCs w:val="18"/>
                <w:color w:val="auto"/>
                <w:w w:val="97"/>
              </w:rPr>
              <w:t>Tax impact of stock option exercises and vesting of restricted</w:t>
            </w:r>
          </w:p>
        </w:tc>
        <w:tc>
          <w:tcPr>
            <w:tcW w:w="30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(2,402)</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(9,584)</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(6,658)</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(14,578)</w:t>
            </w: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60" w:type="dxa"/>
            <w:vAlign w:val="bottom"/>
          </w:tcPr>
          <w:p>
            <w:pPr>
              <w:spacing w:after="0"/>
              <w:rPr>
                <w:sz w:val="19"/>
                <w:szCs w:val="19"/>
                <w:color w:val="auto"/>
              </w:rPr>
            </w:pPr>
          </w:p>
        </w:tc>
        <w:tc>
          <w:tcPr>
            <w:tcW w:w="4740" w:type="dxa"/>
            <w:vAlign w:val="bottom"/>
          </w:tcPr>
          <w:p>
            <w:pPr>
              <w:spacing w:after="0" w:line="230" w:lineRule="exact"/>
              <w:rPr>
                <w:sz w:val="20"/>
                <w:szCs w:val="20"/>
                <w:color w:val="auto"/>
              </w:rPr>
            </w:pPr>
            <w:r>
              <w:rPr>
                <w:rFonts w:ascii="Arial" w:cs="Arial" w:eastAsia="Arial" w:hAnsi="Arial"/>
                <w:sz w:val="17"/>
                <w:szCs w:val="17"/>
                <w:color w:val="auto"/>
              </w:rPr>
              <w:t xml:space="preserve">stock units </w:t>
            </w:r>
            <w:r>
              <w:rPr>
                <w:rFonts w:ascii="Arial" w:cs="Arial" w:eastAsia="Arial" w:hAnsi="Arial"/>
                <w:sz w:val="26"/>
                <w:szCs w:val="26"/>
                <w:color w:val="auto"/>
                <w:vertAlign w:val="superscript"/>
              </w:rPr>
              <w:t>(8)</w:t>
            </w:r>
          </w:p>
        </w:tc>
        <w:tc>
          <w:tcPr>
            <w:tcW w:w="30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0" w:type="dxa"/>
            <w:vAlign w:val="bottom"/>
          </w:tcPr>
          <w:p>
            <w:pPr>
              <w:spacing w:after="0"/>
              <w:rPr>
                <w:sz w:val="19"/>
                <w:szCs w:val="19"/>
                <w:color w:val="auto"/>
              </w:rPr>
            </w:pPr>
          </w:p>
        </w:tc>
        <w:tc>
          <w:tcPr>
            <w:tcW w:w="4740" w:type="dxa"/>
            <w:vAlign w:val="bottom"/>
            <w:shd w:val="clear" w:color="auto" w:fill="CCEEFF"/>
          </w:tcPr>
          <w:p>
            <w:pPr>
              <w:spacing w:after="0" w:line="230" w:lineRule="exact"/>
              <w:rPr>
                <w:sz w:val="20"/>
                <w:szCs w:val="20"/>
                <w:color w:val="auto"/>
              </w:rPr>
            </w:pPr>
            <w:r>
              <w:rPr>
                <w:rFonts w:ascii="Arial" w:cs="Arial" w:eastAsia="Arial" w:hAnsi="Arial"/>
                <w:sz w:val="17"/>
                <w:szCs w:val="17"/>
                <w:color w:val="auto"/>
              </w:rPr>
              <w:t xml:space="preserve">Tax effect of total adjustments </w:t>
            </w:r>
            <w:r>
              <w:rPr>
                <w:rFonts w:ascii="Arial" w:cs="Arial" w:eastAsia="Arial" w:hAnsi="Arial"/>
                <w:sz w:val="26"/>
                <w:szCs w:val="26"/>
                <w:color w:val="auto"/>
                <w:vertAlign w:val="superscript"/>
              </w:rPr>
              <w:t>(9)</w:t>
            </w: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(2,371)</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(4,761)</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(5,672)</w:t>
            </w:r>
          </w:p>
        </w:tc>
        <w:tc>
          <w:tcPr>
            <w:tcW w:w="10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(12,968)</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60" w:type="dxa"/>
            <w:vAlign w:val="bottom"/>
          </w:tcPr>
          <w:p>
            <w:pPr>
              <w:spacing w:after="0"/>
              <w:rPr>
                <w:sz w:val="19"/>
                <w:szCs w:val="19"/>
                <w:color w:val="auto"/>
              </w:rPr>
            </w:pPr>
          </w:p>
        </w:tc>
        <w:tc>
          <w:tcPr>
            <w:tcW w:w="4740" w:type="dxa"/>
            <w:vAlign w:val="bottom"/>
          </w:tcPr>
          <w:p>
            <w:pPr>
              <w:ind w:left="220"/>
              <w:spacing w:after="0"/>
              <w:rPr>
                <w:sz w:val="20"/>
                <w:szCs w:val="20"/>
                <w:color w:val="auto"/>
              </w:rPr>
            </w:pPr>
            <w:r>
              <w:rPr>
                <w:rFonts w:ascii="Arial" w:cs="Arial" w:eastAsia="Arial" w:hAnsi="Arial"/>
                <w:sz w:val="18"/>
                <w:szCs w:val="18"/>
                <w:color w:val="auto"/>
              </w:rPr>
              <w:t>Adjusted net income</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23,335</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Borders>
              <w:bottom w:val="single" w:sz="8" w:color="auto"/>
            </w:tcBorders>
            <w:gridSpan w:val="2"/>
          </w:tcPr>
          <w:p>
            <w:pPr>
              <w:jc w:val="right"/>
              <w:ind w:right="2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31,993</w:t>
            </w:r>
          </w:p>
        </w:tc>
        <w:tc>
          <w:tcPr>
            <w:tcW w:w="120" w:type="dxa"/>
            <w:vAlign w:val="bottom"/>
          </w:tcPr>
          <w:p>
            <w:pPr>
              <w:spacing w:after="0"/>
              <w:rPr>
                <w:sz w:val="19"/>
                <w:szCs w:val="19"/>
                <w:color w:val="auto"/>
              </w:rPr>
            </w:pPr>
          </w:p>
        </w:tc>
        <w:tc>
          <w:tcPr>
            <w:tcW w:w="360" w:type="dxa"/>
            <w:vAlign w:val="bottom"/>
            <w:tcBorders>
              <w:bottom w:val="single" w:sz="8" w:color="auto"/>
            </w:tcBorders>
            <w:gridSpan w:val="2"/>
          </w:tcPr>
          <w:p>
            <w:pPr>
              <w:jc w:val="right"/>
              <w:ind w:right="1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46,459</w:t>
            </w:r>
          </w:p>
        </w:tc>
        <w:tc>
          <w:tcPr>
            <w:tcW w:w="100" w:type="dxa"/>
            <w:vAlign w:val="bottom"/>
          </w:tcPr>
          <w:p>
            <w:pPr>
              <w:spacing w:after="0"/>
              <w:rPr>
                <w:sz w:val="19"/>
                <w:szCs w:val="19"/>
                <w:color w:val="auto"/>
              </w:rPr>
            </w:pPr>
          </w:p>
        </w:tc>
        <w:tc>
          <w:tcPr>
            <w:tcW w:w="1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w w:val="79"/>
              </w:rPr>
              <w:t>$</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60,746</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47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60" w:type="dxa"/>
            <w:vAlign w:val="bottom"/>
          </w:tcPr>
          <w:p>
            <w:pPr>
              <w:spacing w:after="0"/>
              <w:rPr>
                <w:sz w:val="20"/>
                <w:szCs w:val="20"/>
                <w:color w:val="auto"/>
              </w:rPr>
            </w:pPr>
          </w:p>
        </w:tc>
        <w:tc>
          <w:tcPr>
            <w:tcW w:w="47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60" w:type="dxa"/>
            <w:vAlign w:val="bottom"/>
          </w:tcPr>
          <w:p>
            <w:pPr>
              <w:spacing w:after="0"/>
              <w:rPr>
                <w:sz w:val="19"/>
                <w:szCs w:val="19"/>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GAAP earnings per share</w:t>
            </w: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0" w:type="dxa"/>
            <w:vAlign w:val="bottom"/>
          </w:tcPr>
          <w:p>
            <w:pPr>
              <w:spacing w:after="0"/>
              <w:rPr>
                <w:sz w:val="19"/>
                <w:szCs w:val="19"/>
                <w:color w:val="auto"/>
              </w:rPr>
            </w:pPr>
          </w:p>
        </w:tc>
        <w:tc>
          <w:tcPr>
            <w:tcW w:w="4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60" w:type="dxa"/>
            <w:vAlign w:val="bottom"/>
            <w:shd w:val="clear" w:color="auto" w:fill="CCEEFF"/>
          </w:tcPr>
          <w:p>
            <w:pPr>
              <w:spacing w:after="0"/>
              <w:rPr>
                <w:sz w:val="19"/>
                <w:szCs w:val="19"/>
                <w:color w:val="auto"/>
              </w:rPr>
            </w:pPr>
          </w:p>
        </w:tc>
        <w:tc>
          <w:tcPr>
            <w:tcW w:w="500" w:type="dxa"/>
            <w:vAlign w:val="bottom"/>
            <w:gridSpan w:val="3"/>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12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0.40</w:t>
            </w:r>
          </w:p>
        </w:tc>
        <w:tc>
          <w:tcPr>
            <w:tcW w:w="10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79"/>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0.47</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60" w:type="dxa"/>
            <w:vAlign w:val="bottom"/>
          </w:tcPr>
          <w:p>
            <w:pPr>
              <w:spacing w:after="0"/>
              <w:rPr>
                <w:sz w:val="19"/>
                <w:szCs w:val="19"/>
                <w:color w:val="auto"/>
              </w:rPr>
            </w:pPr>
          </w:p>
        </w:tc>
        <w:tc>
          <w:tcPr>
            <w:tcW w:w="4740" w:type="dxa"/>
            <w:vAlign w:val="bottom"/>
          </w:tcPr>
          <w:p>
            <w:pPr>
              <w:ind w:left="220"/>
              <w:spacing w:after="0"/>
              <w:rPr>
                <w:sz w:val="20"/>
                <w:szCs w:val="20"/>
                <w:color w:val="auto"/>
              </w:rPr>
            </w:pPr>
            <w:r>
              <w:rPr>
                <w:rFonts w:ascii="Arial" w:cs="Arial" w:eastAsia="Arial" w:hAnsi="Arial"/>
                <w:sz w:val="18"/>
                <w:szCs w:val="18"/>
                <w:color w:val="auto"/>
              </w:rPr>
              <w:t>Diluted</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0.20</w:t>
            </w:r>
          </w:p>
        </w:tc>
        <w:tc>
          <w:tcPr>
            <w:tcW w:w="60" w:type="dxa"/>
            <w:vAlign w:val="bottom"/>
          </w:tcPr>
          <w:p>
            <w:pPr>
              <w:spacing w:after="0"/>
              <w:rPr>
                <w:sz w:val="19"/>
                <w:szCs w:val="19"/>
                <w:color w:val="auto"/>
              </w:rPr>
            </w:pPr>
          </w:p>
        </w:tc>
        <w:tc>
          <w:tcPr>
            <w:tcW w:w="500" w:type="dxa"/>
            <w:vAlign w:val="bottom"/>
            <w:gridSpan w:val="3"/>
          </w:tcPr>
          <w:p>
            <w:pPr>
              <w:jc w:val="right"/>
              <w:ind w:right="25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0.30</w:t>
            </w:r>
          </w:p>
        </w:tc>
        <w:tc>
          <w:tcPr>
            <w:tcW w:w="120" w:type="dxa"/>
            <w:vAlign w:val="bottom"/>
          </w:tcPr>
          <w:p>
            <w:pPr>
              <w:spacing w:after="0"/>
              <w:rPr>
                <w:sz w:val="19"/>
                <w:szCs w:val="19"/>
                <w:color w:val="auto"/>
              </w:rPr>
            </w:pPr>
          </w:p>
        </w:tc>
        <w:tc>
          <w:tcPr>
            <w:tcW w:w="360" w:type="dxa"/>
            <w:vAlign w:val="bottom"/>
            <w:gridSpan w:val="2"/>
          </w:tcPr>
          <w:p>
            <w:pPr>
              <w:jc w:val="right"/>
              <w:ind w:right="17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0.39</w:t>
            </w:r>
          </w:p>
        </w:tc>
        <w:tc>
          <w:tcPr>
            <w:tcW w:w="100" w:type="dxa"/>
            <w:vAlign w:val="bottom"/>
          </w:tcPr>
          <w:p>
            <w:pPr>
              <w:spacing w:after="0"/>
              <w:rPr>
                <w:sz w:val="19"/>
                <w:szCs w:val="19"/>
                <w:color w:val="auto"/>
              </w:rPr>
            </w:pPr>
          </w:p>
        </w:tc>
        <w:tc>
          <w:tcPr>
            <w:tcW w:w="180" w:type="dxa"/>
            <w:vAlign w:val="bottom"/>
            <w:gridSpan w:val="2"/>
          </w:tcPr>
          <w:p>
            <w:pPr>
              <w:jc w:val="right"/>
              <w:ind w:right="80"/>
              <w:spacing w:after="0"/>
              <w:rPr>
                <w:sz w:val="20"/>
                <w:szCs w:val="20"/>
                <w:color w:val="auto"/>
              </w:rPr>
            </w:pPr>
            <w:r>
              <w:rPr>
                <w:rFonts w:ascii="Arial" w:cs="Arial" w:eastAsia="Arial" w:hAnsi="Arial"/>
                <w:sz w:val="18"/>
                <w:szCs w:val="18"/>
                <w:color w:val="auto"/>
                <w:w w:val="79"/>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0.43</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0" w:type="dxa"/>
            <w:vAlign w:val="bottom"/>
          </w:tcPr>
          <w:p>
            <w:pPr>
              <w:spacing w:after="0"/>
              <w:rPr>
                <w:sz w:val="19"/>
                <w:szCs w:val="19"/>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Adjusted earnings per share</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0" w:type="dxa"/>
            <w:vAlign w:val="bottom"/>
          </w:tcPr>
          <w:p>
            <w:pPr>
              <w:spacing w:after="0"/>
              <w:rPr>
                <w:sz w:val="19"/>
                <w:szCs w:val="19"/>
                <w:color w:val="auto"/>
              </w:rPr>
            </w:pPr>
          </w:p>
        </w:tc>
        <w:tc>
          <w:tcPr>
            <w:tcW w:w="4740" w:type="dxa"/>
            <w:vAlign w:val="bottom"/>
          </w:tcPr>
          <w:p>
            <w:pPr>
              <w:ind w:left="220"/>
              <w:spacing w:after="0"/>
              <w:rPr>
                <w:sz w:val="20"/>
                <w:szCs w:val="20"/>
                <w:color w:val="auto"/>
              </w:rPr>
            </w:pPr>
            <w:r>
              <w:rPr>
                <w:rFonts w:ascii="Arial" w:cs="Arial" w:eastAsia="Arial" w:hAnsi="Arial"/>
                <w:sz w:val="18"/>
                <w:szCs w:val="18"/>
                <w:color w:val="auto"/>
              </w:rPr>
              <w:t>Basic</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0.24</w:t>
            </w:r>
          </w:p>
        </w:tc>
        <w:tc>
          <w:tcPr>
            <w:tcW w:w="60" w:type="dxa"/>
            <w:vAlign w:val="bottom"/>
          </w:tcPr>
          <w:p>
            <w:pPr>
              <w:spacing w:after="0"/>
              <w:rPr>
                <w:sz w:val="19"/>
                <w:szCs w:val="19"/>
                <w:color w:val="auto"/>
              </w:rPr>
            </w:pPr>
          </w:p>
        </w:tc>
        <w:tc>
          <w:tcPr>
            <w:tcW w:w="500" w:type="dxa"/>
            <w:vAlign w:val="bottom"/>
            <w:gridSpan w:val="3"/>
          </w:tcPr>
          <w:p>
            <w:pPr>
              <w:jc w:val="right"/>
              <w:ind w:right="25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0.35</w:t>
            </w:r>
          </w:p>
        </w:tc>
        <w:tc>
          <w:tcPr>
            <w:tcW w:w="120" w:type="dxa"/>
            <w:vAlign w:val="bottom"/>
          </w:tcPr>
          <w:p>
            <w:pPr>
              <w:spacing w:after="0"/>
              <w:rPr>
                <w:sz w:val="19"/>
                <w:szCs w:val="19"/>
                <w:color w:val="auto"/>
              </w:rPr>
            </w:pPr>
          </w:p>
        </w:tc>
        <w:tc>
          <w:tcPr>
            <w:tcW w:w="360" w:type="dxa"/>
            <w:vAlign w:val="bottom"/>
            <w:gridSpan w:val="2"/>
          </w:tcPr>
          <w:p>
            <w:pPr>
              <w:jc w:val="right"/>
              <w:ind w:right="17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0.49</w:t>
            </w:r>
          </w:p>
        </w:tc>
        <w:tc>
          <w:tcPr>
            <w:tcW w:w="100" w:type="dxa"/>
            <w:vAlign w:val="bottom"/>
          </w:tcPr>
          <w:p>
            <w:pPr>
              <w:spacing w:after="0"/>
              <w:rPr>
                <w:sz w:val="19"/>
                <w:szCs w:val="19"/>
                <w:color w:val="auto"/>
              </w:rPr>
            </w:pPr>
          </w:p>
        </w:tc>
        <w:tc>
          <w:tcPr>
            <w:tcW w:w="180" w:type="dxa"/>
            <w:vAlign w:val="bottom"/>
            <w:gridSpan w:val="2"/>
          </w:tcPr>
          <w:p>
            <w:pPr>
              <w:jc w:val="right"/>
              <w:ind w:right="80"/>
              <w:spacing w:after="0"/>
              <w:rPr>
                <w:sz w:val="20"/>
                <w:szCs w:val="20"/>
                <w:color w:val="auto"/>
              </w:rPr>
            </w:pPr>
            <w:r>
              <w:rPr>
                <w:rFonts w:ascii="Arial" w:cs="Arial" w:eastAsia="Arial" w:hAnsi="Arial"/>
                <w:sz w:val="18"/>
                <w:szCs w:val="18"/>
                <w:color w:val="auto"/>
                <w:w w:val="79"/>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0.67</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0" w:type="dxa"/>
            <w:vAlign w:val="bottom"/>
          </w:tcPr>
          <w:p>
            <w:pPr>
              <w:spacing w:after="0"/>
              <w:rPr>
                <w:sz w:val="19"/>
                <w:szCs w:val="19"/>
                <w:color w:val="auto"/>
              </w:rPr>
            </w:pPr>
          </w:p>
        </w:tc>
        <w:tc>
          <w:tcPr>
            <w:tcW w:w="4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60" w:type="dxa"/>
            <w:vAlign w:val="bottom"/>
            <w:shd w:val="clear" w:color="auto" w:fill="CCEEFF"/>
          </w:tcPr>
          <w:p>
            <w:pPr>
              <w:spacing w:after="0"/>
              <w:rPr>
                <w:sz w:val="19"/>
                <w:szCs w:val="19"/>
                <w:color w:val="auto"/>
              </w:rPr>
            </w:pPr>
          </w:p>
        </w:tc>
        <w:tc>
          <w:tcPr>
            <w:tcW w:w="500" w:type="dxa"/>
            <w:vAlign w:val="bottom"/>
            <w:gridSpan w:val="3"/>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12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0.47</w:t>
            </w:r>
          </w:p>
        </w:tc>
        <w:tc>
          <w:tcPr>
            <w:tcW w:w="10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79"/>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0.62</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60" w:type="dxa"/>
            <w:vAlign w:val="bottom"/>
          </w:tcPr>
          <w:p>
            <w:pPr>
              <w:spacing w:after="0"/>
              <w:rPr>
                <w:sz w:val="19"/>
                <w:szCs w:val="19"/>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Weighted average shares outstanding</w:t>
            </w: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0" w:type="dxa"/>
            <w:vAlign w:val="bottom"/>
          </w:tcPr>
          <w:p>
            <w:pPr>
              <w:spacing w:after="0"/>
              <w:rPr>
                <w:sz w:val="19"/>
                <w:szCs w:val="19"/>
                <w:color w:val="auto"/>
              </w:rPr>
            </w:pPr>
          </w:p>
        </w:tc>
        <w:tc>
          <w:tcPr>
            <w:tcW w:w="4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95,724</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90,800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95,449</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90,152</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0" w:type="dxa"/>
            <w:vAlign w:val="bottom"/>
          </w:tcPr>
          <w:p>
            <w:pPr>
              <w:spacing w:after="0"/>
              <w:rPr>
                <w:sz w:val="20"/>
                <w:szCs w:val="20"/>
                <w:color w:val="auto"/>
              </w:rPr>
            </w:pPr>
          </w:p>
        </w:tc>
        <w:tc>
          <w:tcPr>
            <w:tcW w:w="4740" w:type="dxa"/>
            <w:vAlign w:val="bottom"/>
          </w:tcPr>
          <w:p>
            <w:pPr>
              <w:ind w:left="220"/>
              <w:spacing w:after="0"/>
              <w:rPr>
                <w:sz w:val="20"/>
                <w:szCs w:val="20"/>
                <w:color w:val="auto"/>
              </w:rPr>
            </w:pPr>
            <w:r>
              <w:rPr>
                <w:rFonts w:ascii="Arial" w:cs="Arial" w:eastAsia="Arial" w:hAnsi="Arial"/>
                <w:sz w:val="18"/>
                <w:szCs w:val="18"/>
                <w:color w:val="auto"/>
              </w:rPr>
              <w:t>Diluted</w:t>
            </w: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99,604</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98,618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99,587</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97,333</w:t>
            </w: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7"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w:t>
      </w:r>
    </w:p>
    <w:p>
      <w:pPr>
        <w:spacing w:after="0" w:line="49" w:lineRule="exact"/>
        <w:rPr>
          <w:sz w:val="20"/>
          <w:szCs w:val="20"/>
          <w:color w:val="auto"/>
        </w:rPr>
      </w:pPr>
    </w:p>
    <w:p>
      <w:pPr>
        <w:ind w:left="500" w:hanging="492"/>
        <w:spacing w:after="0" w:line="300" w:lineRule="auto"/>
        <w:tabs>
          <w:tab w:leader="none" w:pos="500" w:val="left"/>
        </w:tabs>
        <w:numPr>
          <w:ilvl w:val="0"/>
          <w:numId w:val="13"/>
        </w:numPr>
        <w:rPr>
          <w:rFonts w:ascii="Arial" w:cs="Arial" w:eastAsia="Arial" w:hAnsi="Arial"/>
          <w:sz w:val="15"/>
          <w:szCs w:val="15"/>
          <w:color w:val="auto"/>
        </w:rPr>
      </w:pPr>
      <w:r>
        <w:rPr>
          <w:rFonts w:ascii="Arial" w:cs="Arial" w:eastAsia="Arial" w:hAnsi="Arial"/>
          <w:sz w:val="15"/>
          <w:szCs w:val="15"/>
          <w:color w:val="auto"/>
        </w:rPr>
        <w:t>Includes depreciation related to our distribution centers which is included within the cost of sales line item in our condensed consolidated statements of operations and comprehensive income. See Note 1 to the condensed consolidated financial statements for additional information about the components of cost of sales.</w:t>
      </w:r>
    </w:p>
    <w:p>
      <w:pPr>
        <w:ind w:left="500" w:hanging="492"/>
        <w:spacing w:after="0" w:line="275" w:lineRule="auto"/>
        <w:tabs>
          <w:tab w:leader="none" w:pos="500" w:val="left"/>
        </w:tabs>
        <w:numPr>
          <w:ilvl w:val="0"/>
          <w:numId w:val="13"/>
        </w:numPr>
        <w:rPr>
          <w:rFonts w:ascii="Arial" w:cs="Arial" w:eastAsia="Arial" w:hAnsi="Arial"/>
          <w:sz w:val="16"/>
          <w:szCs w:val="16"/>
          <w:color w:val="231F20"/>
        </w:rPr>
      </w:pPr>
      <w:r>
        <w:rPr>
          <w:rFonts w:ascii="Arial" w:cs="Arial" w:eastAsia="Arial" w:hAnsi="Arial"/>
          <w:sz w:val="16"/>
          <w:szCs w:val="16"/>
          <w:color w:val="auto"/>
        </w:rPr>
        <w:t>Includes non-cash share-based compensation expense and cash dividends paid on vested share-based awards as a result of dividends declared in connection with recapitalizations that occurred in fiscal 2018 and 2016. See "Share-based Compensation</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4" w:right="3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1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Expense" in the "Comparison of the 13 and 26 weeks ended July 3, 2021 and June 27, 2020" section below for additional information.</w:t>
      </w:r>
    </w:p>
    <w:p>
      <w:pPr>
        <w:spacing w:after="0" w:line="59" w:lineRule="exact"/>
        <w:rPr>
          <w:sz w:val="20"/>
          <w:szCs w:val="20"/>
          <w:color w:val="auto"/>
        </w:rPr>
      </w:pPr>
    </w:p>
    <w:p>
      <w:pPr>
        <w:ind w:left="500" w:hanging="492"/>
        <w:spacing w:after="0" w:line="300" w:lineRule="auto"/>
        <w:tabs>
          <w:tab w:leader="none" w:pos="500" w:val="left"/>
        </w:tabs>
        <w:numPr>
          <w:ilvl w:val="0"/>
          <w:numId w:val="14"/>
        </w:numPr>
        <w:rPr>
          <w:rFonts w:ascii="Arial" w:cs="Arial" w:eastAsia="Arial" w:hAnsi="Arial"/>
          <w:sz w:val="15"/>
          <w:szCs w:val="15"/>
          <w:color w:val="auto"/>
        </w:rPr>
      </w:pPr>
      <w:r>
        <w:rPr>
          <w:rFonts w:ascii="Arial" w:cs="Arial" w:eastAsia="Arial" w:hAnsi="Arial"/>
          <w:sz w:val="15"/>
          <w:szCs w:val="15"/>
          <w:color w:val="auto"/>
        </w:rPr>
        <w:t>Consists of the non-cash portion of rent expense, which represents the difference between our straight-line rent expense recognized under GAAP and cash rent payments. The adjustment can vary depending on the average age of our lease portfolio, which has been impacted by our significant growth in recent years.</w:t>
      </w:r>
    </w:p>
    <w:p>
      <w:pPr>
        <w:ind w:left="500" w:hanging="492"/>
        <w:spacing w:after="0"/>
        <w:tabs>
          <w:tab w:leader="none" w:pos="500" w:val="left"/>
        </w:tabs>
        <w:numPr>
          <w:ilvl w:val="0"/>
          <w:numId w:val="14"/>
        </w:numPr>
        <w:rPr>
          <w:rFonts w:ascii="Arial" w:cs="Arial" w:eastAsia="Arial" w:hAnsi="Arial"/>
          <w:sz w:val="14"/>
          <w:szCs w:val="14"/>
          <w:color w:val="auto"/>
        </w:rPr>
      </w:pPr>
      <w:r>
        <w:rPr>
          <w:rFonts w:ascii="Arial" w:cs="Arial" w:eastAsia="Arial" w:hAnsi="Arial"/>
          <w:sz w:val="14"/>
          <w:szCs w:val="14"/>
          <w:color w:val="auto"/>
        </w:rPr>
        <w:t>Represents impairment charges with respect to planned store closures and gains or losses on dispositions of assets in connection with store transitions to new IOs.</w:t>
      </w:r>
    </w:p>
    <w:p>
      <w:pPr>
        <w:spacing w:after="0" w:line="82" w:lineRule="exact"/>
        <w:rPr>
          <w:rFonts w:ascii="Arial" w:cs="Arial" w:eastAsia="Arial" w:hAnsi="Arial"/>
          <w:sz w:val="14"/>
          <w:szCs w:val="14"/>
          <w:color w:val="auto"/>
        </w:rPr>
      </w:pPr>
    </w:p>
    <w:p>
      <w:pPr>
        <w:ind w:left="500" w:hanging="492"/>
        <w:spacing w:after="0" w:line="275" w:lineRule="auto"/>
        <w:tabs>
          <w:tab w:leader="none" w:pos="5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Represents non-cash changes in reserves related to our IO notes and accounts receivable. See Note 2 to the condensed consolidated financial statements for additional information.</w:t>
      </w:r>
    </w:p>
    <w:p>
      <w:pPr>
        <w:spacing w:after="0" w:line="10" w:lineRule="exact"/>
        <w:rPr>
          <w:rFonts w:ascii="Arial" w:cs="Arial" w:eastAsia="Arial" w:hAnsi="Arial"/>
          <w:sz w:val="16"/>
          <w:szCs w:val="16"/>
          <w:color w:val="auto"/>
        </w:rPr>
      </w:pPr>
    </w:p>
    <w:p>
      <w:pPr>
        <w:jc w:val="both"/>
        <w:ind w:left="500" w:hanging="492"/>
        <w:spacing w:after="0" w:line="261" w:lineRule="auto"/>
        <w:tabs>
          <w:tab w:leader="none" w:pos="5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Represents other non-recurring, non-cash or non-operational items, such as gain on insurance recoveries, costs related to employer payroll taxes associated with equity awards, personnel-related costs, store closing costs, legal expenses, secondary equity offering transaction costs, debt extinguishment and modification costs, and miscellaneous costs.</w:t>
      </w:r>
    </w:p>
    <w:p>
      <w:pPr>
        <w:spacing w:after="0" w:line="20" w:lineRule="exact"/>
        <w:rPr>
          <w:rFonts w:ascii="Arial" w:cs="Arial" w:eastAsia="Arial" w:hAnsi="Arial"/>
          <w:sz w:val="16"/>
          <w:szCs w:val="16"/>
          <w:color w:val="auto"/>
        </w:rPr>
      </w:pPr>
    </w:p>
    <w:p>
      <w:pPr>
        <w:ind w:left="500" w:hanging="492"/>
        <w:spacing w:after="0" w:line="300" w:lineRule="auto"/>
        <w:tabs>
          <w:tab w:leader="none" w:pos="500" w:val="left"/>
        </w:tabs>
        <w:numPr>
          <w:ilvl w:val="0"/>
          <w:numId w:val="14"/>
        </w:numPr>
        <w:rPr>
          <w:rFonts w:ascii="Arial" w:cs="Arial" w:eastAsia="Arial" w:hAnsi="Arial"/>
          <w:sz w:val="15"/>
          <w:szCs w:val="15"/>
          <w:color w:val="auto"/>
        </w:rPr>
      </w:pPr>
      <w:r>
        <w:rPr>
          <w:rFonts w:ascii="Arial" w:cs="Arial" w:eastAsia="Arial" w:hAnsi="Arial"/>
          <w:sz w:val="15"/>
          <w:szCs w:val="15"/>
          <w:color w:val="auto"/>
        </w:rPr>
        <w:t>Represents the amortization of debt issuance costs and incremental amortization of an asset step-up resulting from purchase price accounting related to our acquisition in 2014 by an investment fund affiliated with Hellman &amp; Friedman LLC, which included trademarks, customer lists, and below-market leases.</w:t>
      </w:r>
    </w:p>
    <w:p>
      <w:pPr>
        <w:ind w:left="500" w:hanging="492"/>
        <w:spacing w:after="0" w:line="275" w:lineRule="auto"/>
        <w:tabs>
          <w:tab w:leader="none" w:pos="5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Represents excess tax benefits related to stock option exercises and vesting of RSUs to be recorded in earnings as discrete items in the reporting period in which they occur.</w:t>
      </w:r>
    </w:p>
    <w:p>
      <w:pPr>
        <w:spacing w:after="0" w:line="10" w:lineRule="exact"/>
        <w:rPr>
          <w:rFonts w:ascii="Arial" w:cs="Arial" w:eastAsia="Arial" w:hAnsi="Arial"/>
          <w:sz w:val="16"/>
          <w:szCs w:val="16"/>
          <w:color w:val="auto"/>
        </w:rPr>
      </w:pPr>
    </w:p>
    <w:p>
      <w:pPr>
        <w:ind w:left="500" w:hanging="492"/>
        <w:spacing w:after="0" w:line="275" w:lineRule="auto"/>
        <w:tabs>
          <w:tab w:leader="none" w:pos="5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Represents the tax effect of the total adjustments. We calculate the tax effect of the total adjustments on a discrete basis excluding any non-recurring and unusual tax items.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13 and 26 weeks ended July 3, 2021 and June 27, 2020 (amounts in thousands, except percentages)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5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5"/>
          </w:tcPr>
          <w:p>
            <w:pPr>
              <w:ind w:left="340"/>
              <w:spacing w:after="0"/>
              <w:rPr>
                <w:sz w:val="20"/>
                <w:szCs w:val="20"/>
                <w:color w:val="auto"/>
              </w:rPr>
            </w:pPr>
            <w:r>
              <w:rPr>
                <w:rFonts w:ascii="Arial" w:cs="Arial" w:eastAsia="Arial" w:hAnsi="Arial"/>
                <w:sz w:val="14"/>
                <w:szCs w:val="14"/>
                <w:b w:val="1"/>
                <w:bCs w:val="1"/>
                <w:color w:val="auto"/>
              </w:rPr>
              <w:t>13 Weeks Ended</w:t>
            </w:r>
          </w:p>
        </w:tc>
        <w:tc>
          <w:tcPr>
            <w:tcW w:w="10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5"/>
          </w:tcPr>
          <w:p>
            <w:pPr>
              <w:ind w:left="340"/>
              <w:spacing w:after="0"/>
              <w:rPr>
                <w:sz w:val="20"/>
                <w:szCs w:val="20"/>
                <w:color w:val="auto"/>
              </w:rPr>
            </w:pPr>
            <w:r>
              <w:rPr>
                <w:rFonts w:ascii="Arial" w:cs="Arial" w:eastAsia="Arial" w:hAnsi="Arial"/>
                <w:sz w:val="14"/>
                <w:szCs w:val="14"/>
                <w:b w:val="1"/>
                <w:bCs w:val="1"/>
                <w:color w:val="auto"/>
              </w:rPr>
              <w:t>26 Weeks Ended</w:t>
            </w: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6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w w:val="91"/>
              </w:rPr>
              <w:t>July 3,</w:t>
            </w:r>
          </w:p>
        </w:tc>
        <w:tc>
          <w:tcPr>
            <w:tcW w:w="240" w:type="dxa"/>
            <w:vAlign w:val="bottom"/>
          </w:tcPr>
          <w:p>
            <w:pPr>
              <w:spacing w:after="0"/>
              <w:rPr>
                <w:sz w:val="11"/>
                <w:szCs w:val="11"/>
                <w:color w:val="auto"/>
              </w:rPr>
            </w:pPr>
          </w:p>
        </w:tc>
        <w:tc>
          <w:tcPr>
            <w:tcW w:w="108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92"/>
              </w:rPr>
              <w:t>June 27,</w:t>
            </w:r>
          </w:p>
        </w:tc>
        <w:tc>
          <w:tcPr>
            <w:tcW w:w="160" w:type="dxa"/>
            <w:vAlign w:val="bottom"/>
          </w:tcPr>
          <w:p>
            <w:pPr>
              <w:spacing w:after="0"/>
              <w:rPr>
                <w:sz w:val="11"/>
                <w:szCs w:val="11"/>
                <w:color w:val="auto"/>
              </w:rPr>
            </w:pPr>
          </w:p>
        </w:tc>
        <w:tc>
          <w:tcPr>
            <w:tcW w:w="9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 Change</w:t>
            </w:r>
          </w:p>
        </w:tc>
        <w:tc>
          <w:tcPr>
            <w:tcW w:w="1400" w:type="dxa"/>
            <w:vAlign w:val="bottom"/>
            <w:gridSpan w:val="3"/>
            <w:vMerge w:val="restart"/>
          </w:tcPr>
          <w:p>
            <w:pPr>
              <w:jc w:val="right"/>
              <w:ind w:right="455"/>
              <w:spacing w:after="0"/>
              <w:rPr>
                <w:sz w:val="20"/>
                <w:szCs w:val="20"/>
                <w:color w:val="auto"/>
              </w:rPr>
            </w:pPr>
            <w:r>
              <w:rPr>
                <w:rFonts w:ascii="Arial" w:cs="Arial" w:eastAsia="Arial" w:hAnsi="Arial"/>
                <w:sz w:val="14"/>
                <w:szCs w:val="14"/>
                <w:b w:val="1"/>
                <w:bCs w:val="1"/>
                <w:color w:val="auto"/>
              </w:rPr>
              <w:t>% Change</w:t>
            </w:r>
          </w:p>
        </w:tc>
        <w:tc>
          <w:tcPr>
            <w:tcW w:w="1080" w:type="dxa"/>
            <w:vAlign w:val="bottom"/>
            <w:gridSpan w:val="2"/>
          </w:tcPr>
          <w:p>
            <w:pPr>
              <w:ind w:left="160"/>
              <w:spacing w:after="0" w:line="135" w:lineRule="exact"/>
              <w:rPr>
                <w:sz w:val="20"/>
                <w:szCs w:val="20"/>
                <w:color w:val="auto"/>
              </w:rPr>
            </w:pPr>
            <w:r>
              <w:rPr>
                <w:rFonts w:ascii="Arial" w:cs="Arial" w:eastAsia="Arial" w:hAnsi="Arial"/>
                <w:sz w:val="14"/>
                <w:szCs w:val="14"/>
                <w:b w:val="1"/>
                <w:bCs w:val="1"/>
                <w:color w:val="auto"/>
              </w:rPr>
              <w:t>July 3,</w:t>
            </w:r>
          </w:p>
        </w:tc>
        <w:tc>
          <w:tcPr>
            <w:tcW w:w="240" w:type="dxa"/>
            <w:vAlign w:val="bottom"/>
          </w:tcPr>
          <w:p>
            <w:pPr>
              <w:spacing w:after="0"/>
              <w:rPr>
                <w:sz w:val="11"/>
                <w:szCs w:val="11"/>
                <w:color w:val="auto"/>
              </w:rPr>
            </w:pPr>
          </w:p>
        </w:tc>
        <w:tc>
          <w:tcPr>
            <w:tcW w:w="1100" w:type="dxa"/>
            <w:vAlign w:val="bottom"/>
            <w:gridSpan w:val="2"/>
          </w:tcPr>
          <w:p>
            <w:pPr>
              <w:ind w:left="120"/>
              <w:spacing w:after="0" w:line="135" w:lineRule="exact"/>
              <w:rPr>
                <w:sz w:val="20"/>
                <w:szCs w:val="20"/>
                <w:color w:val="auto"/>
              </w:rPr>
            </w:pPr>
            <w:r>
              <w:rPr>
                <w:rFonts w:ascii="Arial" w:cs="Arial" w:eastAsia="Arial" w:hAnsi="Arial"/>
                <w:sz w:val="14"/>
                <w:szCs w:val="14"/>
                <w:b w:val="1"/>
                <w:bCs w:val="1"/>
                <w:color w:val="auto"/>
              </w:rPr>
              <w:t>June 27,</w:t>
            </w:r>
          </w:p>
        </w:tc>
        <w:tc>
          <w:tcPr>
            <w:tcW w:w="160" w:type="dxa"/>
            <w:vAlign w:val="bottom"/>
          </w:tcPr>
          <w:p>
            <w:pPr>
              <w:spacing w:after="0"/>
              <w:rPr>
                <w:sz w:val="11"/>
                <w:szCs w:val="11"/>
                <w:color w:val="auto"/>
              </w:rPr>
            </w:pPr>
          </w:p>
        </w:tc>
        <w:tc>
          <w:tcPr>
            <w:tcW w:w="9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 Change</w:t>
            </w:r>
          </w:p>
        </w:tc>
        <w:tc>
          <w:tcPr>
            <w:tcW w:w="1060" w:type="dxa"/>
            <w:vAlign w:val="bottom"/>
            <w:vMerge w:val="restart"/>
          </w:tcPr>
          <w:p>
            <w:pPr>
              <w:jc w:val="right"/>
              <w:ind w:right="121"/>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8"/>
        </w:trPr>
        <w:tc>
          <w:tcPr>
            <w:tcW w:w="1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jc w:val="right"/>
              <w:ind w:right="38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jc w:val="right"/>
              <w:ind w:right="405"/>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400" w:type="dxa"/>
            <w:vAlign w:val="bottom"/>
            <w:gridSpan w:val="3"/>
            <w:vMerge w:val="continue"/>
          </w:tcPr>
          <w:p>
            <w:pPr>
              <w:spacing w:after="0"/>
              <w:rPr>
                <w:sz w:val="16"/>
                <w:szCs w:val="16"/>
                <w:color w:val="auto"/>
              </w:rPr>
            </w:pPr>
          </w:p>
        </w:tc>
        <w:tc>
          <w:tcPr>
            <w:tcW w:w="980" w:type="dxa"/>
            <w:vAlign w:val="bottom"/>
          </w:tcPr>
          <w:p>
            <w:pPr>
              <w:ind w:left="220"/>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ind w:left="240"/>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1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sales</w:t>
            </w:r>
          </w:p>
        </w:tc>
        <w:tc>
          <w:tcPr>
            <w:tcW w:w="240" w:type="dxa"/>
            <w:vAlign w:val="bottom"/>
            <w:tcBorders>
              <w:top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w w:val="84"/>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775,535</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w w:val="84"/>
              </w:rPr>
              <w:t>$</w:t>
            </w:r>
          </w:p>
        </w:tc>
        <w:tc>
          <w:tcPr>
            <w:tcW w:w="100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7"/>
                <w:szCs w:val="17"/>
                <w:color w:val="auto"/>
              </w:rPr>
              <w:t>803,429</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(27,894)</w:t>
            </w:r>
          </w:p>
        </w:tc>
        <w:tc>
          <w:tcPr>
            <w:tcW w:w="1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980" w:type="dxa"/>
            <w:vAlign w:val="bottom"/>
            <w:tcBorders>
              <w:top w:val="single" w:sz="8" w:color="auto"/>
            </w:tcBorders>
            <w:shd w:val="clear" w:color="auto" w:fill="CCEEFF"/>
          </w:tcPr>
          <w:p>
            <w:pPr>
              <w:ind w:left="240"/>
              <w:spacing w:after="0"/>
              <w:rPr>
                <w:sz w:val="20"/>
                <w:szCs w:val="20"/>
                <w:color w:val="auto"/>
              </w:rPr>
            </w:pPr>
            <w:r>
              <w:rPr>
                <w:rFonts w:ascii="Arial" w:cs="Arial" w:eastAsia="Arial" w:hAnsi="Arial"/>
                <w:sz w:val="17"/>
                <w:szCs w:val="17"/>
                <w:color w:val="auto"/>
                <w:w w:val="95"/>
              </w:rPr>
              <w:t>1,528,001</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w w:val="84"/>
              </w:rPr>
              <w:t>$</w:t>
            </w:r>
          </w:p>
        </w:tc>
        <w:tc>
          <w:tcPr>
            <w:tcW w:w="1000" w:type="dxa"/>
            <w:vAlign w:val="bottom"/>
            <w:tcBorders>
              <w:top w:val="single" w:sz="8" w:color="auto"/>
            </w:tcBorders>
            <w:shd w:val="clear" w:color="auto" w:fill="CCEEFF"/>
          </w:tcPr>
          <w:p>
            <w:pPr>
              <w:ind w:left="260"/>
              <w:spacing w:after="0"/>
              <w:rPr>
                <w:sz w:val="20"/>
                <w:szCs w:val="20"/>
                <w:color w:val="auto"/>
              </w:rPr>
            </w:pPr>
            <w:r>
              <w:rPr>
                <w:rFonts w:ascii="Arial" w:cs="Arial" w:eastAsia="Arial" w:hAnsi="Arial"/>
                <w:sz w:val="17"/>
                <w:szCs w:val="17"/>
                <w:color w:val="auto"/>
                <w:w w:val="95"/>
              </w:rPr>
              <w:t>1,563,737</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(35,736)</w:t>
            </w:r>
          </w:p>
        </w:tc>
        <w:tc>
          <w:tcPr>
            <w:tcW w:w="1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w:t>
            </w:r>
          </w:p>
        </w:tc>
        <w:tc>
          <w:tcPr>
            <w:tcW w:w="0" w:type="dxa"/>
            <w:vAlign w:val="bottom"/>
          </w:tcPr>
          <w:p>
            <w:pPr>
              <w:spacing w:after="0"/>
              <w:rPr>
                <w:sz w:val="1"/>
                <w:szCs w:val="1"/>
                <w:color w:val="auto"/>
              </w:rPr>
            </w:pPr>
          </w:p>
        </w:tc>
      </w:tr>
    </w:tbl>
    <w:p>
      <w:pPr>
        <w:spacing w:after="0" w:line="296"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The decrease in net sales for the 13 and 26 weeks ended July 3, 2021 compared to the same periods in fiscal 2020 was primarily attributable to a decrease in comparable store sales, partially offset by non-comparable store sales growth attributable to the net 38 new stores opened over the last 12 months.</w:t>
      </w:r>
    </w:p>
    <w:p>
      <w:pPr>
        <w:spacing w:after="0" w:line="76" w:lineRule="exact"/>
        <w:rPr>
          <w:sz w:val="20"/>
          <w:szCs w:val="20"/>
          <w:color w:val="auto"/>
        </w:rPr>
      </w:pPr>
    </w:p>
    <w:p>
      <w:pPr>
        <w:jc w:val="both"/>
        <w:ind w:firstLine="486"/>
        <w:spacing w:after="0" w:line="301" w:lineRule="auto"/>
        <w:rPr>
          <w:sz w:val="20"/>
          <w:szCs w:val="20"/>
          <w:color w:val="auto"/>
        </w:rPr>
      </w:pPr>
      <w:r>
        <w:rPr>
          <w:rFonts w:ascii="Arial" w:cs="Arial" w:eastAsia="Arial" w:hAnsi="Arial"/>
          <w:sz w:val="16"/>
          <w:szCs w:val="16"/>
          <w:color w:val="auto"/>
        </w:rPr>
        <w:t>Comparable store sales decreased 10.0% for the 13 weeks ended July 3, 2021 and 9.1% for the 26 weeks ended July 3, 2021 compared to the same periods in fiscal 2020. As we cycle periods of 2020 that included elevated COVID-related demand starting in March 2020, the decrease in comparable store sales for the 13 weeks ended July 3, 2021 was due to decreases in both average transaction size and customer traffic, while the decrease in comparable stores sales for the 26 weeks ended July 3, 2021 was attributable to a decrease customer traffic, partially offset by an increase in average transaction size.</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Sales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3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13 Weeks Ended</w:t>
            </w:r>
          </w:p>
        </w:tc>
        <w:tc>
          <w:tcPr>
            <w:tcW w:w="8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26 Weeks Ended</w:t>
            </w:r>
          </w:p>
        </w:tc>
        <w:tc>
          <w:tcPr>
            <w:tcW w:w="8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1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20" w:type="dxa"/>
            <w:vAlign w:val="bottom"/>
            <w:gridSpan w:val="2"/>
          </w:tcPr>
          <w:p>
            <w:pPr>
              <w:ind w:left="180"/>
              <w:spacing w:after="0" w:line="135" w:lineRule="exact"/>
              <w:rPr>
                <w:sz w:val="20"/>
                <w:szCs w:val="20"/>
                <w:color w:val="auto"/>
              </w:rPr>
            </w:pPr>
            <w:r>
              <w:rPr>
                <w:rFonts w:ascii="Arial" w:cs="Arial" w:eastAsia="Arial" w:hAnsi="Arial"/>
                <w:sz w:val="14"/>
                <w:szCs w:val="14"/>
                <w:b w:val="1"/>
                <w:bCs w:val="1"/>
                <w:color w:val="auto"/>
              </w:rPr>
              <w:t>July 3,</w:t>
            </w:r>
          </w:p>
        </w:tc>
        <w:tc>
          <w:tcPr>
            <w:tcW w:w="240" w:type="dxa"/>
            <w:vAlign w:val="bottom"/>
          </w:tcPr>
          <w:p>
            <w:pPr>
              <w:spacing w:after="0"/>
              <w:rPr>
                <w:sz w:val="11"/>
                <w:szCs w:val="11"/>
                <w:color w:val="auto"/>
              </w:rPr>
            </w:pPr>
          </w:p>
        </w:tc>
        <w:tc>
          <w:tcPr>
            <w:tcW w:w="1160" w:type="dxa"/>
            <w:vAlign w:val="bottom"/>
            <w:gridSpan w:val="2"/>
          </w:tcPr>
          <w:p>
            <w:pPr>
              <w:ind w:left="160"/>
              <w:spacing w:after="0" w:line="135" w:lineRule="exact"/>
              <w:rPr>
                <w:sz w:val="20"/>
                <w:szCs w:val="20"/>
                <w:color w:val="auto"/>
              </w:rPr>
            </w:pPr>
            <w:r>
              <w:rPr>
                <w:rFonts w:ascii="Arial" w:cs="Arial" w:eastAsia="Arial" w:hAnsi="Arial"/>
                <w:sz w:val="14"/>
                <w:szCs w:val="14"/>
                <w:b w:val="1"/>
                <w:bCs w:val="1"/>
                <w:color w:val="auto"/>
              </w:rPr>
              <w:t>June 27,</w:t>
            </w:r>
          </w:p>
        </w:tc>
        <w:tc>
          <w:tcPr>
            <w:tcW w:w="160" w:type="dxa"/>
            <w:vAlign w:val="bottom"/>
          </w:tcPr>
          <w:p>
            <w:pPr>
              <w:spacing w:after="0"/>
              <w:rPr>
                <w:sz w:val="11"/>
                <w:szCs w:val="11"/>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Change</w:t>
            </w:r>
          </w:p>
        </w:tc>
        <w:tc>
          <w:tcPr>
            <w:tcW w:w="1380" w:type="dxa"/>
            <w:vAlign w:val="bottom"/>
            <w:gridSpan w:val="3"/>
            <w:vMerge w:val="restart"/>
          </w:tcPr>
          <w:p>
            <w:pPr>
              <w:jc w:val="right"/>
              <w:ind w:right="455"/>
              <w:spacing w:after="0"/>
              <w:rPr>
                <w:sz w:val="20"/>
                <w:szCs w:val="20"/>
                <w:color w:val="auto"/>
              </w:rPr>
            </w:pPr>
            <w:r>
              <w:rPr>
                <w:rFonts w:ascii="Arial" w:cs="Arial" w:eastAsia="Arial" w:hAnsi="Arial"/>
                <w:sz w:val="14"/>
                <w:szCs w:val="14"/>
                <w:b w:val="1"/>
                <w:bCs w:val="1"/>
                <w:color w:val="auto"/>
              </w:rPr>
              <w:t>% Change</w:t>
            </w:r>
          </w:p>
        </w:tc>
        <w:tc>
          <w:tcPr>
            <w:tcW w:w="1140" w:type="dxa"/>
            <w:vAlign w:val="bottom"/>
            <w:gridSpan w:val="2"/>
          </w:tcPr>
          <w:p>
            <w:pPr>
              <w:ind w:left="200"/>
              <w:spacing w:after="0" w:line="135" w:lineRule="exact"/>
              <w:rPr>
                <w:sz w:val="20"/>
                <w:szCs w:val="20"/>
                <w:color w:val="auto"/>
              </w:rPr>
            </w:pPr>
            <w:r>
              <w:rPr>
                <w:rFonts w:ascii="Arial" w:cs="Arial" w:eastAsia="Arial" w:hAnsi="Arial"/>
                <w:sz w:val="14"/>
                <w:szCs w:val="14"/>
                <w:b w:val="1"/>
                <w:bCs w:val="1"/>
                <w:color w:val="auto"/>
              </w:rPr>
              <w:t>July 3,</w:t>
            </w:r>
          </w:p>
        </w:tc>
        <w:tc>
          <w:tcPr>
            <w:tcW w:w="260" w:type="dxa"/>
            <w:vAlign w:val="bottom"/>
          </w:tcPr>
          <w:p>
            <w:pPr>
              <w:spacing w:after="0"/>
              <w:rPr>
                <w:sz w:val="11"/>
                <w:szCs w:val="11"/>
                <w:color w:val="auto"/>
              </w:rPr>
            </w:pPr>
          </w:p>
        </w:tc>
        <w:tc>
          <w:tcPr>
            <w:tcW w:w="1180" w:type="dxa"/>
            <w:vAlign w:val="bottom"/>
            <w:gridSpan w:val="2"/>
          </w:tcPr>
          <w:p>
            <w:pPr>
              <w:ind w:left="160"/>
              <w:spacing w:after="0" w:line="135" w:lineRule="exact"/>
              <w:rPr>
                <w:sz w:val="20"/>
                <w:szCs w:val="20"/>
                <w:color w:val="auto"/>
              </w:rPr>
            </w:pPr>
            <w:r>
              <w:rPr>
                <w:rFonts w:ascii="Arial" w:cs="Arial" w:eastAsia="Arial" w:hAnsi="Arial"/>
                <w:sz w:val="14"/>
                <w:szCs w:val="14"/>
                <w:b w:val="1"/>
                <w:bCs w:val="1"/>
                <w:color w:val="auto"/>
              </w:rPr>
              <w:t>June 27,</w:t>
            </w:r>
          </w:p>
        </w:tc>
        <w:tc>
          <w:tcPr>
            <w:tcW w:w="160" w:type="dxa"/>
            <w:vAlign w:val="bottom"/>
          </w:tcPr>
          <w:p>
            <w:pPr>
              <w:spacing w:after="0"/>
              <w:rPr>
                <w:sz w:val="11"/>
                <w:szCs w:val="11"/>
                <w:color w:val="auto"/>
              </w:rPr>
            </w:pPr>
          </w:p>
        </w:tc>
        <w:tc>
          <w:tcPr>
            <w:tcW w:w="9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 Change</w:t>
            </w:r>
          </w:p>
        </w:tc>
        <w:tc>
          <w:tcPr>
            <w:tcW w:w="1020" w:type="dxa"/>
            <w:vAlign w:val="bottom"/>
            <w:vMerge w:val="restart"/>
          </w:tcPr>
          <w:p>
            <w:pPr>
              <w:jc w:val="right"/>
              <w:ind w:right="101"/>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8"/>
        </w:trPr>
        <w:tc>
          <w:tcPr>
            <w:tcW w:w="1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jc w:val="right"/>
              <w:ind w:right="42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jc w:val="right"/>
              <w:ind w:right="42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380" w:type="dxa"/>
            <w:vAlign w:val="bottom"/>
            <w:gridSpan w:val="3"/>
            <w:vMerge w:val="continue"/>
          </w:tcPr>
          <w:p>
            <w:pPr>
              <w:spacing w:after="0"/>
              <w:rPr>
                <w:sz w:val="16"/>
                <w:szCs w:val="16"/>
                <w:color w:val="auto"/>
              </w:rPr>
            </w:pPr>
          </w:p>
        </w:tc>
        <w:tc>
          <w:tcPr>
            <w:tcW w:w="1060" w:type="dxa"/>
            <w:vAlign w:val="bottom"/>
          </w:tcPr>
          <w:p>
            <w:pPr>
              <w:jc w:val="right"/>
              <w:ind w:right="441"/>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jc w:val="right"/>
              <w:ind w:right="44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1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Cost of sales</w:t>
            </w:r>
          </w:p>
        </w:tc>
        <w:tc>
          <w:tcPr>
            <w:tcW w:w="260" w:type="dxa"/>
            <w:vAlign w:val="bottom"/>
            <w:tcBorders>
              <w:top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w w:val="84"/>
              </w:rPr>
              <w:t>$</w:t>
            </w:r>
          </w:p>
        </w:tc>
        <w:tc>
          <w:tcPr>
            <w:tcW w:w="1020" w:type="dxa"/>
            <w:vAlign w:val="bottom"/>
            <w:tcBorders>
              <w:top w:val="single" w:sz="8" w:color="auto"/>
            </w:tcBorders>
            <w:shd w:val="clear" w:color="auto" w:fill="CCEEFF"/>
          </w:tcPr>
          <w:p>
            <w:pPr>
              <w:jc w:val="right"/>
              <w:ind w:right="121"/>
              <w:spacing w:after="0"/>
              <w:rPr>
                <w:sz w:val="20"/>
                <w:szCs w:val="20"/>
                <w:color w:val="auto"/>
              </w:rPr>
            </w:pPr>
            <w:r>
              <w:rPr>
                <w:rFonts w:ascii="Arial" w:cs="Arial" w:eastAsia="Arial" w:hAnsi="Arial"/>
                <w:sz w:val="17"/>
                <w:szCs w:val="17"/>
                <w:color w:val="auto"/>
              </w:rPr>
              <w:t>537,737</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w w:val="84"/>
              </w:rPr>
              <w:t>$</w:t>
            </w:r>
          </w:p>
        </w:tc>
        <w:tc>
          <w:tcPr>
            <w:tcW w:w="1060" w:type="dxa"/>
            <w:vAlign w:val="bottom"/>
            <w:tcBorders>
              <w:top w:val="single" w:sz="8" w:color="auto"/>
            </w:tcBorders>
            <w:shd w:val="clear" w:color="auto" w:fill="CCEEFF"/>
          </w:tcPr>
          <w:p>
            <w:pPr>
              <w:jc w:val="right"/>
              <w:ind w:right="123"/>
              <w:spacing w:after="0"/>
              <w:rPr>
                <w:sz w:val="20"/>
                <w:szCs w:val="20"/>
                <w:color w:val="auto"/>
              </w:rPr>
            </w:pPr>
            <w:r>
              <w:rPr>
                <w:rFonts w:ascii="Arial" w:cs="Arial" w:eastAsia="Arial" w:hAnsi="Arial"/>
                <w:sz w:val="17"/>
                <w:szCs w:val="17"/>
                <w:color w:val="auto"/>
              </w:rPr>
              <w:t>549,678</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(11,941)</w:t>
            </w:r>
          </w:p>
        </w:tc>
        <w:tc>
          <w:tcPr>
            <w:tcW w:w="8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w w:val="84"/>
              </w:rPr>
              <w:t>$</w:t>
            </w:r>
          </w:p>
        </w:tc>
        <w:tc>
          <w:tcPr>
            <w:tcW w:w="1060" w:type="dxa"/>
            <w:vAlign w:val="bottom"/>
            <w:tcBorders>
              <w:top w:val="single" w:sz="8" w:color="auto"/>
            </w:tcBorders>
            <w:shd w:val="clear" w:color="auto" w:fill="CCEEFF"/>
          </w:tcPr>
          <w:p>
            <w:pPr>
              <w:jc w:val="right"/>
              <w:ind w:right="121"/>
              <w:spacing w:after="0"/>
              <w:rPr>
                <w:sz w:val="20"/>
                <w:szCs w:val="20"/>
                <w:color w:val="auto"/>
              </w:rPr>
            </w:pPr>
            <w:r>
              <w:rPr>
                <w:rFonts w:ascii="Arial" w:cs="Arial" w:eastAsia="Arial" w:hAnsi="Arial"/>
                <w:sz w:val="17"/>
                <w:szCs w:val="17"/>
                <w:color w:val="auto"/>
              </w:rPr>
              <w:t>1,058,276</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1080" w:type="dxa"/>
            <w:vAlign w:val="bottom"/>
            <w:tcBorders>
              <w:top w:val="single" w:sz="8" w:color="auto"/>
            </w:tcBorders>
            <w:shd w:val="clear" w:color="auto" w:fill="CCEEFF"/>
          </w:tcPr>
          <w:p>
            <w:pPr>
              <w:jc w:val="right"/>
              <w:ind w:right="123"/>
              <w:spacing w:after="0"/>
              <w:rPr>
                <w:sz w:val="20"/>
                <w:szCs w:val="20"/>
                <w:color w:val="auto"/>
              </w:rPr>
            </w:pPr>
            <w:r>
              <w:rPr>
                <w:rFonts w:ascii="Arial" w:cs="Arial" w:eastAsia="Arial" w:hAnsi="Arial"/>
                <w:sz w:val="17"/>
                <w:szCs w:val="17"/>
                <w:color w:val="auto"/>
              </w:rPr>
              <w:t>1,072,960</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(14,684)</w:t>
            </w:r>
          </w:p>
        </w:tc>
        <w:tc>
          <w:tcPr>
            <w:tcW w:w="8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0" w:type="dxa"/>
            <w:vAlign w:val="bottom"/>
          </w:tcPr>
          <w:p>
            <w:pPr>
              <w:spacing w:after="0"/>
              <w:rPr>
                <w:sz w:val="1"/>
                <w:szCs w:val="1"/>
                <w:color w:val="auto"/>
              </w:rPr>
            </w:pPr>
          </w:p>
        </w:tc>
      </w:tr>
      <w:tr>
        <w:trPr>
          <w:trHeight w:val="216"/>
        </w:trPr>
        <w:tc>
          <w:tcPr>
            <w:tcW w:w="1380" w:type="dxa"/>
            <w:vAlign w:val="bottom"/>
          </w:tcPr>
          <w:p>
            <w:pPr>
              <w:ind w:left="20"/>
              <w:spacing w:after="0"/>
              <w:rPr>
                <w:sz w:val="20"/>
                <w:szCs w:val="20"/>
                <w:color w:val="auto"/>
              </w:rPr>
            </w:pPr>
            <w:r>
              <w:rPr>
                <w:rFonts w:ascii="Arial" w:cs="Arial" w:eastAsia="Arial" w:hAnsi="Arial"/>
                <w:sz w:val="17"/>
                <w:szCs w:val="17"/>
                <w:color w:val="auto"/>
              </w:rPr>
              <w:t>% of net sales</w:t>
            </w: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69.3 %</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68.4 %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69.3 %</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68.6 %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82"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decrease in cost of sales for the 13 and 26 weeks ended July 3, 2021 compared to the same periods in fiscal 2020 was primarily the result of a decrease in comparable store sales (as discussed above), partially offset by new store growth.</w:t>
      </w:r>
    </w:p>
    <w:p>
      <w:pPr>
        <w:spacing w:after="0" w:line="62"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Costs as a percentage of sales increased as a result of product inflation, fuel and freight cost increases, and inventory turns more in line with historical averages. For the 13 and 26 weeks ended June 27, 2020, costs as a percentage of sales decreased significantly compared to historical averages due to reduced product markdowns and throwaways resulting from faster inventory turns driven by COVID-19 demand.</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4" w:right="3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 and Gross Margin</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4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13 Weeks Ended</w:t>
            </w:r>
          </w:p>
        </w:tc>
        <w:tc>
          <w:tcPr>
            <w:tcW w:w="8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26 Weeks Ended</w:t>
            </w: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1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20" w:type="dxa"/>
            <w:vAlign w:val="bottom"/>
            <w:gridSpan w:val="2"/>
          </w:tcPr>
          <w:p>
            <w:pPr>
              <w:ind w:left="180"/>
              <w:spacing w:after="0" w:line="135" w:lineRule="exact"/>
              <w:rPr>
                <w:sz w:val="20"/>
                <w:szCs w:val="20"/>
                <w:color w:val="auto"/>
              </w:rPr>
            </w:pPr>
            <w:r>
              <w:rPr>
                <w:rFonts w:ascii="Arial" w:cs="Arial" w:eastAsia="Arial" w:hAnsi="Arial"/>
                <w:sz w:val="14"/>
                <w:szCs w:val="14"/>
                <w:b w:val="1"/>
                <w:bCs w:val="1"/>
                <w:color w:val="auto"/>
              </w:rPr>
              <w:t>July 3,</w:t>
            </w:r>
          </w:p>
        </w:tc>
        <w:tc>
          <w:tcPr>
            <w:tcW w:w="260" w:type="dxa"/>
            <w:vAlign w:val="bottom"/>
          </w:tcPr>
          <w:p>
            <w:pPr>
              <w:spacing w:after="0"/>
              <w:rPr>
                <w:sz w:val="11"/>
                <w:szCs w:val="11"/>
                <w:color w:val="auto"/>
              </w:rPr>
            </w:pPr>
          </w:p>
        </w:tc>
        <w:tc>
          <w:tcPr>
            <w:tcW w:w="1140" w:type="dxa"/>
            <w:vAlign w:val="bottom"/>
            <w:gridSpan w:val="2"/>
          </w:tcPr>
          <w:p>
            <w:pPr>
              <w:ind w:left="140"/>
              <w:spacing w:after="0" w:line="135" w:lineRule="exact"/>
              <w:rPr>
                <w:sz w:val="20"/>
                <w:szCs w:val="20"/>
                <w:color w:val="auto"/>
              </w:rPr>
            </w:pPr>
            <w:r>
              <w:rPr>
                <w:rFonts w:ascii="Arial" w:cs="Arial" w:eastAsia="Arial" w:hAnsi="Arial"/>
                <w:sz w:val="14"/>
                <w:szCs w:val="14"/>
                <w:b w:val="1"/>
                <w:bCs w:val="1"/>
                <w:color w:val="auto"/>
              </w:rPr>
              <w:t>June 27,</w:t>
            </w:r>
          </w:p>
        </w:tc>
        <w:tc>
          <w:tcPr>
            <w:tcW w:w="160" w:type="dxa"/>
            <w:vAlign w:val="bottom"/>
          </w:tcPr>
          <w:p>
            <w:pPr>
              <w:spacing w:after="0"/>
              <w:rPr>
                <w:sz w:val="11"/>
                <w:szCs w:val="11"/>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Change</w:t>
            </w:r>
          </w:p>
        </w:tc>
        <w:tc>
          <w:tcPr>
            <w:tcW w:w="1380" w:type="dxa"/>
            <w:vAlign w:val="bottom"/>
            <w:gridSpan w:val="3"/>
            <w:vMerge w:val="restart"/>
          </w:tcPr>
          <w:p>
            <w:pPr>
              <w:jc w:val="right"/>
              <w:ind w:right="455"/>
              <w:spacing w:after="0"/>
              <w:rPr>
                <w:sz w:val="20"/>
                <w:szCs w:val="20"/>
                <w:color w:val="auto"/>
              </w:rPr>
            </w:pPr>
            <w:r>
              <w:rPr>
                <w:rFonts w:ascii="Arial" w:cs="Arial" w:eastAsia="Arial" w:hAnsi="Arial"/>
                <w:sz w:val="14"/>
                <w:szCs w:val="14"/>
                <w:b w:val="1"/>
                <w:bCs w:val="1"/>
                <w:color w:val="auto"/>
              </w:rPr>
              <w:t>% Change</w:t>
            </w:r>
          </w:p>
        </w:tc>
        <w:tc>
          <w:tcPr>
            <w:tcW w:w="1120" w:type="dxa"/>
            <w:vAlign w:val="bottom"/>
            <w:gridSpan w:val="2"/>
          </w:tcPr>
          <w:p>
            <w:pPr>
              <w:ind w:left="180"/>
              <w:spacing w:after="0" w:line="135" w:lineRule="exact"/>
              <w:rPr>
                <w:sz w:val="20"/>
                <w:szCs w:val="20"/>
                <w:color w:val="auto"/>
              </w:rPr>
            </w:pPr>
            <w:r>
              <w:rPr>
                <w:rFonts w:ascii="Arial" w:cs="Arial" w:eastAsia="Arial" w:hAnsi="Arial"/>
                <w:sz w:val="14"/>
                <w:szCs w:val="14"/>
                <w:b w:val="1"/>
                <w:bCs w:val="1"/>
                <w:color w:val="auto"/>
              </w:rPr>
              <w:t>July 3,</w:t>
            </w:r>
          </w:p>
        </w:tc>
        <w:tc>
          <w:tcPr>
            <w:tcW w:w="260" w:type="dxa"/>
            <w:vAlign w:val="bottom"/>
          </w:tcPr>
          <w:p>
            <w:pPr>
              <w:spacing w:after="0"/>
              <w:rPr>
                <w:sz w:val="11"/>
                <w:szCs w:val="11"/>
                <w:color w:val="auto"/>
              </w:rPr>
            </w:pPr>
          </w:p>
        </w:tc>
        <w:tc>
          <w:tcPr>
            <w:tcW w:w="1140" w:type="dxa"/>
            <w:vAlign w:val="bottom"/>
            <w:gridSpan w:val="2"/>
          </w:tcPr>
          <w:p>
            <w:pPr>
              <w:ind w:left="140"/>
              <w:spacing w:after="0" w:line="135" w:lineRule="exact"/>
              <w:rPr>
                <w:sz w:val="20"/>
                <w:szCs w:val="20"/>
                <w:color w:val="auto"/>
              </w:rPr>
            </w:pPr>
            <w:r>
              <w:rPr>
                <w:rFonts w:ascii="Arial" w:cs="Arial" w:eastAsia="Arial" w:hAnsi="Arial"/>
                <w:sz w:val="14"/>
                <w:szCs w:val="14"/>
                <w:b w:val="1"/>
                <w:bCs w:val="1"/>
                <w:color w:val="auto"/>
              </w:rPr>
              <w:t>June 27,</w:t>
            </w:r>
          </w:p>
        </w:tc>
        <w:tc>
          <w:tcPr>
            <w:tcW w:w="180" w:type="dxa"/>
            <w:vAlign w:val="bottom"/>
          </w:tcPr>
          <w:p>
            <w:pPr>
              <w:spacing w:after="0"/>
              <w:rPr>
                <w:sz w:val="11"/>
                <w:szCs w:val="11"/>
                <w:color w:val="auto"/>
              </w:rPr>
            </w:pPr>
          </w:p>
        </w:tc>
        <w:tc>
          <w:tcPr>
            <w:tcW w:w="9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Change</w:t>
            </w:r>
          </w:p>
        </w:tc>
        <w:tc>
          <w:tcPr>
            <w:tcW w:w="1020" w:type="dxa"/>
            <w:vAlign w:val="bottom"/>
            <w:vMerge w:val="restart"/>
          </w:tcPr>
          <w:p>
            <w:pPr>
              <w:jc w:val="right"/>
              <w:ind w:right="101"/>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8"/>
        </w:trPr>
        <w:tc>
          <w:tcPr>
            <w:tcW w:w="1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jc w:val="right"/>
              <w:ind w:right="42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jc w:val="right"/>
              <w:ind w:right="42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380" w:type="dxa"/>
            <w:vAlign w:val="bottom"/>
            <w:gridSpan w:val="3"/>
            <w:vMerge w:val="continue"/>
          </w:tcPr>
          <w:p>
            <w:pPr>
              <w:spacing w:after="0"/>
              <w:rPr>
                <w:sz w:val="16"/>
                <w:szCs w:val="16"/>
                <w:color w:val="auto"/>
              </w:rPr>
            </w:pPr>
          </w:p>
        </w:tc>
        <w:tc>
          <w:tcPr>
            <w:tcW w:w="1020" w:type="dxa"/>
            <w:vAlign w:val="bottom"/>
          </w:tcPr>
          <w:p>
            <w:pPr>
              <w:jc w:val="right"/>
              <w:ind w:right="42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jc w:val="right"/>
              <w:ind w:right="443"/>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1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Gross profit</w:t>
            </w:r>
          </w:p>
        </w:tc>
        <w:tc>
          <w:tcPr>
            <w:tcW w:w="260" w:type="dxa"/>
            <w:vAlign w:val="bottom"/>
            <w:tcBorders>
              <w:top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w w:val="84"/>
              </w:rPr>
              <w:t>$</w:t>
            </w:r>
          </w:p>
        </w:tc>
        <w:tc>
          <w:tcPr>
            <w:tcW w:w="1020" w:type="dxa"/>
            <w:vAlign w:val="bottom"/>
            <w:tcBorders>
              <w:top w:val="single" w:sz="8" w:color="auto"/>
            </w:tcBorders>
            <w:shd w:val="clear" w:color="auto" w:fill="CCEEFF"/>
          </w:tcPr>
          <w:p>
            <w:pPr>
              <w:jc w:val="right"/>
              <w:ind w:right="121"/>
              <w:spacing w:after="0"/>
              <w:rPr>
                <w:sz w:val="20"/>
                <w:szCs w:val="20"/>
                <w:color w:val="auto"/>
              </w:rPr>
            </w:pPr>
            <w:r>
              <w:rPr>
                <w:rFonts w:ascii="Arial" w:cs="Arial" w:eastAsia="Arial" w:hAnsi="Arial"/>
                <w:sz w:val="17"/>
                <w:szCs w:val="17"/>
                <w:color w:val="auto"/>
              </w:rPr>
              <w:t>237,798</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w w:val="84"/>
              </w:rPr>
              <w:t>$</w:t>
            </w:r>
          </w:p>
        </w:tc>
        <w:tc>
          <w:tcPr>
            <w:tcW w:w="1040" w:type="dxa"/>
            <w:vAlign w:val="bottom"/>
            <w:tcBorders>
              <w:top w:val="single" w:sz="8" w:color="auto"/>
            </w:tcBorders>
            <w:shd w:val="clear" w:color="auto" w:fill="CCEEFF"/>
          </w:tcPr>
          <w:p>
            <w:pPr>
              <w:jc w:val="right"/>
              <w:ind w:right="123"/>
              <w:spacing w:after="0"/>
              <w:rPr>
                <w:sz w:val="20"/>
                <w:szCs w:val="20"/>
                <w:color w:val="auto"/>
              </w:rPr>
            </w:pPr>
            <w:r>
              <w:rPr>
                <w:rFonts w:ascii="Arial" w:cs="Arial" w:eastAsia="Arial" w:hAnsi="Arial"/>
                <w:sz w:val="17"/>
                <w:szCs w:val="17"/>
                <w:color w:val="auto"/>
              </w:rPr>
              <w:t>253,751</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(15,953)</w:t>
            </w:r>
          </w:p>
        </w:tc>
        <w:tc>
          <w:tcPr>
            <w:tcW w:w="8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(6.3)%</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w w:val="84"/>
              </w:rPr>
              <w:t>$</w:t>
            </w:r>
          </w:p>
        </w:tc>
        <w:tc>
          <w:tcPr>
            <w:tcW w:w="1020" w:type="dxa"/>
            <w:vAlign w:val="bottom"/>
            <w:tcBorders>
              <w:top w:val="single" w:sz="8" w:color="auto"/>
            </w:tcBorders>
            <w:shd w:val="clear" w:color="auto" w:fill="CCEEFF"/>
          </w:tcPr>
          <w:p>
            <w:pPr>
              <w:jc w:val="right"/>
              <w:ind w:right="121"/>
              <w:spacing w:after="0"/>
              <w:rPr>
                <w:sz w:val="20"/>
                <w:szCs w:val="20"/>
                <w:color w:val="auto"/>
              </w:rPr>
            </w:pPr>
            <w:r>
              <w:rPr>
                <w:rFonts w:ascii="Arial" w:cs="Arial" w:eastAsia="Arial" w:hAnsi="Arial"/>
                <w:sz w:val="17"/>
                <w:szCs w:val="17"/>
                <w:color w:val="auto"/>
              </w:rPr>
              <w:t>469,725</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w w:val="84"/>
              </w:rPr>
              <w:t>$</w:t>
            </w:r>
          </w:p>
        </w:tc>
        <w:tc>
          <w:tcPr>
            <w:tcW w:w="1060" w:type="dxa"/>
            <w:vAlign w:val="bottom"/>
            <w:tcBorders>
              <w:top w:val="single" w:sz="8" w:color="auto"/>
            </w:tcBorders>
            <w:shd w:val="clear" w:color="auto" w:fill="CCEEFF"/>
          </w:tcPr>
          <w:p>
            <w:pPr>
              <w:jc w:val="right"/>
              <w:ind w:right="143"/>
              <w:spacing w:after="0"/>
              <w:rPr>
                <w:sz w:val="20"/>
                <w:szCs w:val="20"/>
                <w:color w:val="auto"/>
              </w:rPr>
            </w:pPr>
            <w:r>
              <w:rPr>
                <w:rFonts w:ascii="Arial" w:cs="Arial" w:eastAsia="Arial" w:hAnsi="Arial"/>
                <w:sz w:val="17"/>
                <w:szCs w:val="17"/>
                <w:color w:val="auto"/>
              </w:rPr>
              <w:t>490,777</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(21,052)</w:t>
            </w:r>
          </w:p>
        </w:tc>
        <w:tc>
          <w:tcPr>
            <w:tcW w:w="1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w:t>
            </w:r>
          </w:p>
        </w:tc>
        <w:tc>
          <w:tcPr>
            <w:tcW w:w="0" w:type="dxa"/>
            <w:vAlign w:val="bottom"/>
          </w:tcPr>
          <w:p>
            <w:pPr>
              <w:spacing w:after="0"/>
              <w:rPr>
                <w:sz w:val="1"/>
                <w:szCs w:val="1"/>
                <w:color w:val="auto"/>
              </w:rPr>
            </w:pPr>
          </w:p>
        </w:tc>
      </w:tr>
      <w:tr>
        <w:trPr>
          <w:trHeight w:val="216"/>
        </w:trPr>
        <w:tc>
          <w:tcPr>
            <w:tcW w:w="1420" w:type="dxa"/>
            <w:vAlign w:val="bottom"/>
          </w:tcPr>
          <w:p>
            <w:pPr>
              <w:ind w:left="20"/>
              <w:spacing w:after="0"/>
              <w:rPr>
                <w:sz w:val="20"/>
                <w:szCs w:val="20"/>
                <w:color w:val="auto"/>
              </w:rPr>
            </w:pPr>
            <w:r>
              <w:rPr>
                <w:rFonts w:ascii="Arial" w:cs="Arial" w:eastAsia="Arial" w:hAnsi="Arial"/>
                <w:sz w:val="17"/>
                <w:szCs w:val="17"/>
                <w:color w:val="auto"/>
              </w:rPr>
              <w:t>Gross margin</w:t>
            </w: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30.7 %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31.6 %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30.7 %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31.4 %</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jc w:val="both"/>
        <w:ind w:firstLine="486"/>
        <w:spacing w:after="0" w:line="311" w:lineRule="auto"/>
        <w:rPr>
          <w:sz w:val="20"/>
          <w:szCs w:val="20"/>
          <w:color w:val="auto"/>
        </w:rPr>
      </w:pPr>
      <w:r>
        <w:rPr>
          <w:rFonts w:ascii="Arial" w:cs="Arial" w:eastAsia="Arial" w:hAnsi="Arial"/>
          <w:sz w:val="16"/>
          <w:szCs w:val="16"/>
          <w:color w:val="auto"/>
        </w:rPr>
        <w:t>The decrease in gross profit for the 13 and 26 weeks ended July 3, 2021 compared to the same periods in fiscal 2020 was primarily the result of a decrease in comparable store sales (as discussed above), partially offset by new store growth. Our gross margin decreased for the 13 and 26 weeks ended July 3, 2021 compared to the same period in fiscal 2020 primarily due to higher cost of sales as a percentage of sales as discussed previously.</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 (“SG&amp;A”)</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4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13 Weeks Ended</w:t>
            </w: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26 Weeks Ended</w:t>
            </w: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1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00" w:type="dxa"/>
            <w:vAlign w:val="bottom"/>
            <w:gridSpan w:val="2"/>
          </w:tcPr>
          <w:p>
            <w:pPr>
              <w:ind w:left="160"/>
              <w:spacing w:after="0" w:line="135" w:lineRule="exact"/>
              <w:rPr>
                <w:sz w:val="20"/>
                <w:szCs w:val="20"/>
                <w:color w:val="auto"/>
              </w:rPr>
            </w:pPr>
            <w:r>
              <w:rPr>
                <w:rFonts w:ascii="Arial" w:cs="Arial" w:eastAsia="Arial" w:hAnsi="Arial"/>
                <w:sz w:val="14"/>
                <w:szCs w:val="14"/>
                <w:b w:val="1"/>
                <w:bCs w:val="1"/>
                <w:color w:val="auto"/>
              </w:rPr>
              <w:t>July 3,</w:t>
            </w:r>
          </w:p>
        </w:tc>
        <w:tc>
          <w:tcPr>
            <w:tcW w:w="260" w:type="dxa"/>
            <w:vAlign w:val="bottom"/>
          </w:tcPr>
          <w:p>
            <w:pPr>
              <w:spacing w:after="0"/>
              <w:rPr>
                <w:sz w:val="11"/>
                <w:szCs w:val="11"/>
                <w:color w:val="auto"/>
              </w:rPr>
            </w:pPr>
          </w:p>
        </w:tc>
        <w:tc>
          <w:tcPr>
            <w:tcW w:w="1140" w:type="dxa"/>
            <w:vAlign w:val="bottom"/>
            <w:gridSpan w:val="2"/>
          </w:tcPr>
          <w:p>
            <w:pPr>
              <w:ind w:left="140"/>
              <w:spacing w:after="0" w:line="135" w:lineRule="exact"/>
              <w:rPr>
                <w:sz w:val="20"/>
                <w:szCs w:val="20"/>
                <w:color w:val="auto"/>
              </w:rPr>
            </w:pPr>
            <w:r>
              <w:rPr>
                <w:rFonts w:ascii="Arial" w:cs="Arial" w:eastAsia="Arial" w:hAnsi="Arial"/>
                <w:sz w:val="14"/>
                <w:szCs w:val="14"/>
                <w:b w:val="1"/>
                <w:bCs w:val="1"/>
                <w:color w:val="auto"/>
              </w:rPr>
              <w:t>June 27,</w:t>
            </w:r>
          </w:p>
        </w:tc>
        <w:tc>
          <w:tcPr>
            <w:tcW w:w="160" w:type="dxa"/>
            <w:vAlign w:val="bottom"/>
          </w:tcPr>
          <w:p>
            <w:pPr>
              <w:spacing w:after="0"/>
              <w:rPr>
                <w:sz w:val="11"/>
                <w:szCs w:val="11"/>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Change</w:t>
            </w:r>
          </w:p>
        </w:tc>
        <w:tc>
          <w:tcPr>
            <w:tcW w:w="1380" w:type="dxa"/>
            <w:vAlign w:val="bottom"/>
            <w:gridSpan w:val="3"/>
            <w:vMerge w:val="restart"/>
          </w:tcPr>
          <w:p>
            <w:pPr>
              <w:jc w:val="right"/>
              <w:ind w:right="455"/>
              <w:spacing w:after="0"/>
              <w:rPr>
                <w:sz w:val="20"/>
                <w:szCs w:val="20"/>
                <w:color w:val="auto"/>
              </w:rPr>
            </w:pPr>
            <w:r>
              <w:rPr>
                <w:rFonts w:ascii="Arial" w:cs="Arial" w:eastAsia="Arial" w:hAnsi="Arial"/>
                <w:sz w:val="14"/>
                <w:szCs w:val="14"/>
                <w:b w:val="1"/>
                <w:bCs w:val="1"/>
                <w:color w:val="auto"/>
              </w:rPr>
              <w:t>% Change</w:t>
            </w:r>
          </w:p>
        </w:tc>
        <w:tc>
          <w:tcPr>
            <w:tcW w:w="1140" w:type="dxa"/>
            <w:vAlign w:val="bottom"/>
            <w:gridSpan w:val="2"/>
          </w:tcPr>
          <w:p>
            <w:pPr>
              <w:ind w:left="180"/>
              <w:spacing w:after="0" w:line="135" w:lineRule="exact"/>
              <w:rPr>
                <w:sz w:val="20"/>
                <w:szCs w:val="20"/>
                <w:color w:val="auto"/>
              </w:rPr>
            </w:pPr>
            <w:r>
              <w:rPr>
                <w:rFonts w:ascii="Arial" w:cs="Arial" w:eastAsia="Arial" w:hAnsi="Arial"/>
                <w:sz w:val="14"/>
                <w:szCs w:val="14"/>
                <w:b w:val="1"/>
                <w:bCs w:val="1"/>
                <w:color w:val="auto"/>
              </w:rPr>
              <w:t>July 3,</w:t>
            </w:r>
          </w:p>
        </w:tc>
        <w:tc>
          <w:tcPr>
            <w:tcW w:w="240" w:type="dxa"/>
            <w:vAlign w:val="bottom"/>
          </w:tcPr>
          <w:p>
            <w:pPr>
              <w:spacing w:after="0"/>
              <w:rPr>
                <w:sz w:val="11"/>
                <w:szCs w:val="11"/>
                <w:color w:val="auto"/>
              </w:rPr>
            </w:pPr>
          </w:p>
        </w:tc>
        <w:tc>
          <w:tcPr>
            <w:tcW w:w="1160" w:type="dxa"/>
            <w:vAlign w:val="bottom"/>
            <w:gridSpan w:val="2"/>
          </w:tcPr>
          <w:p>
            <w:pPr>
              <w:ind w:left="140"/>
              <w:spacing w:after="0" w:line="135" w:lineRule="exact"/>
              <w:rPr>
                <w:sz w:val="20"/>
                <w:szCs w:val="20"/>
                <w:color w:val="auto"/>
              </w:rPr>
            </w:pPr>
            <w:r>
              <w:rPr>
                <w:rFonts w:ascii="Arial" w:cs="Arial" w:eastAsia="Arial" w:hAnsi="Arial"/>
                <w:sz w:val="14"/>
                <w:szCs w:val="14"/>
                <w:b w:val="1"/>
                <w:bCs w:val="1"/>
                <w:color w:val="auto"/>
              </w:rPr>
              <w:t>June 27,</w:t>
            </w:r>
          </w:p>
        </w:tc>
        <w:tc>
          <w:tcPr>
            <w:tcW w:w="160" w:type="dxa"/>
            <w:vAlign w:val="bottom"/>
          </w:tcPr>
          <w:p>
            <w:pPr>
              <w:spacing w:after="0"/>
              <w:rPr>
                <w:sz w:val="11"/>
                <w:szCs w:val="11"/>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Change</w:t>
            </w:r>
          </w:p>
        </w:tc>
        <w:tc>
          <w:tcPr>
            <w:tcW w:w="1020" w:type="dxa"/>
            <w:vAlign w:val="bottom"/>
            <w:vMerge w:val="restart"/>
          </w:tcPr>
          <w:p>
            <w:pPr>
              <w:jc w:val="right"/>
              <w:ind w:right="101"/>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8"/>
        </w:trPr>
        <w:tc>
          <w:tcPr>
            <w:tcW w:w="1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jc w:val="right"/>
              <w:ind w:right="421"/>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jc w:val="right"/>
              <w:ind w:right="42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380" w:type="dxa"/>
            <w:vAlign w:val="bottom"/>
            <w:gridSpan w:val="3"/>
            <w:vMerge w:val="continue"/>
          </w:tcPr>
          <w:p>
            <w:pPr>
              <w:spacing w:after="0"/>
              <w:rPr>
                <w:sz w:val="16"/>
                <w:szCs w:val="16"/>
                <w:color w:val="auto"/>
              </w:rPr>
            </w:pPr>
          </w:p>
        </w:tc>
        <w:tc>
          <w:tcPr>
            <w:tcW w:w="1040" w:type="dxa"/>
            <w:vAlign w:val="bottom"/>
          </w:tcPr>
          <w:p>
            <w:pPr>
              <w:jc w:val="right"/>
              <w:ind w:right="44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jc w:val="right"/>
              <w:ind w:right="44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1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SG&amp;A</w:t>
            </w:r>
          </w:p>
        </w:tc>
        <w:tc>
          <w:tcPr>
            <w:tcW w:w="280" w:type="dxa"/>
            <w:vAlign w:val="bottom"/>
            <w:tcBorders>
              <w:top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w w:val="84"/>
              </w:rPr>
              <w:t>$</w:t>
            </w:r>
          </w:p>
        </w:tc>
        <w:tc>
          <w:tcPr>
            <w:tcW w:w="1020" w:type="dxa"/>
            <w:vAlign w:val="bottom"/>
            <w:tcBorders>
              <w:top w:val="single" w:sz="8" w:color="auto"/>
            </w:tcBorders>
            <w:shd w:val="clear" w:color="auto" w:fill="CCEEFF"/>
          </w:tcPr>
          <w:p>
            <w:pPr>
              <w:jc w:val="right"/>
              <w:ind w:right="121"/>
              <w:spacing w:after="0"/>
              <w:rPr>
                <w:sz w:val="20"/>
                <w:szCs w:val="20"/>
                <w:color w:val="auto"/>
              </w:rPr>
            </w:pPr>
            <w:r>
              <w:rPr>
                <w:rFonts w:ascii="Arial" w:cs="Arial" w:eastAsia="Arial" w:hAnsi="Arial"/>
                <w:sz w:val="17"/>
                <w:szCs w:val="17"/>
                <w:color w:val="auto"/>
              </w:rPr>
              <w:t>192,955</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1040" w:type="dxa"/>
            <w:vAlign w:val="bottom"/>
            <w:tcBorders>
              <w:top w:val="single" w:sz="8" w:color="auto"/>
            </w:tcBorders>
            <w:shd w:val="clear" w:color="auto" w:fill="CCEEFF"/>
          </w:tcPr>
          <w:p>
            <w:pPr>
              <w:jc w:val="right"/>
              <w:ind w:right="123"/>
              <w:spacing w:after="0"/>
              <w:rPr>
                <w:sz w:val="20"/>
                <w:szCs w:val="20"/>
                <w:color w:val="auto"/>
              </w:rPr>
            </w:pPr>
            <w:r>
              <w:rPr>
                <w:rFonts w:ascii="Arial" w:cs="Arial" w:eastAsia="Arial" w:hAnsi="Arial"/>
                <w:sz w:val="17"/>
                <w:szCs w:val="17"/>
                <w:color w:val="auto"/>
              </w:rPr>
              <w:t>198,002</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(5,047)</w:t>
            </w:r>
          </w:p>
        </w:tc>
        <w:tc>
          <w:tcPr>
            <w:tcW w:w="1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w:t>
            </w: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w w:val="84"/>
              </w:rPr>
              <w:t>$</w:t>
            </w:r>
          </w:p>
        </w:tc>
        <w:tc>
          <w:tcPr>
            <w:tcW w:w="1040" w:type="dxa"/>
            <w:vAlign w:val="bottom"/>
            <w:tcBorders>
              <w:top w:val="single" w:sz="8" w:color="auto"/>
            </w:tcBorders>
            <w:shd w:val="clear" w:color="auto" w:fill="CCEEFF"/>
          </w:tcPr>
          <w:p>
            <w:pPr>
              <w:jc w:val="right"/>
              <w:ind w:right="121"/>
              <w:spacing w:after="0"/>
              <w:rPr>
                <w:sz w:val="20"/>
                <w:szCs w:val="20"/>
                <w:color w:val="auto"/>
              </w:rPr>
            </w:pPr>
            <w:r>
              <w:rPr>
                <w:rFonts w:ascii="Arial" w:cs="Arial" w:eastAsia="Arial" w:hAnsi="Arial"/>
                <w:sz w:val="17"/>
                <w:szCs w:val="17"/>
                <w:color w:val="auto"/>
              </w:rPr>
              <w:t>381,553</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w w:val="84"/>
              </w:rPr>
              <w:t>$</w:t>
            </w:r>
          </w:p>
        </w:tc>
        <w:tc>
          <w:tcPr>
            <w:tcW w:w="1060" w:type="dxa"/>
            <w:vAlign w:val="bottom"/>
            <w:tcBorders>
              <w:top w:val="single" w:sz="8" w:color="auto"/>
            </w:tcBorders>
            <w:shd w:val="clear" w:color="auto" w:fill="CCEEFF"/>
          </w:tcPr>
          <w:p>
            <w:pPr>
              <w:jc w:val="right"/>
              <w:ind w:right="123"/>
              <w:spacing w:after="0"/>
              <w:rPr>
                <w:sz w:val="20"/>
                <w:szCs w:val="20"/>
                <w:color w:val="auto"/>
              </w:rPr>
            </w:pPr>
            <w:r>
              <w:rPr>
                <w:rFonts w:ascii="Arial" w:cs="Arial" w:eastAsia="Arial" w:hAnsi="Arial"/>
                <w:sz w:val="17"/>
                <w:szCs w:val="17"/>
                <w:color w:val="auto"/>
              </w:rPr>
              <w:t>384,933</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(3,380)</w:t>
            </w:r>
          </w:p>
        </w:tc>
        <w:tc>
          <w:tcPr>
            <w:tcW w:w="1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(0.9)%</w:t>
            </w:r>
          </w:p>
        </w:tc>
        <w:tc>
          <w:tcPr>
            <w:tcW w:w="0" w:type="dxa"/>
            <w:vAlign w:val="bottom"/>
          </w:tcPr>
          <w:p>
            <w:pPr>
              <w:spacing w:after="0"/>
              <w:rPr>
                <w:sz w:val="1"/>
                <w:szCs w:val="1"/>
                <w:color w:val="auto"/>
              </w:rPr>
            </w:pPr>
          </w:p>
        </w:tc>
      </w:tr>
      <w:tr>
        <w:trPr>
          <w:trHeight w:val="216"/>
        </w:trPr>
        <w:tc>
          <w:tcPr>
            <w:tcW w:w="1440" w:type="dxa"/>
            <w:vAlign w:val="bottom"/>
          </w:tcPr>
          <w:p>
            <w:pPr>
              <w:ind w:left="20"/>
              <w:spacing w:after="0"/>
              <w:rPr>
                <w:sz w:val="20"/>
                <w:szCs w:val="20"/>
                <w:color w:val="auto"/>
              </w:rPr>
            </w:pPr>
            <w:r>
              <w:rPr>
                <w:rFonts w:ascii="Arial" w:cs="Arial" w:eastAsia="Arial" w:hAnsi="Arial"/>
                <w:sz w:val="17"/>
                <w:szCs w:val="17"/>
                <w:color w:val="auto"/>
              </w:rPr>
              <w:t>% of net sales</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24.9 %</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24.6 %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25.0 %</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24.6 %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82"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The decrease in SG&amp;A for the 13 and 26 weeks ended July 3, 2021 compared to the same periods in fiscal 2020 was primarily driven by decreases in variable commission payments to IOs and decreases to management incentive bonus expenses, partially offset by higher store occupancy and maintenance costs due to a higher store count and higher personnel expenses as a result of the Company's growth.</w:t>
      </w:r>
    </w:p>
    <w:p>
      <w:pPr>
        <w:spacing w:after="0" w:line="76"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As a percentage of sales, SG&amp;A increased slightly for the 13 and 26 weeks ended July 3, 2021 compared to the same periods in fiscal 2020 due to lower expense leverage as a result of reduced net sales.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 Expense</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5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13 Weeks Ended</w:t>
            </w: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26 Weeks Ended</w:t>
            </w: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20" w:type="dxa"/>
            <w:vAlign w:val="bottom"/>
            <w:gridSpan w:val="2"/>
          </w:tcPr>
          <w:p>
            <w:pPr>
              <w:ind w:left="180"/>
              <w:spacing w:after="0" w:line="135" w:lineRule="exact"/>
              <w:rPr>
                <w:sz w:val="20"/>
                <w:szCs w:val="20"/>
                <w:color w:val="auto"/>
              </w:rPr>
            </w:pPr>
            <w:r>
              <w:rPr>
                <w:rFonts w:ascii="Arial" w:cs="Arial" w:eastAsia="Arial" w:hAnsi="Arial"/>
                <w:sz w:val="14"/>
                <w:szCs w:val="14"/>
                <w:b w:val="1"/>
                <w:bCs w:val="1"/>
                <w:color w:val="auto"/>
              </w:rPr>
              <w:t>July 3,</w:t>
            </w:r>
          </w:p>
        </w:tc>
        <w:tc>
          <w:tcPr>
            <w:tcW w:w="240" w:type="dxa"/>
            <w:vAlign w:val="bottom"/>
          </w:tcPr>
          <w:p>
            <w:pPr>
              <w:spacing w:after="0"/>
              <w:rPr>
                <w:sz w:val="11"/>
                <w:szCs w:val="11"/>
                <w:color w:val="auto"/>
              </w:rPr>
            </w:pPr>
          </w:p>
        </w:tc>
        <w:tc>
          <w:tcPr>
            <w:tcW w:w="1140" w:type="dxa"/>
            <w:vAlign w:val="bottom"/>
            <w:gridSpan w:val="2"/>
          </w:tcPr>
          <w:p>
            <w:pPr>
              <w:ind w:left="140"/>
              <w:spacing w:after="0" w:line="135" w:lineRule="exact"/>
              <w:rPr>
                <w:sz w:val="20"/>
                <w:szCs w:val="20"/>
                <w:color w:val="auto"/>
              </w:rPr>
            </w:pPr>
            <w:r>
              <w:rPr>
                <w:rFonts w:ascii="Arial" w:cs="Arial" w:eastAsia="Arial" w:hAnsi="Arial"/>
                <w:sz w:val="14"/>
                <w:szCs w:val="14"/>
                <w:b w:val="1"/>
                <w:bCs w:val="1"/>
                <w:color w:val="auto"/>
              </w:rPr>
              <w:t>June 27,</w:t>
            </w:r>
          </w:p>
        </w:tc>
        <w:tc>
          <w:tcPr>
            <w:tcW w:w="160" w:type="dxa"/>
            <w:vAlign w:val="bottom"/>
          </w:tcPr>
          <w:p>
            <w:pPr>
              <w:spacing w:after="0"/>
              <w:rPr>
                <w:sz w:val="11"/>
                <w:szCs w:val="11"/>
                <w:color w:val="auto"/>
              </w:rPr>
            </w:pPr>
          </w:p>
        </w:tc>
        <w:tc>
          <w:tcPr>
            <w:tcW w:w="780" w:type="dxa"/>
            <w:vAlign w:val="bottom"/>
            <w:vMerge w:val="restart"/>
          </w:tcPr>
          <w:p>
            <w:pPr>
              <w:jc w:val="right"/>
              <w:ind w:right="101"/>
              <w:spacing w:after="0"/>
              <w:rPr>
                <w:sz w:val="20"/>
                <w:szCs w:val="20"/>
                <w:color w:val="auto"/>
              </w:rPr>
            </w:pPr>
            <w:r>
              <w:rPr>
                <w:rFonts w:ascii="Arial" w:cs="Arial" w:eastAsia="Arial" w:hAnsi="Arial"/>
                <w:sz w:val="14"/>
                <w:szCs w:val="14"/>
                <w:b w:val="1"/>
                <w:bCs w:val="1"/>
                <w:color w:val="auto"/>
                <w:w w:val="91"/>
              </w:rPr>
              <w:t>$ Change</w:t>
            </w:r>
          </w:p>
        </w:tc>
        <w:tc>
          <w:tcPr>
            <w:tcW w:w="100" w:type="dxa"/>
            <w:vAlign w:val="bottom"/>
            <w:vMerge w:val="restart"/>
          </w:tcPr>
          <w:p>
            <w:pPr>
              <w:spacing w:after="0"/>
              <w:rPr>
                <w:sz w:val="11"/>
                <w:szCs w:val="11"/>
                <w:color w:val="auto"/>
              </w:rPr>
            </w:pPr>
          </w:p>
        </w:tc>
        <w:tc>
          <w:tcPr>
            <w:tcW w:w="98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 Change</w:t>
            </w:r>
          </w:p>
        </w:tc>
        <w:tc>
          <w:tcPr>
            <w:tcW w:w="100" w:type="dxa"/>
            <w:vAlign w:val="bottom"/>
            <w:vMerge w:val="restart"/>
          </w:tcPr>
          <w:p>
            <w:pPr>
              <w:spacing w:after="0"/>
              <w:rPr>
                <w:sz w:val="11"/>
                <w:szCs w:val="11"/>
                <w:color w:val="auto"/>
              </w:rPr>
            </w:pPr>
          </w:p>
        </w:tc>
        <w:tc>
          <w:tcPr>
            <w:tcW w:w="280" w:type="dxa"/>
            <w:vAlign w:val="bottom"/>
            <w:vMerge w:val="restart"/>
          </w:tcPr>
          <w:p>
            <w:pPr>
              <w:spacing w:after="0"/>
              <w:rPr>
                <w:sz w:val="11"/>
                <w:szCs w:val="11"/>
                <w:color w:val="auto"/>
              </w:rPr>
            </w:pPr>
          </w:p>
        </w:tc>
        <w:tc>
          <w:tcPr>
            <w:tcW w:w="1120" w:type="dxa"/>
            <w:vAlign w:val="bottom"/>
            <w:gridSpan w:val="2"/>
          </w:tcPr>
          <w:p>
            <w:pPr>
              <w:ind w:left="160"/>
              <w:spacing w:after="0" w:line="135" w:lineRule="exact"/>
              <w:rPr>
                <w:sz w:val="20"/>
                <w:szCs w:val="20"/>
                <w:color w:val="auto"/>
              </w:rPr>
            </w:pPr>
            <w:r>
              <w:rPr>
                <w:rFonts w:ascii="Arial" w:cs="Arial" w:eastAsia="Arial" w:hAnsi="Arial"/>
                <w:sz w:val="14"/>
                <w:szCs w:val="14"/>
                <w:b w:val="1"/>
                <w:bCs w:val="1"/>
                <w:color w:val="auto"/>
              </w:rPr>
              <w:t>July 3,</w:t>
            </w:r>
          </w:p>
        </w:tc>
        <w:tc>
          <w:tcPr>
            <w:tcW w:w="240" w:type="dxa"/>
            <w:vAlign w:val="bottom"/>
          </w:tcPr>
          <w:p>
            <w:pPr>
              <w:spacing w:after="0"/>
              <w:rPr>
                <w:sz w:val="11"/>
                <w:szCs w:val="11"/>
                <w:color w:val="auto"/>
              </w:rPr>
            </w:pPr>
          </w:p>
        </w:tc>
        <w:tc>
          <w:tcPr>
            <w:tcW w:w="1140" w:type="dxa"/>
            <w:vAlign w:val="bottom"/>
            <w:gridSpan w:val="2"/>
          </w:tcPr>
          <w:p>
            <w:pPr>
              <w:ind w:left="140"/>
              <w:spacing w:after="0" w:line="135" w:lineRule="exact"/>
              <w:rPr>
                <w:sz w:val="20"/>
                <w:szCs w:val="20"/>
                <w:color w:val="auto"/>
              </w:rPr>
            </w:pPr>
            <w:r>
              <w:rPr>
                <w:rFonts w:ascii="Arial" w:cs="Arial" w:eastAsia="Arial" w:hAnsi="Arial"/>
                <w:sz w:val="14"/>
                <w:szCs w:val="14"/>
                <w:b w:val="1"/>
                <w:bCs w:val="1"/>
                <w:color w:val="auto"/>
              </w:rPr>
              <w:t>June 27,</w:t>
            </w:r>
          </w:p>
        </w:tc>
        <w:tc>
          <w:tcPr>
            <w:tcW w:w="160" w:type="dxa"/>
            <w:vAlign w:val="bottom"/>
          </w:tcPr>
          <w:p>
            <w:pPr>
              <w:spacing w:after="0"/>
              <w:rPr>
                <w:sz w:val="11"/>
                <w:szCs w:val="11"/>
                <w:color w:val="auto"/>
              </w:rPr>
            </w:pPr>
          </w:p>
        </w:tc>
        <w:tc>
          <w:tcPr>
            <w:tcW w:w="780" w:type="dxa"/>
            <w:vAlign w:val="bottom"/>
            <w:vMerge w:val="restart"/>
          </w:tcPr>
          <w:p>
            <w:pPr>
              <w:jc w:val="right"/>
              <w:ind w:right="101"/>
              <w:spacing w:after="0"/>
              <w:rPr>
                <w:sz w:val="20"/>
                <w:szCs w:val="20"/>
                <w:color w:val="auto"/>
              </w:rPr>
            </w:pPr>
            <w:r>
              <w:rPr>
                <w:rFonts w:ascii="Arial" w:cs="Arial" w:eastAsia="Arial" w:hAnsi="Arial"/>
                <w:sz w:val="14"/>
                <w:szCs w:val="14"/>
                <w:b w:val="1"/>
                <w:bCs w:val="1"/>
                <w:color w:val="auto"/>
                <w:w w:val="91"/>
              </w:rPr>
              <w:t>$ Change</w:t>
            </w:r>
          </w:p>
        </w:tc>
        <w:tc>
          <w:tcPr>
            <w:tcW w:w="100" w:type="dxa"/>
            <w:vAlign w:val="bottom"/>
            <w:vMerge w:val="restart"/>
          </w:tcPr>
          <w:p>
            <w:pPr>
              <w:spacing w:after="0"/>
              <w:rPr>
                <w:sz w:val="11"/>
                <w:szCs w:val="11"/>
                <w:color w:val="auto"/>
              </w:rPr>
            </w:pPr>
          </w:p>
        </w:tc>
        <w:tc>
          <w:tcPr>
            <w:tcW w:w="1000" w:type="dxa"/>
            <w:vAlign w:val="bottom"/>
            <w:vMerge w:val="restart"/>
          </w:tcPr>
          <w:p>
            <w:pPr>
              <w:jc w:val="right"/>
              <w:ind w:right="101"/>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8"/>
        </w:trPr>
        <w:tc>
          <w:tcPr>
            <w:tcW w:w="15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2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vMerge w:val="continue"/>
          </w:tcPr>
          <w:p>
            <w:pPr>
              <w:spacing w:after="0"/>
              <w:rPr>
                <w:sz w:val="16"/>
                <w:szCs w:val="16"/>
                <w:color w:val="auto"/>
              </w:rPr>
            </w:pPr>
          </w:p>
        </w:tc>
        <w:tc>
          <w:tcPr>
            <w:tcW w:w="102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2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1540" w:type="dxa"/>
            <w:vAlign w:val="bottom"/>
            <w:shd w:val="clear" w:color="auto" w:fill="CCEEFF"/>
          </w:tcPr>
          <w:p>
            <w:pPr>
              <w:ind w:left="20"/>
              <w:spacing w:after="0" w:line="144" w:lineRule="exact"/>
              <w:rPr>
                <w:sz w:val="20"/>
                <w:szCs w:val="20"/>
                <w:color w:val="auto"/>
              </w:rPr>
            </w:pPr>
            <w:r>
              <w:rPr>
                <w:rFonts w:ascii="Arial" w:cs="Arial" w:eastAsia="Arial" w:hAnsi="Arial"/>
                <w:sz w:val="16"/>
                <w:szCs w:val="16"/>
                <w:color w:val="auto"/>
              </w:rPr>
              <w:t>Depreciation and</w:t>
            </w:r>
          </w:p>
        </w:tc>
        <w:tc>
          <w:tcPr>
            <w:tcW w:w="260" w:type="dxa"/>
            <w:vAlign w:val="bottom"/>
            <w:vMerge w:val="restart"/>
            <w:shd w:val="clear" w:color="auto" w:fill="CCEEFF"/>
          </w:tcPr>
          <w:p>
            <w:pPr>
              <w:jc w:val="right"/>
              <w:ind w:right="75"/>
              <w:spacing w:after="0"/>
              <w:rPr>
                <w:sz w:val="20"/>
                <w:szCs w:val="20"/>
                <w:color w:val="auto"/>
              </w:rPr>
            </w:pPr>
            <w:r>
              <w:rPr>
                <w:rFonts w:ascii="Arial" w:cs="Arial" w:eastAsia="Arial" w:hAnsi="Arial"/>
                <w:sz w:val="17"/>
                <w:szCs w:val="17"/>
                <w:color w:val="auto"/>
                <w:w w:val="84"/>
              </w:rPr>
              <w:t>$</w:t>
            </w:r>
          </w:p>
        </w:tc>
        <w:tc>
          <w:tcPr>
            <w:tcW w:w="1020" w:type="dxa"/>
            <w:vAlign w:val="bottom"/>
            <w:vMerge w:val="restart"/>
            <w:shd w:val="clear" w:color="auto" w:fill="CCEEFF"/>
          </w:tcPr>
          <w:p>
            <w:pPr>
              <w:jc w:val="right"/>
              <w:ind w:right="121"/>
              <w:spacing w:after="0"/>
              <w:rPr>
                <w:sz w:val="20"/>
                <w:szCs w:val="20"/>
                <w:color w:val="auto"/>
              </w:rPr>
            </w:pPr>
            <w:r>
              <w:rPr>
                <w:rFonts w:ascii="Arial" w:cs="Arial" w:eastAsia="Arial" w:hAnsi="Arial"/>
                <w:sz w:val="17"/>
                <w:szCs w:val="17"/>
                <w:color w:val="auto"/>
              </w:rPr>
              <w:t>16,959</w:t>
            </w:r>
          </w:p>
        </w:tc>
        <w:tc>
          <w:tcPr>
            <w:tcW w:w="100" w:type="dxa"/>
            <w:vAlign w:val="bottom"/>
            <w:shd w:val="clear" w:color="auto" w:fill="CCEEFF"/>
          </w:tcPr>
          <w:p>
            <w:pPr>
              <w:spacing w:after="0"/>
              <w:rPr>
                <w:sz w:val="12"/>
                <w:szCs w:val="12"/>
                <w:color w:val="auto"/>
              </w:rPr>
            </w:pPr>
          </w:p>
        </w:tc>
        <w:tc>
          <w:tcPr>
            <w:tcW w:w="240" w:type="dxa"/>
            <w:vAlign w:val="bottom"/>
            <w:vMerge w:val="restart"/>
            <w:shd w:val="clear" w:color="auto" w:fill="CCEEFF"/>
          </w:tcPr>
          <w:p>
            <w:pPr>
              <w:jc w:val="right"/>
              <w:ind w:right="55"/>
              <w:spacing w:after="0"/>
              <w:rPr>
                <w:sz w:val="20"/>
                <w:szCs w:val="20"/>
                <w:color w:val="auto"/>
              </w:rPr>
            </w:pPr>
            <w:r>
              <w:rPr>
                <w:rFonts w:ascii="Arial" w:cs="Arial" w:eastAsia="Arial" w:hAnsi="Arial"/>
                <w:sz w:val="17"/>
                <w:szCs w:val="17"/>
                <w:color w:val="auto"/>
                <w:w w:val="84"/>
              </w:rPr>
              <w:t>$</w:t>
            </w:r>
          </w:p>
        </w:tc>
        <w:tc>
          <w:tcPr>
            <w:tcW w:w="1040" w:type="dxa"/>
            <w:vAlign w:val="bottom"/>
            <w:vMerge w:val="restart"/>
            <w:shd w:val="clear" w:color="auto" w:fill="CCEEFF"/>
          </w:tcPr>
          <w:p>
            <w:pPr>
              <w:jc w:val="right"/>
              <w:ind w:right="123"/>
              <w:spacing w:after="0"/>
              <w:rPr>
                <w:sz w:val="20"/>
                <w:szCs w:val="20"/>
                <w:color w:val="auto"/>
              </w:rPr>
            </w:pPr>
            <w:r>
              <w:rPr>
                <w:rFonts w:ascii="Arial" w:cs="Arial" w:eastAsia="Arial" w:hAnsi="Arial"/>
                <w:sz w:val="17"/>
                <w:szCs w:val="17"/>
                <w:color w:val="auto"/>
              </w:rPr>
              <w:t>13,215</w:t>
            </w:r>
          </w:p>
        </w:tc>
        <w:tc>
          <w:tcPr>
            <w:tcW w:w="10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3,744</w:t>
            </w:r>
          </w:p>
        </w:tc>
        <w:tc>
          <w:tcPr>
            <w:tcW w:w="100" w:type="dxa"/>
            <w:vAlign w:val="bottom"/>
            <w:shd w:val="clear" w:color="auto" w:fill="CCEEFF"/>
          </w:tcPr>
          <w:p>
            <w:pPr>
              <w:spacing w:after="0"/>
              <w:rPr>
                <w:sz w:val="12"/>
                <w:szCs w:val="12"/>
                <w:color w:val="auto"/>
              </w:rPr>
            </w:pPr>
          </w:p>
        </w:tc>
        <w:tc>
          <w:tcPr>
            <w:tcW w:w="1360" w:type="dxa"/>
            <w:vAlign w:val="bottom"/>
            <w:gridSpan w:val="3"/>
            <w:vMerge w:val="restart"/>
            <w:shd w:val="clear" w:color="auto" w:fill="CCEEFF"/>
          </w:tcPr>
          <w:p>
            <w:pPr>
              <w:jc w:val="right"/>
              <w:ind w:right="180"/>
              <w:spacing w:after="0"/>
              <w:rPr>
                <w:sz w:val="20"/>
                <w:szCs w:val="20"/>
                <w:color w:val="auto"/>
              </w:rPr>
            </w:pPr>
            <w:r>
              <w:rPr>
                <w:rFonts w:ascii="Arial" w:cs="Arial" w:eastAsia="Arial" w:hAnsi="Arial"/>
                <w:sz w:val="17"/>
                <w:szCs w:val="17"/>
                <w:color w:val="auto"/>
              </w:rPr>
              <w:t>28.3 %  $</w:t>
            </w:r>
          </w:p>
        </w:tc>
        <w:tc>
          <w:tcPr>
            <w:tcW w:w="1020" w:type="dxa"/>
            <w:vAlign w:val="bottom"/>
            <w:vMerge w:val="restart"/>
            <w:shd w:val="clear" w:color="auto" w:fill="CCEEFF"/>
          </w:tcPr>
          <w:p>
            <w:pPr>
              <w:jc w:val="right"/>
              <w:ind w:right="121"/>
              <w:spacing w:after="0"/>
              <w:rPr>
                <w:sz w:val="20"/>
                <w:szCs w:val="20"/>
                <w:color w:val="auto"/>
              </w:rPr>
            </w:pPr>
            <w:r>
              <w:rPr>
                <w:rFonts w:ascii="Arial" w:cs="Arial" w:eastAsia="Arial" w:hAnsi="Arial"/>
                <w:sz w:val="17"/>
                <w:szCs w:val="17"/>
                <w:color w:val="auto"/>
              </w:rPr>
              <w:t>32,502</w:t>
            </w:r>
          </w:p>
        </w:tc>
        <w:tc>
          <w:tcPr>
            <w:tcW w:w="100" w:type="dxa"/>
            <w:vAlign w:val="bottom"/>
            <w:shd w:val="clear" w:color="auto" w:fill="CCEEFF"/>
          </w:tcPr>
          <w:p>
            <w:pPr>
              <w:spacing w:after="0"/>
              <w:rPr>
                <w:sz w:val="12"/>
                <w:szCs w:val="12"/>
                <w:color w:val="auto"/>
              </w:rPr>
            </w:pPr>
          </w:p>
        </w:tc>
        <w:tc>
          <w:tcPr>
            <w:tcW w:w="240" w:type="dxa"/>
            <w:vAlign w:val="bottom"/>
            <w:vMerge w:val="restart"/>
            <w:shd w:val="clear" w:color="auto" w:fill="CCEEFF"/>
          </w:tcPr>
          <w:p>
            <w:pPr>
              <w:jc w:val="right"/>
              <w:ind w:right="55"/>
              <w:spacing w:after="0"/>
              <w:rPr>
                <w:sz w:val="20"/>
                <w:szCs w:val="20"/>
                <w:color w:val="auto"/>
              </w:rPr>
            </w:pPr>
            <w:r>
              <w:rPr>
                <w:rFonts w:ascii="Arial" w:cs="Arial" w:eastAsia="Arial" w:hAnsi="Arial"/>
                <w:sz w:val="17"/>
                <w:szCs w:val="17"/>
                <w:color w:val="auto"/>
                <w:w w:val="84"/>
              </w:rPr>
              <w:t>$</w:t>
            </w:r>
          </w:p>
        </w:tc>
        <w:tc>
          <w:tcPr>
            <w:tcW w:w="1040" w:type="dxa"/>
            <w:vAlign w:val="bottom"/>
            <w:vMerge w:val="restart"/>
            <w:shd w:val="clear" w:color="auto" w:fill="CCEEFF"/>
          </w:tcPr>
          <w:p>
            <w:pPr>
              <w:jc w:val="right"/>
              <w:ind w:right="123"/>
              <w:spacing w:after="0"/>
              <w:rPr>
                <w:sz w:val="20"/>
                <w:szCs w:val="20"/>
                <w:color w:val="auto"/>
              </w:rPr>
            </w:pPr>
            <w:r>
              <w:rPr>
                <w:rFonts w:ascii="Arial" w:cs="Arial" w:eastAsia="Arial" w:hAnsi="Arial"/>
                <w:sz w:val="17"/>
                <w:szCs w:val="17"/>
                <w:color w:val="auto"/>
              </w:rPr>
              <w:t>26,160</w:t>
            </w:r>
          </w:p>
        </w:tc>
        <w:tc>
          <w:tcPr>
            <w:tcW w:w="10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6,342</w:t>
            </w:r>
          </w:p>
        </w:tc>
        <w:tc>
          <w:tcPr>
            <w:tcW w:w="10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24.2 %</w:t>
            </w:r>
          </w:p>
        </w:tc>
        <w:tc>
          <w:tcPr>
            <w:tcW w:w="0" w:type="dxa"/>
            <w:vAlign w:val="bottom"/>
          </w:tcPr>
          <w:p>
            <w:pPr>
              <w:spacing w:after="0"/>
              <w:rPr>
                <w:sz w:val="1"/>
                <w:szCs w:val="1"/>
                <w:color w:val="auto"/>
              </w:rPr>
            </w:pPr>
          </w:p>
        </w:tc>
      </w:tr>
      <w:tr>
        <w:trPr>
          <w:trHeight w:val="216"/>
        </w:trPr>
        <w:tc>
          <w:tcPr>
            <w:tcW w:w="1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amortization</w:t>
            </w:r>
          </w:p>
        </w:tc>
        <w:tc>
          <w:tcPr>
            <w:tcW w:w="260" w:type="dxa"/>
            <w:vAlign w:val="bottom"/>
            <w:vMerge w:val="continue"/>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3"/>
            <w:vMerge w:val="continue"/>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tcPr>
          <w:p>
            <w:pPr>
              <w:ind w:left="20"/>
              <w:spacing w:after="0"/>
              <w:rPr>
                <w:sz w:val="20"/>
                <w:szCs w:val="20"/>
                <w:color w:val="auto"/>
              </w:rPr>
            </w:pPr>
            <w:r>
              <w:rPr>
                <w:rFonts w:ascii="Arial" w:cs="Arial" w:eastAsia="Arial" w:hAnsi="Arial"/>
                <w:sz w:val="17"/>
                <w:szCs w:val="17"/>
                <w:color w:val="auto"/>
              </w:rPr>
              <w:t>% of net sales</w:t>
            </w: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2.2 %</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1.6 %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2.1 %</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1.7 %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increase in depreciation and amortization expenses for the 13 and 26 weeks ended July 3, 2021 compared to the same periods in fiscal 2020 was primarily driven by new store growth and other capital investments.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 Expense</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5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13 Weeks Ended</w:t>
            </w: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26 Weeks Ended</w:t>
            </w: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80" w:type="dxa"/>
            <w:vAlign w:val="bottom"/>
            <w:gridSpan w:val="2"/>
          </w:tcPr>
          <w:p>
            <w:pPr>
              <w:ind w:left="160"/>
              <w:spacing w:after="0" w:line="135" w:lineRule="exact"/>
              <w:rPr>
                <w:sz w:val="20"/>
                <w:szCs w:val="20"/>
                <w:color w:val="auto"/>
              </w:rPr>
            </w:pPr>
            <w:r>
              <w:rPr>
                <w:rFonts w:ascii="Arial" w:cs="Arial" w:eastAsia="Arial" w:hAnsi="Arial"/>
                <w:sz w:val="14"/>
                <w:szCs w:val="14"/>
                <w:b w:val="1"/>
                <w:bCs w:val="1"/>
                <w:color w:val="auto"/>
              </w:rPr>
              <w:t>July 3,</w:t>
            </w:r>
          </w:p>
        </w:tc>
        <w:tc>
          <w:tcPr>
            <w:tcW w:w="240" w:type="dxa"/>
            <w:vAlign w:val="bottom"/>
          </w:tcPr>
          <w:p>
            <w:pPr>
              <w:spacing w:after="0"/>
              <w:rPr>
                <w:sz w:val="11"/>
                <w:szCs w:val="11"/>
                <w:color w:val="auto"/>
              </w:rPr>
            </w:pPr>
          </w:p>
        </w:tc>
        <w:tc>
          <w:tcPr>
            <w:tcW w:w="1140" w:type="dxa"/>
            <w:vAlign w:val="bottom"/>
            <w:gridSpan w:val="2"/>
          </w:tcPr>
          <w:p>
            <w:pPr>
              <w:ind w:left="140"/>
              <w:spacing w:after="0" w:line="135" w:lineRule="exact"/>
              <w:rPr>
                <w:sz w:val="20"/>
                <w:szCs w:val="20"/>
                <w:color w:val="auto"/>
              </w:rPr>
            </w:pPr>
            <w:r>
              <w:rPr>
                <w:rFonts w:ascii="Arial" w:cs="Arial" w:eastAsia="Arial" w:hAnsi="Arial"/>
                <w:sz w:val="14"/>
                <w:szCs w:val="14"/>
                <w:b w:val="1"/>
                <w:bCs w:val="1"/>
                <w:color w:val="auto"/>
              </w:rPr>
              <w:t>June 27,</w:t>
            </w:r>
          </w:p>
        </w:tc>
        <w:tc>
          <w:tcPr>
            <w:tcW w:w="160" w:type="dxa"/>
            <w:vAlign w:val="bottom"/>
          </w:tcPr>
          <w:p>
            <w:pPr>
              <w:spacing w:after="0"/>
              <w:rPr>
                <w:sz w:val="11"/>
                <w:szCs w:val="11"/>
                <w:color w:val="auto"/>
              </w:rPr>
            </w:pPr>
          </w:p>
        </w:tc>
        <w:tc>
          <w:tcPr>
            <w:tcW w:w="780" w:type="dxa"/>
            <w:vAlign w:val="bottom"/>
            <w:vMerge w:val="restart"/>
          </w:tcPr>
          <w:p>
            <w:pPr>
              <w:jc w:val="right"/>
              <w:ind w:right="101"/>
              <w:spacing w:after="0"/>
              <w:rPr>
                <w:sz w:val="20"/>
                <w:szCs w:val="20"/>
                <w:color w:val="auto"/>
              </w:rPr>
            </w:pPr>
            <w:r>
              <w:rPr>
                <w:rFonts w:ascii="Arial" w:cs="Arial" w:eastAsia="Arial" w:hAnsi="Arial"/>
                <w:sz w:val="14"/>
                <w:szCs w:val="14"/>
                <w:b w:val="1"/>
                <w:bCs w:val="1"/>
                <w:color w:val="auto"/>
                <w:w w:val="91"/>
              </w:rPr>
              <w:t>$ Change</w:t>
            </w:r>
          </w:p>
        </w:tc>
        <w:tc>
          <w:tcPr>
            <w:tcW w:w="100" w:type="dxa"/>
            <w:vAlign w:val="bottom"/>
            <w:vMerge w:val="restart"/>
          </w:tcPr>
          <w:p>
            <w:pPr>
              <w:spacing w:after="0"/>
              <w:rPr>
                <w:sz w:val="11"/>
                <w:szCs w:val="11"/>
                <w:color w:val="auto"/>
              </w:rPr>
            </w:pPr>
          </w:p>
        </w:tc>
        <w:tc>
          <w:tcPr>
            <w:tcW w:w="100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 Change</w:t>
            </w:r>
          </w:p>
        </w:tc>
        <w:tc>
          <w:tcPr>
            <w:tcW w:w="80" w:type="dxa"/>
            <w:vAlign w:val="bottom"/>
            <w:vMerge w:val="restart"/>
          </w:tcPr>
          <w:p>
            <w:pPr>
              <w:spacing w:after="0"/>
              <w:rPr>
                <w:sz w:val="11"/>
                <w:szCs w:val="11"/>
                <w:color w:val="auto"/>
              </w:rPr>
            </w:pPr>
          </w:p>
        </w:tc>
        <w:tc>
          <w:tcPr>
            <w:tcW w:w="280" w:type="dxa"/>
            <w:vAlign w:val="bottom"/>
            <w:vMerge w:val="restart"/>
          </w:tcPr>
          <w:p>
            <w:pPr>
              <w:spacing w:after="0"/>
              <w:rPr>
                <w:sz w:val="11"/>
                <w:szCs w:val="11"/>
                <w:color w:val="auto"/>
              </w:rPr>
            </w:pPr>
          </w:p>
        </w:tc>
        <w:tc>
          <w:tcPr>
            <w:tcW w:w="1100" w:type="dxa"/>
            <w:vAlign w:val="bottom"/>
            <w:gridSpan w:val="2"/>
          </w:tcPr>
          <w:p>
            <w:pPr>
              <w:ind w:left="160"/>
              <w:spacing w:after="0" w:line="135" w:lineRule="exact"/>
              <w:rPr>
                <w:sz w:val="20"/>
                <w:szCs w:val="20"/>
                <w:color w:val="auto"/>
              </w:rPr>
            </w:pPr>
            <w:r>
              <w:rPr>
                <w:rFonts w:ascii="Arial" w:cs="Arial" w:eastAsia="Arial" w:hAnsi="Arial"/>
                <w:sz w:val="14"/>
                <w:szCs w:val="14"/>
                <w:b w:val="1"/>
                <w:bCs w:val="1"/>
                <w:color w:val="auto"/>
              </w:rPr>
              <w:t>July 3,</w:t>
            </w:r>
          </w:p>
        </w:tc>
        <w:tc>
          <w:tcPr>
            <w:tcW w:w="260" w:type="dxa"/>
            <w:vAlign w:val="bottom"/>
          </w:tcPr>
          <w:p>
            <w:pPr>
              <w:spacing w:after="0"/>
              <w:rPr>
                <w:sz w:val="11"/>
                <w:szCs w:val="11"/>
                <w:color w:val="auto"/>
              </w:rPr>
            </w:pPr>
          </w:p>
        </w:tc>
        <w:tc>
          <w:tcPr>
            <w:tcW w:w="1140" w:type="dxa"/>
            <w:vAlign w:val="bottom"/>
            <w:gridSpan w:val="2"/>
          </w:tcPr>
          <w:p>
            <w:pPr>
              <w:ind w:left="140"/>
              <w:spacing w:after="0" w:line="135" w:lineRule="exact"/>
              <w:rPr>
                <w:sz w:val="20"/>
                <w:szCs w:val="20"/>
                <w:color w:val="auto"/>
              </w:rPr>
            </w:pPr>
            <w:r>
              <w:rPr>
                <w:rFonts w:ascii="Arial" w:cs="Arial" w:eastAsia="Arial" w:hAnsi="Arial"/>
                <w:sz w:val="14"/>
                <w:szCs w:val="14"/>
                <w:b w:val="1"/>
                <w:bCs w:val="1"/>
                <w:color w:val="auto"/>
              </w:rPr>
              <w:t>June 27,</w:t>
            </w:r>
          </w:p>
        </w:tc>
        <w:tc>
          <w:tcPr>
            <w:tcW w:w="180" w:type="dxa"/>
            <w:vAlign w:val="bottom"/>
          </w:tcPr>
          <w:p>
            <w:pPr>
              <w:spacing w:after="0"/>
              <w:rPr>
                <w:sz w:val="11"/>
                <w:szCs w:val="11"/>
                <w:color w:val="auto"/>
              </w:rPr>
            </w:pPr>
          </w:p>
        </w:tc>
        <w:tc>
          <w:tcPr>
            <w:tcW w:w="780" w:type="dxa"/>
            <w:vAlign w:val="bottom"/>
            <w:vMerge w:val="restart"/>
          </w:tcPr>
          <w:p>
            <w:pPr>
              <w:jc w:val="right"/>
              <w:ind w:right="101"/>
              <w:spacing w:after="0"/>
              <w:rPr>
                <w:sz w:val="20"/>
                <w:szCs w:val="20"/>
                <w:color w:val="auto"/>
              </w:rPr>
            </w:pPr>
            <w:r>
              <w:rPr>
                <w:rFonts w:ascii="Arial" w:cs="Arial" w:eastAsia="Arial" w:hAnsi="Arial"/>
                <w:sz w:val="14"/>
                <w:szCs w:val="14"/>
                <w:b w:val="1"/>
                <w:bCs w:val="1"/>
                <w:color w:val="auto"/>
                <w:w w:val="91"/>
              </w:rPr>
              <w:t>$ Change</w:t>
            </w:r>
          </w:p>
        </w:tc>
        <w:tc>
          <w:tcPr>
            <w:tcW w:w="100" w:type="dxa"/>
            <w:vAlign w:val="bottom"/>
            <w:vMerge w:val="restart"/>
          </w:tcPr>
          <w:p>
            <w:pPr>
              <w:spacing w:after="0"/>
              <w:rPr>
                <w:sz w:val="11"/>
                <w:szCs w:val="11"/>
                <w:color w:val="auto"/>
              </w:rPr>
            </w:pPr>
          </w:p>
        </w:tc>
        <w:tc>
          <w:tcPr>
            <w:tcW w:w="1000" w:type="dxa"/>
            <w:vAlign w:val="bottom"/>
            <w:vMerge w:val="restart"/>
          </w:tcPr>
          <w:p>
            <w:pPr>
              <w:jc w:val="right"/>
              <w:ind w:right="101"/>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8"/>
        </w:trPr>
        <w:tc>
          <w:tcPr>
            <w:tcW w:w="15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2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vMerge w:val="continue"/>
          </w:tcPr>
          <w:p>
            <w:pPr>
              <w:spacing w:after="0"/>
              <w:rPr>
                <w:sz w:val="16"/>
                <w:szCs w:val="16"/>
                <w:color w:val="auto"/>
              </w:rPr>
            </w:pPr>
          </w:p>
        </w:tc>
        <w:tc>
          <w:tcPr>
            <w:tcW w:w="100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2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1540" w:type="dxa"/>
            <w:vAlign w:val="bottom"/>
            <w:shd w:val="clear" w:color="auto" w:fill="CCEEFF"/>
          </w:tcPr>
          <w:p>
            <w:pPr>
              <w:ind w:left="20"/>
              <w:spacing w:after="0" w:line="144" w:lineRule="exact"/>
              <w:rPr>
                <w:sz w:val="20"/>
                <w:szCs w:val="20"/>
                <w:color w:val="auto"/>
              </w:rPr>
            </w:pPr>
            <w:r>
              <w:rPr>
                <w:rFonts w:ascii="Arial" w:cs="Arial" w:eastAsia="Arial" w:hAnsi="Arial"/>
                <w:sz w:val="16"/>
                <w:szCs w:val="16"/>
                <w:color w:val="auto"/>
              </w:rPr>
              <w:t>Share-based</w:t>
            </w:r>
          </w:p>
        </w:tc>
        <w:tc>
          <w:tcPr>
            <w:tcW w:w="280" w:type="dxa"/>
            <w:vAlign w:val="bottom"/>
            <w:vMerge w:val="restart"/>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980" w:type="dxa"/>
            <w:vAlign w:val="bottom"/>
            <w:vMerge w:val="restart"/>
            <w:shd w:val="clear" w:color="auto" w:fill="CCEEFF"/>
          </w:tcPr>
          <w:p>
            <w:pPr>
              <w:jc w:val="right"/>
              <w:ind w:right="121"/>
              <w:spacing w:after="0"/>
              <w:rPr>
                <w:sz w:val="20"/>
                <w:szCs w:val="20"/>
                <w:color w:val="auto"/>
              </w:rPr>
            </w:pPr>
            <w:r>
              <w:rPr>
                <w:rFonts w:ascii="Arial" w:cs="Arial" w:eastAsia="Arial" w:hAnsi="Arial"/>
                <w:sz w:val="17"/>
                <w:szCs w:val="17"/>
                <w:color w:val="auto"/>
              </w:rPr>
              <w:t>4,210</w:t>
            </w:r>
          </w:p>
        </w:tc>
        <w:tc>
          <w:tcPr>
            <w:tcW w:w="100" w:type="dxa"/>
            <w:vAlign w:val="bottom"/>
            <w:shd w:val="clear" w:color="auto" w:fill="CCEEFF"/>
          </w:tcPr>
          <w:p>
            <w:pPr>
              <w:spacing w:after="0"/>
              <w:rPr>
                <w:sz w:val="12"/>
                <w:szCs w:val="12"/>
                <w:color w:val="auto"/>
              </w:rPr>
            </w:pPr>
          </w:p>
        </w:tc>
        <w:tc>
          <w:tcPr>
            <w:tcW w:w="240" w:type="dxa"/>
            <w:vAlign w:val="bottom"/>
            <w:vMerge w:val="restart"/>
            <w:shd w:val="clear" w:color="auto" w:fill="CCEEFF"/>
          </w:tcPr>
          <w:p>
            <w:pPr>
              <w:jc w:val="right"/>
              <w:ind w:right="55"/>
              <w:spacing w:after="0"/>
              <w:rPr>
                <w:sz w:val="20"/>
                <w:szCs w:val="20"/>
                <w:color w:val="auto"/>
              </w:rPr>
            </w:pPr>
            <w:r>
              <w:rPr>
                <w:rFonts w:ascii="Arial" w:cs="Arial" w:eastAsia="Arial" w:hAnsi="Arial"/>
                <w:sz w:val="17"/>
                <w:szCs w:val="17"/>
                <w:color w:val="auto"/>
                <w:w w:val="84"/>
              </w:rPr>
              <w:t>$</w:t>
            </w:r>
          </w:p>
        </w:tc>
        <w:tc>
          <w:tcPr>
            <w:tcW w:w="1040" w:type="dxa"/>
            <w:vAlign w:val="bottom"/>
            <w:vMerge w:val="restart"/>
            <w:shd w:val="clear" w:color="auto" w:fill="CCEEFF"/>
          </w:tcPr>
          <w:p>
            <w:pPr>
              <w:jc w:val="right"/>
              <w:ind w:right="123"/>
              <w:spacing w:after="0"/>
              <w:rPr>
                <w:sz w:val="20"/>
                <w:szCs w:val="20"/>
                <w:color w:val="auto"/>
              </w:rPr>
            </w:pPr>
            <w:r>
              <w:rPr>
                <w:rFonts w:ascii="Arial" w:cs="Arial" w:eastAsia="Arial" w:hAnsi="Arial"/>
                <w:sz w:val="17"/>
                <w:szCs w:val="17"/>
                <w:color w:val="auto"/>
              </w:rPr>
              <w:t>10,175</w:t>
            </w:r>
          </w:p>
        </w:tc>
        <w:tc>
          <w:tcPr>
            <w:tcW w:w="10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(5,965)</w:t>
            </w:r>
          </w:p>
        </w:tc>
        <w:tc>
          <w:tcPr>
            <w:tcW w:w="100" w:type="dxa"/>
            <w:vAlign w:val="bottom"/>
            <w:shd w:val="clear" w:color="auto" w:fill="CCEEFF"/>
          </w:tcPr>
          <w:p>
            <w:pPr>
              <w:spacing w:after="0"/>
              <w:rPr>
                <w:sz w:val="12"/>
                <w:szCs w:val="12"/>
                <w:color w:val="auto"/>
              </w:rPr>
            </w:pPr>
          </w:p>
        </w:tc>
        <w:tc>
          <w:tcPr>
            <w:tcW w:w="136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7"/>
                <w:szCs w:val="17"/>
                <w:color w:val="auto"/>
              </w:rPr>
              <w:t>(58.6)%  $</w:t>
            </w:r>
          </w:p>
        </w:tc>
        <w:tc>
          <w:tcPr>
            <w:tcW w:w="1000" w:type="dxa"/>
            <w:vAlign w:val="bottom"/>
            <w:vMerge w:val="restart"/>
            <w:shd w:val="clear" w:color="auto" w:fill="CCEEFF"/>
          </w:tcPr>
          <w:p>
            <w:pPr>
              <w:jc w:val="right"/>
              <w:ind w:right="121"/>
              <w:spacing w:after="0"/>
              <w:rPr>
                <w:sz w:val="20"/>
                <w:szCs w:val="20"/>
                <w:color w:val="auto"/>
              </w:rPr>
            </w:pPr>
            <w:r>
              <w:rPr>
                <w:rFonts w:ascii="Arial" w:cs="Arial" w:eastAsia="Arial" w:hAnsi="Arial"/>
                <w:sz w:val="17"/>
                <w:szCs w:val="17"/>
                <w:color w:val="auto"/>
              </w:rPr>
              <w:t>8,149</w:t>
            </w:r>
          </w:p>
        </w:tc>
        <w:tc>
          <w:tcPr>
            <w:tcW w:w="100" w:type="dxa"/>
            <w:vAlign w:val="bottom"/>
            <w:shd w:val="clear" w:color="auto" w:fill="CCEEFF"/>
          </w:tcPr>
          <w:p>
            <w:pPr>
              <w:spacing w:after="0"/>
              <w:rPr>
                <w:sz w:val="12"/>
                <w:szCs w:val="12"/>
                <w:color w:val="auto"/>
              </w:rPr>
            </w:pPr>
          </w:p>
        </w:tc>
        <w:tc>
          <w:tcPr>
            <w:tcW w:w="260" w:type="dxa"/>
            <w:vAlign w:val="bottom"/>
            <w:vMerge w:val="restart"/>
            <w:shd w:val="clear" w:color="auto" w:fill="CCEEFF"/>
          </w:tcPr>
          <w:p>
            <w:pPr>
              <w:jc w:val="right"/>
              <w:ind w:right="75"/>
              <w:spacing w:after="0"/>
              <w:rPr>
                <w:sz w:val="20"/>
                <w:szCs w:val="20"/>
                <w:color w:val="auto"/>
              </w:rPr>
            </w:pPr>
            <w:r>
              <w:rPr>
                <w:rFonts w:ascii="Arial" w:cs="Arial" w:eastAsia="Arial" w:hAnsi="Arial"/>
                <w:sz w:val="17"/>
                <w:szCs w:val="17"/>
                <w:color w:val="auto"/>
                <w:w w:val="84"/>
              </w:rPr>
              <w:t>$</w:t>
            </w:r>
          </w:p>
        </w:tc>
        <w:tc>
          <w:tcPr>
            <w:tcW w:w="1040" w:type="dxa"/>
            <w:vAlign w:val="bottom"/>
            <w:vMerge w:val="restart"/>
            <w:shd w:val="clear" w:color="auto" w:fill="CCEEFF"/>
          </w:tcPr>
          <w:p>
            <w:pPr>
              <w:jc w:val="right"/>
              <w:ind w:right="123"/>
              <w:spacing w:after="0"/>
              <w:rPr>
                <w:sz w:val="20"/>
                <w:szCs w:val="20"/>
                <w:color w:val="auto"/>
              </w:rPr>
            </w:pPr>
            <w:r>
              <w:rPr>
                <w:rFonts w:ascii="Arial" w:cs="Arial" w:eastAsia="Arial" w:hAnsi="Arial"/>
                <w:sz w:val="17"/>
                <w:szCs w:val="17"/>
                <w:color w:val="auto"/>
              </w:rPr>
              <w:t>30,452</w:t>
            </w:r>
          </w:p>
        </w:tc>
        <w:tc>
          <w:tcPr>
            <w:tcW w:w="10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(22,303)</w:t>
            </w:r>
          </w:p>
        </w:tc>
        <w:tc>
          <w:tcPr>
            <w:tcW w:w="10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(73.2)%</w:t>
            </w:r>
          </w:p>
        </w:tc>
        <w:tc>
          <w:tcPr>
            <w:tcW w:w="0" w:type="dxa"/>
            <w:vAlign w:val="bottom"/>
          </w:tcPr>
          <w:p>
            <w:pPr>
              <w:spacing w:after="0"/>
              <w:rPr>
                <w:sz w:val="1"/>
                <w:szCs w:val="1"/>
                <w:color w:val="auto"/>
              </w:rPr>
            </w:pPr>
          </w:p>
        </w:tc>
      </w:tr>
      <w:tr>
        <w:trPr>
          <w:trHeight w:val="216"/>
        </w:trPr>
        <w:tc>
          <w:tcPr>
            <w:tcW w:w="1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compensation</w:t>
            </w:r>
          </w:p>
        </w:tc>
        <w:tc>
          <w:tcPr>
            <w:tcW w:w="280" w:type="dxa"/>
            <w:vAlign w:val="bottom"/>
            <w:vMerge w:val="continue"/>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3"/>
            <w:vMerge w:val="continue"/>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vMerge w:val="continue"/>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tcPr>
          <w:p>
            <w:pPr>
              <w:ind w:left="20"/>
              <w:spacing w:after="0"/>
              <w:rPr>
                <w:sz w:val="20"/>
                <w:szCs w:val="20"/>
                <w:color w:val="auto"/>
              </w:rPr>
            </w:pPr>
            <w:r>
              <w:rPr>
                <w:rFonts w:ascii="Arial" w:cs="Arial" w:eastAsia="Arial" w:hAnsi="Arial"/>
                <w:sz w:val="17"/>
                <w:szCs w:val="17"/>
                <w:color w:val="auto"/>
              </w:rPr>
              <w:t>% of net sales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0.5 %</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1.3 %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0.5 %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1.9 %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jc w:val="both"/>
        <w:ind w:firstLine="486"/>
        <w:spacing w:after="0" w:line="311" w:lineRule="auto"/>
        <w:rPr>
          <w:sz w:val="20"/>
          <w:szCs w:val="20"/>
          <w:color w:val="auto"/>
        </w:rPr>
      </w:pPr>
      <w:r>
        <w:rPr>
          <w:rFonts w:ascii="Arial" w:cs="Arial" w:eastAsia="Arial" w:hAnsi="Arial"/>
          <w:sz w:val="16"/>
          <w:szCs w:val="16"/>
          <w:color w:val="auto"/>
        </w:rPr>
        <w:t>The decrease in share-based compensation expenses for the 13 weeks ended July 3, 2021 compared to the same period in fiscal 2020 was primarily driven by $7.6 million in share-based compensation expense related to 1.7 million performance-based stock options that vested in conjunction with the closing of our April 2020 secondary offering, partially offset by an increase in expense related to RSUs and PSUs granted during fiscal 2021 and 2020.</w:t>
      </w:r>
    </w:p>
    <w:p>
      <w:pPr>
        <w:spacing w:after="0" w:line="149" w:lineRule="exact"/>
        <w:rPr>
          <w:sz w:val="20"/>
          <w:szCs w:val="20"/>
          <w:color w:val="auto"/>
        </w:rPr>
      </w:pPr>
    </w:p>
    <w:p>
      <w:pPr>
        <w:jc w:val="both"/>
        <w:ind w:firstLine="486"/>
        <w:spacing w:after="0" w:line="296" w:lineRule="auto"/>
        <w:rPr>
          <w:sz w:val="20"/>
          <w:szCs w:val="20"/>
          <w:color w:val="auto"/>
        </w:rPr>
      </w:pPr>
      <w:r>
        <w:rPr>
          <w:rFonts w:ascii="Arial" w:cs="Arial" w:eastAsia="Arial" w:hAnsi="Arial"/>
          <w:sz w:val="16"/>
          <w:szCs w:val="16"/>
          <w:color w:val="auto"/>
        </w:rPr>
        <w:t>The decrease in share-based compensation expenses for the 26 weeks ended July 3, 2021 compared to the same period in fiscal 2020 was primarily due to $18.5 million in share-based compensation expense we incurred in February 2020 related to 4.1 million performance-based stock options that vested in connection with the closing of our February 2020 secondary offering as well as the above noted $7.6 million in share-based compensation expense for performance-based stock options recognized in the second quarter of fiscal 2020. This decrease was partially offset by an increase in expense related to RSUs and PSUs granted during fiscal 2021 and 2020. See Note 4 to the condensed consolidated financial statements for additional information.</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4" w:right="3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4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13 Weeks Ended</w:t>
            </w: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26 Weeks Ended</w:t>
            </w: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00" w:type="dxa"/>
            <w:vAlign w:val="bottom"/>
            <w:gridSpan w:val="2"/>
          </w:tcPr>
          <w:p>
            <w:pPr>
              <w:ind w:left="180"/>
              <w:spacing w:after="0" w:line="135" w:lineRule="exact"/>
              <w:rPr>
                <w:sz w:val="20"/>
                <w:szCs w:val="20"/>
                <w:color w:val="auto"/>
              </w:rPr>
            </w:pPr>
            <w:r>
              <w:rPr>
                <w:rFonts w:ascii="Arial" w:cs="Arial" w:eastAsia="Arial" w:hAnsi="Arial"/>
                <w:sz w:val="14"/>
                <w:szCs w:val="14"/>
                <w:b w:val="1"/>
                <w:bCs w:val="1"/>
                <w:color w:val="auto"/>
              </w:rPr>
              <w:t>July 3,</w:t>
            </w:r>
          </w:p>
        </w:tc>
        <w:tc>
          <w:tcPr>
            <w:tcW w:w="240" w:type="dxa"/>
            <w:vAlign w:val="bottom"/>
          </w:tcPr>
          <w:p>
            <w:pPr>
              <w:spacing w:after="0"/>
              <w:rPr>
                <w:sz w:val="11"/>
                <w:szCs w:val="11"/>
                <w:color w:val="auto"/>
              </w:rPr>
            </w:pPr>
          </w:p>
        </w:tc>
        <w:tc>
          <w:tcPr>
            <w:tcW w:w="1140" w:type="dxa"/>
            <w:vAlign w:val="bottom"/>
            <w:gridSpan w:val="2"/>
          </w:tcPr>
          <w:p>
            <w:pPr>
              <w:ind w:left="140"/>
              <w:spacing w:after="0" w:line="135" w:lineRule="exact"/>
              <w:rPr>
                <w:sz w:val="20"/>
                <w:szCs w:val="20"/>
                <w:color w:val="auto"/>
              </w:rPr>
            </w:pPr>
            <w:r>
              <w:rPr>
                <w:rFonts w:ascii="Arial" w:cs="Arial" w:eastAsia="Arial" w:hAnsi="Arial"/>
                <w:sz w:val="14"/>
                <w:szCs w:val="14"/>
                <w:b w:val="1"/>
                <w:bCs w:val="1"/>
                <w:color w:val="auto"/>
              </w:rPr>
              <w:t>June 27,</w:t>
            </w:r>
          </w:p>
        </w:tc>
        <w:tc>
          <w:tcPr>
            <w:tcW w:w="180" w:type="dxa"/>
            <w:vAlign w:val="bottom"/>
          </w:tcPr>
          <w:p>
            <w:pPr>
              <w:spacing w:after="0"/>
              <w:rPr>
                <w:sz w:val="11"/>
                <w:szCs w:val="11"/>
                <w:color w:val="auto"/>
              </w:rPr>
            </w:pPr>
          </w:p>
        </w:tc>
        <w:tc>
          <w:tcPr>
            <w:tcW w:w="8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Change</w:t>
            </w:r>
          </w:p>
        </w:tc>
        <w:tc>
          <w:tcPr>
            <w:tcW w:w="1380" w:type="dxa"/>
            <w:vAlign w:val="bottom"/>
            <w:gridSpan w:val="3"/>
            <w:vMerge w:val="restart"/>
          </w:tcPr>
          <w:p>
            <w:pPr>
              <w:jc w:val="right"/>
              <w:ind w:right="475"/>
              <w:spacing w:after="0"/>
              <w:rPr>
                <w:sz w:val="20"/>
                <w:szCs w:val="20"/>
                <w:color w:val="auto"/>
              </w:rPr>
            </w:pPr>
            <w:r>
              <w:rPr>
                <w:rFonts w:ascii="Arial" w:cs="Arial" w:eastAsia="Arial" w:hAnsi="Arial"/>
                <w:sz w:val="14"/>
                <w:szCs w:val="14"/>
                <w:b w:val="1"/>
                <w:bCs w:val="1"/>
                <w:color w:val="auto"/>
              </w:rPr>
              <w:t>% Change</w:t>
            </w:r>
          </w:p>
        </w:tc>
        <w:tc>
          <w:tcPr>
            <w:tcW w:w="1100" w:type="dxa"/>
            <w:vAlign w:val="bottom"/>
            <w:gridSpan w:val="2"/>
          </w:tcPr>
          <w:p>
            <w:pPr>
              <w:ind w:left="160"/>
              <w:spacing w:after="0" w:line="135" w:lineRule="exact"/>
              <w:rPr>
                <w:sz w:val="20"/>
                <w:szCs w:val="20"/>
                <w:color w:val="auto"/>
              </w:rPr>
            </w:pPr>
            <w:r>
              <w:rPr>
                <w:rFonts w:ascii="Arial" w:cs="Arial" w:eastAsia="Arial" w:hAnsi="Arial"/>
                <w:sz w:val="14"/>
                <w:szCs w:val="14"/>
                <w:b w:val="1"/>
                <w:bCs w:val="1"/>
                <w:color w:val="auto"/>
              </w:rPr>
              <w:t>July 3,</w:t>
            </w:r>
          </w:p>
        </w:tc>
        <w:tc>
          <w:tcPr>
            <w:tcW w:w="240" w:type="dxa"/>
            <w:vAlign w:val="bottom"/>
          </w:tcPr>
          <w:p>
            <w:pPr>
              <w:spacing w:after="0"/>
              <w:rPr>
                <w:sz w:val="11"/>
                <w:szCs w:val="11"/>
                <w:color w:val="auto"/>
              </w:rPr>
            </w:pPr>
          </w:p>
        </w:tc>
        <w:tc>
          <w:tcPr>
            <w:tcW w:w="1160" w:type="dxa"/>
            <w:vAlign w:val="bottom"/>
            <w:gridSpan w:val="2"/>
          </w:tcPr>
          <w:p>
            <w:pPr>
              <w:ind w:left="160"/>
              <w:spacing w:after="0" w:line="135" w:lineRule="exact"/>
              <w:rPr>
                <w:sz w:val="20"/>
                <w:szCs w:val="20"/>
                <w:color w:val="auto"/>
              </w:rPr>
            </w:pPr>
            <w:r>
              <w:rPr>
                <w:rFonts w:ascii="Arial" w:cs="Arial" w:eastAsia="Arial" w:hAnsi="Arial"/>
                <w:sz w:val="14"/>
                <w:szCs w:val="14"/>
                <w:b w:val="1"/>
                <w:bCs w:val="1"/>
                <w:color w:val="auto"/>
              </w:rPr>
              <w:t>June 27,</w:t>
            </w:r>
          </w:p>
        </w:tc>
        <w:tc>
          <w:tcPr>
            <w:tcW w:w="180" w:type="dxa"/>
            <w:vAlign w:val="bottom"/>
          </w:tcPr>
          <w:p>
            <w:pPr>
              <w:spacing w:after="0"/>
              <w:rPr>
                <w:sz w:val="11"/>
                <w:szCs w:val="11"/>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Change</w:t>
            </w:r>
          </w:p>
        </w:tc>
        <w:tc>
          <w:tcPr>
            <w:tcW w:w="1020" w:type="dxa"/>
            <w:vAlign w:val="bottom"/>
            <w:vMerge w:val="restart"/>
          </w:tcPr>
          <w:p>
            <w:pPr>
              <w:jc w:val="right"/>
              <w:ind w:right="101"/>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8"/>
        </w:trPr>
        <w:tc>
          <w:tcPr>
            <w:tcW w:w="1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right"/>
              <w:ind w:right="40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jc w:val="right"/>
              <w:ind w:right="42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380" w:type="dxa"/>
            <w:vAlign w:val="bottom"/>
            <w:gridSpan w:val="3"/>
            <w:vMerge w:val="continue"/>
          </w:tcPr>
          <w:p>
            <w:pPr>
              <w:spacing w:after="0"/>
              <w:rPr>
                <w:sz w:val="16"/>
                <w:szCs w:val="16"/>
                <w:color w:val="auto"/>
              </w:rPr>
            </w:pPr>
          </w:p>
        </w:tc>
        <w:tc>
          <w:tcPr>
            <w:tcW w:w="1000" w:type="dxa"/>
            <w:vAlign w:val="bottom"/>
          </w:tcPr>
          <w:p>
            <w:pPr>
              <w:jc w:val="right"/>
              <w:ind w:right="42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jc w:val="right"/>
              <w:ind w:right="42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1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w w:val="90"/>
              </w:rPr>
              <w:t>Interest expense, net</w:t>
            </w:r>
          </w:p>
        </w:tc>
        <w:tc>
          <w:tcPr>
            <w:tcW w:w="260" w:type="dxa"/>
            <w:vAlign w:val="bottom"/>
            <w:tcBorders>
              <w:top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w w:val="84"/>
              </w:rPr>
              <w:t>$</w:t>
            </w:r>
          </w:p>
        </w:tc>
        <w:tc>
          <w:tcPr>
            <w:tcW w:w="1000" w:type="dxa"/>
            <w:vAlign w:val="bottom"/>
            <w:tcBorders>
              <w:top w:val="single" w:sz="8" w:color="auto"/>
            </w:tcBorders>
            <w:shd w:val="clear" w:color="auto" w:fill="CCEEFF"/>
          </w:tcPr>
          <w:p>
            <w:pPr>
              <w:jc w:val="right"/>
              <w:ind w:right="121"/>
              <w:spacing w:after="0"/>
              <w:rPr>
                <w:sz w:val="20"/>
                <w:szCs w:val="20"/>
                <w:color w:val="auto"/>
              </w:rPr>
            </w:pPr>
            <w:r>
              <w:rPr>
                <w:rFonts w:ascii="Arial" w:cs="Arial" w:eastAsia="Arial" w:hAnsi="Arial"/>
                <w:sz w:val="17"/>
                <w:szCs w:val="17"/>
                <w:color w:val="auto"/>
              </w:rPr>
              <w:t>3,922</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w w:val="84"/>
              </w:rPr>
              <w:t>$</w:t>
            </w:r>
          </w:p>
        </w:tc>
        <w:tc>
          <w:tcPr>
            <w:tcW w:w="1040" w:type="dxa"/>
            <w:vAlign w:val="bottom"/>
            <w:tcBorders>
              <w:top w:val="single" w:sz="8" w:color="auto"/>
            </w:tcBorders>
            <w:shd w:val="clear" w:color="auto" w:fill="CCEEFF"/>
          </w:tcPr>
          <w:p>
            <w:pPr>
              <w:jc w:val="right"/>
              <w:ind w:right="123"/>
              <w:spacing w:after="0"/>
              <w:rPr>
                <w:sz w:val="20"/>
                <w:szCs w:val="20"/>
                <w:color w:val="auto"/>
              </w:rPr>
            </w:pPr>
            <w:r>
              <w:rPr>
                <w:rFonts w:ascii="Arial" w:cs="Arial" w:eastAsia="Arial" w:hAnsi="Arial"/>
                <w:sz w:val="17"/>
                <w:szCs w:val="17"/>
                <w:color w:val="auto"/>
              </w:rPr>
              <w:t>5,270</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(1,348)</w:t>
            </w:r>
          </w:p>
        </w:tc>
        <w:tc>
          <w:tcPr>
            <w:tcW w:w="1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(25.6)%</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w w:val="84"/>
              </w:rPr>
              <w:t>$</w:t>
            </w:r>
          </w:p>
        </w:tc>
        <w:tc>
          <w:tcPr>
            <w:tcW w:w="1000" w:type="dxa"/>
            <w:vAlign w:val="bottom"/>
            <w:tcBorders>
              <w:top w:val="single" w:sz="8" w:color="auto"/>
            </w:tcBorders>
            <w:shd w:val="clear" w:color="auto" w:fill="CCEEFF"/>
          </w:tcPr>
          <w:p>
            <w:pPr>
              <w:jc w:val="right"/>
              <w:ind w:right="121"/>
              <w:spacing w:after="0"/>
              <w:rPr>
                <w:sz w:val="20"/>
                <w:szCs w:val="20"/>
                <w:color w:val="auto"/>
              </w:rPr>
            </w:pPr>
            <w:r>
              <w:rPr>
                <w:rFonts w:ascii="Arial" w:cs="Arial" w:eastAsia="Arial" w:hAnsi="Arial"/>
                <w:sz w:val="17"/>
                <w:szCs w:val="17"/>
                <w:color w:val="auto"/>
              </w:rPr>
              <w:t>7,828</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w w:val="84"/>
              </w:rPr>
              <w:t>$</w:t>
            </w:r>
          </w:p>
        </w:tc>
        <w:tc>
          <w:tcPr>
            <w:tcW w:w="1060" w:type="dxa"/>
            <w:vAlign w:val="bottom"/>
            <w:tcBorders>
              <w:top w:val="single" w:sz="8" w:color="auto"/>
            </w:tcBorders>
            <w:shd w:val="clear" w:color="auto" w:fill="CCEEFF"/>
          </w:tcPr>
          <w:p>
            <w:pPr>
              <w:jc w:val="right"/>
              <w:ind w:right="123"/>
              <w:spacing w:after="0"/>
              <w:rPr>
                <w:sz w:val="20"/>
                <w:szCs w:val="20"/>
                <w:color w:val="auto"/>
              </w:rPr>
            </w:pPr>
            <w:r>
              <w:rPr>
                <w:rFonts w:ascii="Arial" w:cs="Arial" w:eastAsia="Arial" w:hAnsi="Arial"/>
                <w:sz w:val="17"/>
                <w:szCs w:val="17"/>
                <w:color w:val="auto"/>
              </w:rPr>
              <w:t>11,104</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(3,276)</w:t>
            </w:r>
          </w:p>
        </w:tc>
        <w:tc>
          <w:tcPr>
            <w:tcW w:w="1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(29.5)%</w:t>
            </w:r>
          </w:p>
        </w:tc>
        <w:tc>
          <w:tcPr>
            <w:tcW w:w="0" w:type="dxa"/>
            <w:vAlign w:val="bottom"/>
          </w:tcPr>
          <w:p>
            <w:pPr>
              <w:spacing w:after="0"/>
              <w:rPr>
                <w:sz w:val="1"/>
                <w:szCs w:val="1"/>
                <w:color w:val="auto"/>
              </w:rPr>
            </w:pPr>
          </w:p>
        </w:tc>
      </w:tr>
      <w:tr>
        <w:trPr>
          <w:trHeight w:val="216"/>
        </w:trPr>
        <w:tc>
          <w:tcPr>
            <w:tcW w:w="1740" w:type="dxa"/>
            <w:vAlign w:val="bottom"/>
            <w:gridSpan w:val="2"/>
          </w:tcPr>
          <w:p>
            <w:pPr>
              <w:ind w:left="20"/>
              <w:spacing w:after="0"/>
              <w:rPr>
                <w:sz w:val="20"/>
                <w:szCs w:val="20"/>
                <w:color w:val="auto"/>
              </w:rPr>
            </w:pPr>
            <w:r>
              <w:rPr>
                <w:rFonts w:ascii="Arial" w:cs="Arial" w:eastAsia="Arial" w:hAnsi="Arial"/>
                <w:sz w:val="17"/>
                <w:szCs w:val="17"/>
                <w:color w:val="auto"/>
              </w:rPr>
              <w:t>% of net sales</w:t>
            </w:r>
          </w:p>
        </w:tc>
        <w:tc>
          <w:tcPr>
            <w:tcW w:w="1000" w:type="dxa"/>
            <w:vAlign w:val="bottom"/>
          </w:tcPr>
          <w:p>
            <w:pPr>
              <w:jc w:val="right"/>
              <w:spacing w:after="0"/>
              <w:rPr>
                <w:sz w:val="20"/>
                <w:szCs w:val="20"/>
                <w:color w:val="auto"/>
              </w:rPr>
            </w:pPr>
            <w:r>
              <w:rPr>
                <w:rFonts w:ascii="Arial" w:cs="Arial" w:eastAsia="Arial" w:hAnsi="Arial"/>
                <w:sz w:val="17"/>
                <w:szCs w:val="17"/>
                <w:color w:val="auto"/>
              </w:rPr>
              <w:t>0.5 %</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0.7 %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0.5 %</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0.7 %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jc w:val="both"/>
        <w:ind w:firstLine="486"/>
        <w:spacing w:after="0" w:line="301" w:lineRule="auto"/>
        <w:rPr>
          <w:sz w:val="20"/>
          <w:szCs w:val="20"/>
          <w:color w:val="auto"/>
        </w:rPr>
      </w:pPr>
      <w:r>
        <w:rPr>
          <w:rFonts w:ascii="Arial" w:cs="Arial" w:eastAsia="Arial" w:hAnsi="Arial"/>
          <w:sz w:val="16"/>
          <w:szCs w:val="16"/>
          <w:color w:val="auto"/>
        </w:rPr>
        <w:t>The decrease in net interest expense for the 13 and 26 weeks ended July 3, 2021 compared to the same periods in fiscal 2020 was primarily driven by lower interest rates incurred under our First Lien Credit Agreement as a result of decreases in the London Inter-bank Offered Rate. Furthermore, the 13 and 26 weeks ended June 27, 2020 included interest expense from the $90.0 million borrowed under the revolving credit facility of our First Lien Credit Agreement between March and May of 2020. See Note 3 to the condensed consolidated financial statements for additional information.</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on Insurance Recoveries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5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ind w:left="220"/>
              <w:spacing w:after="0"/>
              <w:rPr>
                <w:sz w:val="20"/>
                <w:szCs w:val="20"/>
                <w:color w:val="auto"/>
              </w:rPr>
            </w:pPr>
            <w:r>
              <w:rPr>
                <w:rFonts w:ascii="Arial" w:cs="Arial" w:eastAsia="Arial" w:hAnsi="Arial"/>
                <w:sz w:val="14"/>
                <w:szCs w:val="14"/>
                <w:b w:val="1"/>
                <w:bCs w:val="1"/>
                <w:color w:val="auto"/>
                <w:w w:val="94"/>
              </w:rPr>
              <w:t>13 Weeks Ended</w:t>
            </w: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ind w:left="220"/>
              <w:spacing w:after="0"/>
              <w:rPr>
                <w:sz w:val="20"/>
                <w:szCs w:val="20"/>
                <w:color w:val="auto"/>
              </w:rPr>
            </w:pPr>
            <w:r>
              <w:rPr>
                <w:rFonts w:ascii="Arial" w:cs="Arial" w:eastAsia="Arial" w:hAnsi="Arial"/>
                <w:sz w:val="14"/>
                <w:szCs w:val="14"/>
                <w:b w:val="1"/>
                <w:bCs w:val="1"/>
                <w:color w:val="auto"/>
                <w:w w:val="95"/>
              </w:rPr>
              <w:t>26 Weeks Ended</w:t>
            </w: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40" w:type="dxa"/>
            <w:vAlign w:val="bottom"/>
            <w:gridSpan w:val="2"/>
          </w:tcPr>
          <w:p>
            <w:pPr>
              <w:ind w:left="180"/>
              <w:spacing w:after="0" w:line="135" w:lineRule="exact"/>
              <w:rPr>
                <w:sz w:val="20"/>
                <w:szCs w:val="20"/>
                <w:color w:val="auto"/>
              </w:rPr>
            </w:pPr>
            <w:r>
              <w:rPr>
                <w:rFonts w:ascii="Arial" w:cs="Arial" w:eastAsia="Arial" w:hAnsi="Arial"/>
                <w:sz w:val="14"/>
                <w:szCs w:val="14"/>
                <w:b w:val="1"/>
                <w:bCs w:val="1"/>
                <w:color w:val="auto"/>
              </w:rPr>
              <w:t>July 3,</w:t>
            </w:r>
          </w:p>
        </w:tc>
        <w:tc>
          <w:tcPr>
            <w:tcW w:w="240" w:type="dxa"/>
            <w:vAlign w:val="bottom"/>
          </w:tcPr>
          <w:p>
            <w:pPr>
              <w:spacing w:after="0"/>
              <w:rPr>
                <w:sz w:val="11"/>
                <w:szCs w:val="11"/>
                <w:color w:val="auto"/>
              </w:rPr>
            </w:pPr>
          </w:p>
        </w:tc>
        <w:tc>
          <w:tcPr>
            <w:tcW w:w="114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w w:val="92"/>
              </w:rPr>
              <w:t>June 27,</w:t>
            </w:r>
          </w:p>
        </w:tc>
        <w:tc>
          <w:tcPr>
            <w:tcW w:w="140" w:type="dxa"/>
            <w:vAlign w:val="bottom"/>
          </w:tcPr>
          <w:p>
            <w:pPr>
              <w:spacing w:after="0"/>
              <w:rPr>
                <w:sz w:val="11"/>
                <w:szCs w:val="11"/>
                <w:color w:val="auto"/>
              </w:rPr>
            </w:pPr>
          </w:p>
        </w:tc>
        <w:tc>
          <w:tcPr>
            <w:tcW w:w="820" w:type="dxa"/>
            <w:vAlign w:val="bottom"/>
            <w:vMerge w:val="restart"/>
          </w:tcPr>
          <w:p>
            <w:pPr>
              <w:jc w:val="right"/>
              <w:ind w:right="101"/>
              <w:spacing w:after="0"/>
              <w:rPr>
                <w:sz w:val="20"/>
                <w:szCs w:val="20"/>
                <w:color w:val="auto"/>
              </w:rPr>
            </w:pPr>
            <w:r>
              <w:rPr>
                <w:rFonts w:ascii="Arial" w:cs="Arial" w:eastAsia="Arial" w:hAnsi="Arial"/>
                <w:sz w:val="14"/>
                <w:szCs w:val="14"/>
                <w:b w:val="1"/>
                <w:bCs w:val="1"/>
                <w:color w:val="auto"/>
                <w:w w:val="98"/>
              </w:rPr>
              <w:t>$ Change</w:t>
            </w:r>
          </w:p>
        </w:tc>
        <w:tc>
          <w:tcPr>
            <w:tcW w:w="100" w:type="dxa"/>
            <w:vAlign w:val="bottom"/>
            <w:vMerge w:val="restart"/>
          </w:tcPr>
          <w:p>
            <w:pPr>
              <w:spacing w:after="0"/>
              <w:rPr>
                <w:sz w:val="11"/>
                <w:szCs w:val="11"/>
                <w:color w:val="auto"/>
              </w:rPr>
            </w:pPr>
          </w:p>
        </w:tc>
        <w:tc>
          <w:tcPr>
            <w:tcW w:w="90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 Change</w:t>
            </w:r>
          </w:p>
        </w:tc>
        <w:tc>
          <w:tcPr>
            <w:tcW w:w="100" w:type="dxa"/>
            <w:vAlign w:val="bottom"/>
            <w:vMerge w:val="restart"/>
          </w:tcPr>
          <w:p>
            <w:pPr>
              <w:spacing w:after="0"/>
              <w:rPr>
                <w:sz w:val="11"/>
                <w:szCs w:val="11"/>
                <w:color w:val="auto"/>
              </w:rPr>
            </w:pPr>
          </w:p>
        </w:tc>
        <w:tc>
          <w:tcPr>
            <w:tcW w:w="280" w:type="dxa"/>
            <w:vAlign w:val="bottom"/>
            <w:vMerge w:val="restart"/>
          </w:tcPr>
          <w:p>
            <w:pPr>
              <w:spacing w:after="0"/>
              <w:rPr>
                <w:sz w:val="11"/>
                <w:szCs w:val="11"/>
                <w:color w:val="auto"/>
              </w:rPr>
            </w:pPr>
          </w:p>
        </w:tc>
        <w:tc>
          <w:tcPr>
            <w:tcW w:w="1160" w:type="dxa"/>
            <w:vAlign w:val="bottom"/>
            <w:gridSpan w:val="2"/>
          </w:tcPr>
          <w:p>
            <w:pPr>
              <w:ind w:left="180"/>
              <w:spacing w:after="0" w:line="135" w:lineRule="exact"/>
              <w:rPr>
                <w:sz w:val="20"/>
                <w:szCs w:val="20"/>
                <w:color w:val="auto"/>
              </w:rPr>
            </w:pPr>
            <w:r>
              <w:rPr>
                <w:rFonts w:ascii="Arial" w:cs="Arial" w:eastAsia="Arial" w:hAnsi="Arial"/>
                <w:sz w:val="14"/>
                <w:szCs w:val="14"/>
                <w:b w:val="1"/>
                <w:bCs w:val="1"/>
                <w:color w:val="auto"/>
              </w:rPr>
              <w:t>July 3,</w:t>
            </w:r>
          </w:p>
        </w:tc>
        <w:tc>
          <w:tcPr>
            <w:tcW w:w="240" w:type="dxa"/>
            <w:vAlign w:val="bottom"/>
          </w:tcPr>
          <w:p>
            <w:pPr>
              <w:spacing w:after="0"/>
              <w:rPr>
                <w:sz w:val="11"/>
                <w:szCs w:val="11"/>
                <w:color w:val="auto"/>
              </w:rPr>
            </w:pPr>
          </w:p>
        </w:tc>
        <w:tc>
          <w:tcPr>
            <w:tcW w:w="114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w w:val="92"/>
              </w:rPr>
              <w:t>June 27,</w:t>
            </w:r>
          </w:p>
        </w:tc>
        <w:tc>
          <w:tcPr>
            <w:tcW w:w="160" w:type="dxa"/>
            <w:vAlign w:val="bottom"/>
          </w:tcPr>
          <w:p>
            <w:pPr>
              <w:spacing w:after="0"/>
              <w:rPr>
                <w:sz w:val="11"/>
                <w:szCs w:val="11"/>
                <w:color w:val="auto"/>
              </w:rPr>
            </w:pPr>
          </w:p>
        </w:tc>
        <w:tc>
          <w:tcPr>
            <w:tcW w:w="820" w:type="dxa"/>
            <w:vAlign w:val="bottom"/>
            <w:vMerge w:val="restart"/>
          </w:tcPr>
          <w:p>
            <w:pPr>
              <w:jc w:val="right"/>
              <w:ind w:right="121"/>
              <w:spacing w:after="0"/>
              <w:rPr>
                <w:sz w:val="20"/>
                <w:szCs w:val="20"/>
                <w:color w:val="auto"/>
              </w:rPr>
            </w:pPr>
            <w:r>
              <w:rPr>
                <w:rFonts w:ascii="Arial" w:cs="Arial" w:eastAsia="Arial" w:hAnsi="Arial"/>
                <w:sz w:val="14"/>
                <w:szCs w:val="14"/>
                <w:b w:val="1"/>
                <w:bCs w:val="1"/>
                <w:color w:val="auto"/>
                <w:w w:val="95"/>
              </w:rPr>
              <w:t>$ Change</w:t>
            </w:r>
          </w:p>
        </w:tc>
        <w:tc>
          <w:tcPr>
            <w:tcW w:w="100" w:type="dxa"/>
            <w:vAlign w:val="bottom"/>
            <w:vMerge w:val="restart"/>
          </w:tcPr>
          <w:p>
            <w:pPr>
              <w:spacing w:after="0"/>
              <w:rPr>
                <w:sz w:val="11"/>
                <w:szCs w:val="11"/>
                <w:color w:val="auto"/>
              </w:rPr>
            </w:pPr>
          </w:p>
        </w:tc>
        <w:tc>
          <w:tcPr>
            <w:tcW w:w="92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8"/>
        </w:trPr>
        <w:tc>
          <w:tcPr>
            <w:tcW w:w="15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2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vMerge w:val="continue"/>
          </w:tcPr>
          <w:p>
            <w:pPr>
              <w:spacing w:after="0"/>
              <w:rPr>
                <w:sz w:val="16"/>
                <w:szCs w:val="16"/>
                <w:color w:val="auto"/>
              </w:rPr>
            </w:pPr>
          </w:p>
        </w:tc>
        <w:tc>
          <w:tcPr>
            <w:tcW w:w="106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2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1560" w:type="dxa"/>
            <w:vAlign w:val="bottom"/>
            <w:shd w:val="clear" w:color="auto" w:fill="CCEEFF"/>
          </w:tcPr>
          <w:p>
            <w:pPr>
              <w:ind w:left="20"/>
              <w:spacing w:after="0" w:line="144" w:lineRule="exact"/>
              <w:rPr>
                <w:sz w:val="20"/>
                <w:szCs w:val="20"/>
                <w:color w:val="auto"/>
              </w:rPr>
            </w:pPr>
            <w:r>
              <w:rPr>
                <w:rFonts w:ascii="Arial" w:cs="Arial" w:eastAsia="Arial" w:hAnsi="Arial"/>
                <w:sz w:val="16"/>
                <w:szCs w:val="16"/>
                <w:color w:val="auto"/>
              </w:rPr>
              <w:t>Gain on insurance</w:t>
            </w:r>
          </w:p>
        </w:tc>
        <w:tc>
          <w:tcPr>
            <w:tcW w:w="280" w:type="dxa"/>
            <w:vAlign w:val="bottom"/>
            <w:vMerge w:val="restart"/>
            <w:shd w:val="clear" w:color="auto" w:fill="CCEEFF"/>
          </w:tcPr>
          <w:p>
            <w:pPr>
              <w:jc w:val="right"/>
              <w:ind w:right="95"/>
              <w:spacing w:after="0"/>
              <w:rPr>
                <w:sz w:val="20"/>
                <w:szCs w:val="20"/>
                <w:color w:val="auto"/>
              </w:rPr>
            </w:pPr>
            <w:r>
              <w:rPr>
                <w:rFonts w:ascii="Arial" w:cs="Arial" w:eastAsia="Arial" w:hAnsi="Arial"/>
                <w:sz w:val="17"/>
                <w:szCs w:val="17"/>
                <w:color w:val="auto"/>
                <w:w w:val="84"/>
              </w:rPr>
              <w:t>$</w:t>
            </w:r>
          </w:p>
        </w:tc>
        <w:tc>
          <w:tcPr>
            <w:tcW w:w="1040" w:type="dxa"/>
            <w:vAlign w:val="bottom"/>
            <w:vMerge w:val="restart"/>
            <w:shd w:val="clear" w:color="auto" w:fill="CCEEFF"/>
          </w:tcPr>
          <w:p>
            <w:pPr>
              <w:jc w:val="right"/>
              <w:ind w:right="81"/>
              <w:spacing w:after="0"/>
              <w:rPr>
                <w:sz w:val="20"/>
                <w:szCs w:val="20"/>
                <w:color w:val="auto"/>
              </w:rPr>
            </w:pPr>
            <w:r>
              <w:rPr>
                <w:rFonts w:ascii="Arial" w:cs="Arial" w:eastAsia="Arial" w:hAnsi="Arial"/>
                <w:sz w:val="17"/>
                <w:szCs w:val="17"/>
                <w:color w:val="auto"/>
              </w:rPr>
              <w:t>(3,970)</w:t>
            </w:r>
          </w:p>
        </w:tc>
        <w:tc>
          <w:tcPr>
            <w:tcW w:w="100" w:type="dxa"/>
            <w:vAlign w:val="bottom"/>
            <w:shd w:val="clear" w:color="auto" w:fill="CCEEFF"/>
          </w:tcPr>
          <w:p>
            <w:pPr>
              <w:spacing w:after="0"/>
              <w:rPr>
                <w:sz w:val="12"/>
                <w:szCs w:val="12"/>
                <w:color w:val="auto"/>
              </w:rPr>
            </w:pPr>
          </w:p>
        </w:tc>
        <w:tc>
          <w:tcPr>
            <w:tcW w:w="240" w:type="dxa"/>
            <w:vAlign w:val="bottom"/>
            <w:vMerge w:val="restart"/>
            <w:shd w:val="clear" w:color="auto" w:fill="CCEEFF"/>
          </w:tcPr>
          <w:p>
            <w:pPr>
              <w:jc w:val="right"/>
              <w:ind w:right="55"/>
              <w:spacing w:after="0"/>
              <w:rPr>
                <w:sz w:val="20"/>
                <w:szCs w:val="20"/>
                <w:color w:val="auto"/>
              </w:rPr>
            </w:pPr>
            <w:r>
              <w:rPr>
                <w:rFonts w:ascii="Arial" w:cs="Arial" w:eastAsia="Arial" w:hAnsi="Arial"/>
                <w:sz w:val="17"/>
                <w:szCs w:val="17"/>
                <w:color w:val="auto"/>
                <w:w w:val="84"/>
              </w:rPr>
              <w:t>$</w:t>
            </w:r>
          </w:p>
        </w:tc>
        <w:tc>
          <w:tcPr>
            <w:tcW w:w="1140" w:type="dxa"/>
            <w:vAlign w:val="bottom"/>
            <w:gridSpan w:val="2"/>
            <w:vMerge w:val="restart"/>
            <w:shd w:val="clear" w:color="auto" w:fill="CCEEFF"/>
          </w:tcPr>
          <w:p>
            <w:pPr>
              <w:ind w:left="660"/>
              <w:spacing w:after="0"/>
              <w:rPr>
                <w:sz w:val="20"/>
                <w:szCs w:val="20"/>
                <w:color w:val="auto"/>
              </w:rPr>
            </w:pPr>
            <w:r>
              <w:rPr>
                <w:rFonts w:ascii="Arial" w:cs="Arial" w:eastAsia="Arial" w:hAnsi="Arial"/>
                <w:sz w:val="17"/>
                <w:szCs w:val="17"/>
                <w:color w:val="auto"/>
              </w:rPr>
              <w:t>—</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(3,970)</w:t>
            </w:r>
          </w:p>
        </w:tc>
        <w:tc>
          <w:tcPr>
            <w:tcW w:w="100" w:type="dxa"/>
            <w:vAlign w:val="bottom"/>
            <w:shd w:val="clear" w:color="auto" w:fill="CCEEFF"/>
          </w:tcPr>
          <w:p>
            <w:pPr>
              <w:spacing w:after="0"/>
              <w:rPr>
                <w:sz w:val="12"/>
                <w:szCs w:val="12"/>
                <w:color w:val="auto"/>
              </w:rPr>
            </w:pPr>
          </w:p>
        </w:tc>
        <w:tc>
          <w:tcPr>
            <w:tcW w:w="1280" w:type="dxa"/>
            <w:vAlign w:val="bottom"/>
            <w:gridSpan w:val="3"/>
            <w:vMerge w:val="restart"/>
            <w:shd w:val="clear" w:color="auto" w:fill="CCEEFF"/>
          </w:tcPr>
          <w:p>
            <w:pPr>
              <w:ind w:left="600"/>
              <w:spacing w:after="0"/>
              <w:rPr>
                <w:sz w:val="20"/>
                <w:szCs w:val="20"/>
                <w:color w:val="auto"/>
              </w:rPr>
            </w:pPr>
            <w:r>
              <w:rPr>
                <w:rFonts w:ascii="Arial" w:cs="Arial" w:eastAsia="Arial" w:hAnsi="Arial"/>
                <w:sz w:val="17"/>
                <w:szCs w:val="17"/>
                <w:color w:val="auto"/>
              </w:rPr>
              <w:t>N/A  $</w:t>
            </w:r>
          </w:p>
        </w:tc>
        <w:tc>
          <w:tcPr>
            <w:tcW w:w="1060" w:type="dxa"/>
            <w:vAlign w:val="bottom"/>
            <w:vMerge w:val="restart"/>
            <w:shd w:val="clear" w:color="auto" w:fill="CCEEFF"/>
          </w:tcPr>
          <w:p>
            <w:pPr>
              <w:jc w:val="right"/>
              <w:ind w:right="81"/>
              <w:spacing w:after="0"/>
              <w:rPr>
                <w:sz w:val="20"/>
                <w:szCs w:val="20"/>
                <w:color w:val="auto"/>
              </w:rPr>
            </w:pPr>
            <w:r>
              <w:rPr>
                <w:rFonts w:ascii="Arial" w:cs="Arial" w:eastAsia="Arial" w:hAnsi="Arial"/>
                <w:sz w:val="17"/>
                <w:szCs w:val="17"/>
                <w:color w:val="auto"/>
              </w:rPr>
              <w:t>(3,970)</w:t>
            </w:r>
          </w:p>
        </w:tc>
        <w:tc>
          <w:tcPr>
            <w:tcW w:w="100" w:type="dxa"/>
            <w:vAlign w:val="bottom"/>
            <w:shd w:val="clear" w:color="auto" w:fill="CCEEFF"/>
          </w:tcPr>
          <w:p>
            <w:pPr>
              <w:spacing w:after="0"/>
              <w:rPr>
                <w:sz w:val="12"/>
                <w:szCs w:val="12"/>
                <w:color w:val="auto"/>
              </w:rPr>
            </w:pPr>
          </w:p>
        </w:tc>
        <w:tc>
          <w:tcPr>
            <w:tcW w:w="240" w:type="dxa"/>
            <w:vAlign w:val="bottom"/>
            <w:vMerge w:val="restart"/>
            <w:shd w:val="clear" w:color="auto" w:fill="CCEEFF"/>
          </w:tcPr>
          <w:p>
            <w:pPr>
              <w:jc w:val="right"/>
              <w:ind w:right="55"/>
              <w:spacing w:after="0"/>
              <w:rPr>
                <w:sz w:val="20"/>
                <w:szCs w:val="20"/>
                <w:color w:val="auto"/>
              </w:rPr>
            </w:pPr>
            <w:r>
              <w:rPr>
                <w:rFonts w:ascii="Arial" w:cs="Arial" w:eastAsia="Arial" w:hAnsi="Arial"/>
                <w:sz w:val="17"/>
                <w:szCs w:val="17"/>
                <w:color w:val="auto"/>
                <w:w w:val="84"/>
              </w:rPr>
              <w:t>$</w:t>
            </w:r>
          </w:p>
        </w:tc>
        <w:tc>
          <w:tcPr>
            <w:tcW w:w="1140" w:type="dxa"/>
            <w:vAlign w:val="bottom"/>
            <w:gridSpan w:val="2"/>
            <w:vMerge w:val="restart"/>
            <w:shd w:val="clear" w:color="auto" w:fill="CCEEFF"/>
          </w:tcPr>
          <w:p>
            <w:pPr>
              <w:ind w:left="680"/>
              <w:spacing w:after="0"/>
              <w:rPr>
                <w:sz w:val="20"/>
                <w:szCs w:val="20"/>
                <w:color w:val="auto"/>
              </w:rPr>
            </w:pPr>
            <w:r>
              <w:rPr>
                <w:rFonts w:ascii="Arial" w:cs="Arial" w:eastAsia="Arial" w:hAnsi="Arial"/>
                <w:sz w:val="17"/>
                <w:szCs w:val="17"/>
                <w:color w:val="auto"/>
              </w:rPr>
              <w:t>—</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(3,970)</w:t>
            </w:r>
          </w:p>
        </w:tc>
        <w:tc>
          <w:tcPr>
            <w:tcW w:w="10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ind w:left="600"/>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recoveries</w:t>
            </w:r>
          </w:p>
        </w:tc>
        <w:tc>
          <w:tcPr>
            <w:tcW w:w="280" w:type="dxa"/>
            <w:vAlign w:val="bottom"/>
            <w:vMerge w:val="continue"/>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1140" w:type="dxa"/>
            <w:vAlign w:val="bottom"/>
            <w:gridSpan w:val="2"/>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3"/>
            <w:vMerge w:val="continue"/>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1140" w:type="dxa"/>
            <w:vAlign w:val="bottom"/>
            <w:gridSpan w:val="2"/>
            <w:vMerge w:val="continue"/>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tcPr>
          <w:p>
            <w:pPr>
              <w:ind w:left="20"/>
              <w:spacing w:after="0"/>
              <w:rPr>
                <w:sz w:val="20"/>
                <w:szCs w:val="20"/>
                <w:color w:val="auto"/>
              </w:rPr>
            </w:pPr>
            <w:r>
              <w:rPr>
                <w:rFonts w:ascii="Arial" w:cs="Arial" w:eastAsia="Arial" w:hAnsi="Arial"/>
                <w:sz w:val="17"/>
                <w:szCs w:val="17"/>
                <w:color w:val="auto"/>
              </w:rPr>
              <w:t>% of net sales</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(0.5)%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ind w:left="660"/>
              <w:spacing w:after="0"/>
              <w:rPr>
                <w:sz w:val="20"/>
                <w:szCs w:val="20"/>
                <w:color w:val="auto"/>
              </w:rPr>
            </w:pPr>
            <w:r>
              <w:rPr>
                <w:rFonts w:ascii="Arial" w:cs="Arial" w:eastAsia="Arial" w:hAnsi="Arial"/>
                <w:sz w:val="17"/>
                <w:szCs w:val="17"/>
                <w:color w:val="auto"/>
              </w:rPr>
              <w:t>— %</w:t>
            </w: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(0.3)%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ind w:left="680"/>
              <w:spacing w:after="0"/>
              <w:rPr>
                <w:sz w:val="20"/>
                <w:szCs w:val="20"/>
                <w:color w:val="auto"/>
              </w:rPr>
            </w:pPr>
            <w:r>
              <w:rPr>
                <w:rFonts w:ascii="Arial" w:cs="Arial" w:eastAsia="Arial" w:hAnsi="Arial"/>
                <w:sz w:val="17"/>
                <w:szCs w:val="17"/>
                <w:color w:val="auto"/>
              </w:rPr>
              <w:t>— %</w:t>
            </w: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82"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During the 13 weeks ended July 3, 2021 we recorded a $4.0 million gain on insurance recoveries related to the loss of our Paradise, California store in 2018 due to a wildfire.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Extinguishment and Modification Costs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5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5"/>
          </w:tcPr>
          <w:p>
            <w:pPr>
              <w:ind w:left="540"/>
              <w:spacing w:after="0"/>
              <w:rPr>
                <w:sz w:val="20"/>
                <w:szCs w:val="20"/>
                <w:color w:val="auto"/>
              </w:rPr>
            </w:pPr>
            <w:r>
              <w:rPr>
                <w:rFonts w:ascii="Arial" w:cs="Arial" w:eastAsia="Arial" w:hAnsi="Arial"/>
                <w:sz w:val="14"/>
                <w:szCs w:val="14"/>
                <w:b w:val="1"/>
                <w:bCs w:val="1"/>
                <w:color w:val="auto"/>
              </w:rPr>
              <w:t>13 Weeks Ended</w:t>
            </w: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26 Weeks Ended</w:t>
            </w: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w w:val="96"/>
              </w:rPr>
              <w:t>July 3,</w:t>
            </w:r>
          </w:p>
        </w:tc>
        <w:tc>
          <w:tcPr>
            <w:tcW w:w="13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2"/>
              </w:rPr>
              <w:t>June 27,</w:t>
            </w:r>
          </w:p>
        </w:tc>
        <w:tc>
          <w:tcPr>
            <w:tcW w:w="140" w:type="dxa"/>
            <w:vAlign w:val="bottom"/>
          </w:tcPr>
          <w:p>
            <w:pPr>
              <w:spacing w:after="0"/>
              <w:rPr>
                <w:sz w:val="11"/>
                <w:szCs w:val="11"/>
                <w:color w:val="auto"/>
              </w:rPr>
            </w:pPr>
          </w:p>
        </w:tc>
        <w:tc>
          <w:tcPr>
            <w:tcW w:w="9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 Change</w:t>
            </w:r>
          </w:p>
        </w:tc>
        <w:tc>
          <w:tcPr>
            <w:tcW w:w="1400" w:type="dxa"/>
            <w:vAlign w:val="bottom"/>
            <w:gridSpan w:val="3"/>
            <w:vMerge w:val="restart"/>
          </w:tcPr>
          <w:p>
            <w:pPr>
              <w:ind w:left="200"/>
              <w:spacing w:after="0"/>
              <w:rPr>
                <w:sz w:val="20"/>
                <w:szCs w:val="20"/>
                <w:color w:val="auto"/>
              </w:rPr>
            </w:pPr>
            <w:r>
              <w:rPr>
                <w:rFonts w:ascii="Arial" w:cs="Arial" w:eastAsia="Arial" w:hAnsi="Arial"/>
                <w:sz w:val="14"/>
                <w:szCs w:val="14"/>
                <w:b w:val="1"/>
                <w:bCs w:val="1"/>
                <w:color w:val="auto"/>
              </w:rPr>
              <w:t>% Change</w:t>
            </w:r>
          </w:p>
        </w:tc>
        <w:tc>
          <w:tcPr>
            <w:tcW w:w="110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w w:val="96"/>
              </w:rPr>
              <w:t>July 3,</w:t>
            </w:r>
          </w:p>
        </w:tc>
        <w:tc>
          <w:tcPr>
            <w:tcW w:w="136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89"/>
              </w:rPr>
              <w:t>June 27,</w:t>
            </w:r>
          </w:p>
        </w:tc>
        <w:tc>
          <w:tcPr>
            <w:tcW w:w="180" w:type="dxa"/>
            <w:vAlign w:val="bottom"/>
          </w:tcPr>
          <w:p>
            <w:pPr>
              <w:spacing w:after="0"/>
              <w:rPr>
                <w:sz w:val="11"/>
                <w:szCs w:val="11"/>
                <w:color w:val="auto"/>
              </w:rPr>
            </w:pPr>
          </w:p>
        </w:tc>
        <w:tc>
          <w:tcPr>
            <w:tcW w:w="8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Change</w:t>
            </w:r>
          </w:p>
        </w:tc>
        <w:tc>
          <w:tcPr>
            <w:tcW w:w="1040" w:type="dxa"/>
            <w:vAlign w:val="bottom"/>
            <w:vMerge w:val="restart"/>
          </w:tcPr>
          <w:p>
            <w:pPr>
              <w:jc w:val="right"/>
              <w:ind w:right="121"/>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8"/>
        </w:trPr>
        <w:tc>
          <w:tcPr>
            <w:tcW w:w="1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jc w:val="right"/>
              <w:ind w:right="38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1240" w:type="dxa"/>
            <w:vAlign w:val="bottom"/>
          </w:tcPr>
          <w:p>
            <w:pPr>
              <w:jc w:val="right"/>
              <w:ind w:right="40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400" w:type="dxa"/>
            <w:vAlign w:val="bottom"/>
            <w:gridSpan w:val="3"/>
            <w:vMerge w:val="continue"/>
          </w:tcPr>
          <w:p>
            <w:pPr>
              <w:spacing w:after="0"/>
              <w:rPr>
                <w:sz w:val="16"/>
                <w:szCs w:val="16"/>
                <w:color w:val="auto"/>
              </w:rPr>
            </w:pPr>
          </w:p>
        </w:tc>
        <w:tc>
          <w:tcPr>
            <w:tcW w:w="1000" w:type="dxa"/>
            <w:vAlign w:val="bottom"/>
          </w:tcPr>
          <w:p>
            <w:pPr>
              <w:jc w:val="right"/>
              <w:ind w:right="40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1260" w:type="dxa"/>
            <w:vAlign w:val="bottom"/>
          </w:tcPr>
          <w:p>
            <w:pPr>
              <w:jc w:val="right"/>
              <w:ind w:right="40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1580" w:type="dxa"/>
            <w:vAlign w:val="bottom"/>
            <w:tcBorders>
              <w:top w:val="single" w:sz="8" w:color="CCEEFF"/>
            </w:tcBorders>
            <w:shd w:val="clear" w:color="auto" w:fill="CCEEFF"/>
          </w:tcPr>
          <w:p>
            <w:pPr>
              <w:ind w:left="20"/>
              <w:spacing w:after="0" w:line="144" w:lineRule="exact"/>
              <w:rPr>
                <w:sz w:val="20"/>
                <w:szCs w:val="20"/>
                <w:color w:val="auto"/>
              </w:rPr>
            </w:pPr>
            <w:r>
              <w:rPr>
                <w:rFonts w:ascii="Arial" w:cs="Arial" w:eastAsia="Arial" w:hAnsi="Arial"/>
                <w:sz w:val="16"/>
                <w:szCs w:val="16"/>
                <w:color w:val="auto"/>
              </w:rPr>
              <w:t>Debt extinguishment</w:t>
            </w:r>
          </w:p>
        </w:tc>
        <w:tc>
          <w:tcPr>
            <w:tcW w:w="26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580" w:type="dxa"/>
            <w:vAlign w:val="bottom"/>
            <w:shd w:val="clear" w:color="auto" w:fill="CCEEFF"/>
          </w:tcPr>
          <w:p>
            <w:pPr>
              <w:ind w:left="20"/>
              <w:spacing w:after="0" w:line="162" w:lineRule="exact"/>
              <w:rPr>
                <w:sz w:val="20"/>
                <w:szCs w:val="20"/>
                <w:color w:val="auto"/>
              </w:rPr>
            </w:pPr>
            <w:r>
              <w:rPr>
                <w:rFonts w:ascii="Arial" w:cs="Arial" w:eastAsia="Arial" w:hAnsi="Arial"/>
                <w:sz w:val="17"/>
                <w:szCs w:val="17"/>
                <w:color w:val="auto"/>
              </w:rPr>
              <w:t>and modification</w:t>
            </w:r>
          </w:p>
        </w:tc>
        <w:tc>
          <w:tcPr>
            <w:tcW w:w="260" w:type="dxa"/>
            <w:vAlign w:val="bottom"/>
            <w:vMerge w:val="restart"/>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1080" w:type="dxa"/>
            <w:vAlign w:val="bottom"/>
            <w:gridSpan w:val="2"/>
            <w:vMerge w:val="restart"/>
            <w:shd w:val="clear" w:color="auto" w:fill="CCEEFF"/>
          </w:tcPr>
          <w:p>
            <w:pPr>
              <w:ind w:left="620"/>
              <w:spacing w:after="0"/>
              <w:rPr>
                <w:sz w:val="20"/>
                <w:szCs w:val="20"/>
                <w:color w:val="auto"/>
              </w:rPr>
            </w:pPr>
            <w:r>
              <w:rPr>
                <w:rFonts w:ascii="Arial" w:cs="Arial" w:eastAsia="Arial" w:hAnsi="Arial"/>
                <w:sz w:val="17"/>
                <w:szCs w:val="17"/>
                <w:color w:val="auto"/>
              </w:rPr>
              <w:t>—</w:t>
            </w:r>
          </w:p>
        </w:tc>
        <w:tc>
          <w:tcPr>
            <w:tcW w:w="1340" w:type="dxa"/>
            <w:vAlign w:val="bottom"/>
            <w:gridSpan w:val="2"/>
            <w:vMerge w:val="restart"/>
            <w:shd w:val="clear" w:color="auto" w:fill="CCEEFF"/>
          </w:tcPr>
          <w:p>
            <w:pPr>
              <w:ind w:left="880"/>
              <w:spacing w:after="0"/>
              <w:rPr>
                <w:sz w:val="20"/>
                <w:szCs w:val="20"/>
                <w:color w:val="auto"/>
              </w:rPr>
            </w:pPr>
            <w:r>
              <w:rPr>
                <w:rFonts w:ascii="Arial" w:cs="Arial" w:eastAsia="Arial" w:hAnsi="Arial"/>
                <w:sz w:val="17"/>
                <w:szCs w:val="17"/>
                <w:color w:val="auto"/>
              </w:rPr>
              <w:t>—</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gridSpan w:val="2"/>
            <w:vMerge w:val="restart"/>
            <w:shd w:val="clear" w:color="auto" w:fill="CCEEFF"/>
          </w:tcPr>
          <w:p>
            <w:pPr>
              <w:ind w:left="560"/>
              <w:spacing w:after="0"/>
              <w:rPr>
                <w:sz w:val="20"/>
                <w:szCs w:val="20"/>
                <w:color w:val="auto"/>
              </w:rPr>
            </w:pPr>
            <w:r>
              <w:rPr>
                <w:rFonts w:ascii="Arial" w:cs="Arial" w:eastAsia="Arial" w:hAnsi="Arial"/>
                <w:sz w:val="17"/>
                <w:szCs w:val="17"/>
                <w:color w:val="auto"/>
              </w:rPr>
              <w:t>—</w:t>
            </w:r>
          </w:p>
        </w:tc>
        <w:tc>
          <w:tcPr>
            <w:tcW w:w="1400" w:type="dxa"/>
            <w:vAlign w:val="bottom"/>
            <w:gridSpan w:val="3"/>
            <w:vMerge w:val="restart"/>
            <w:shd w:val="clear" w:color="auto" w:fill="CCEEFF"/>
          </w:tcPr>
          <w:p>
            <w:pPr>
              <w:ind w:left="660"/>
              <w:spacing w:after="0"/>
              <w:rPr>
                <w:sz w:val="20"/>
                <w:szCs w:val="20"/>
                <w:color w:val="auto"/>
              </w:rPr>
            </w:pPr>
            <w:r>
              <w:rPr>
                <w:rFonts w:ascii="Arial" w:cs="Arial" w:eastAsia="Arial" w:hAnsi="Arial"/>
                <w:sz w:val="17"/>
                <w:szCs w:val="17"/>
                <w:color w:val="auto"/>
              </w:rPr>
              <w:t>— %  $</w:t>
            </w:r>
          </w:p>
        </w:tc>
        <w:tc>
          <w:tcPr>
            <w:tcW w:w="1100" w:type="dxa"/>
            <w:vAlign w:val="bottom"/>
            <w:gridSpan w:val="2"/>
            <w:vMerge w:val="restart"/>
            <w:shd w:val="clear" w:color="auto" w:fill="CCEEFF"/>
          </w:tcPr>
          <w:p>
            <w:pPr>
              <w:ind w:left="620"/>
              <w:spacing w:after="0"/>
              <w:rPr>
                <w:sz w:val="20"/>
                <w:szCs w:val="20"/>
                <w:color w:val="auto"/>
              </w:rPr>
            </w:pPr>
            <w:r>
              <w:rPr>
                <w:rFonts w:ascii="Arial" w:cs="Arial" w:eastAsia="Arial" w:hAnsi="Arial"/>
                <w:sz w:val="17"/>
                <w:szCs w:val="17"/>
                <w:color w:val="auto"/>
              </w:rPr>
              <w:t>—</w:t>
            </w:r>
          </w:p>
        </w:tc>
        <w:tc>
          <w:tcPr>
            <w:tcW w:w="1260" w:type="dxa"/>
            <w:vAlign w:val="bottom"/>
            <w:vMerge w:val="restart"/>
            <w:shd w:val="clear" w:color="auto" w:fill="CCEEFF"/>
          </w:tcPr>
          <w:p>
            <w:pPr>
              <w:jc w:val="right"/>
              <w:ind w:right="123"/>
              <w:spacing w:after="0"/>
              <w:rPr>
                <w:sz w:val="20"/>
                <w:szCs w:val="20"/>
                <w:color w:val="auto"/>
              </w:rPr>
            </w:pPr>
            <w:r>
              <w:rPr>
                <w:rFonts w:ascii="Arial" w:cs="Arial" w:eastAsia="Arial" w:hAnsi="Arial"/>
                <w:sz w:val="17"/>
                <w:szCs w:val="17"/>
                <w:color w:val="auto"/>
              </w:rPr>
              <w:t>198</w:t>
            </w:r>
          </w:p>
        </w:tc>
        <w:tc>
          <w:tcPr>
            <w:tcW w:w="100" w:type="dxa"/>
            <w:vAlign w:val="bottom"/>
            <w:shd w:val="clear" w:color="auto" w:fill="CCEEFF"/>
          </w:tcPr>
          <w:p>
            <w:pPr>
              <w:spacing w:after="0"/>
              <w:rPr>
                <w:sz w:val="14"/>
                <w:szCs w:val="14"/>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(198)</w:t>
            </w:r>
          </w:p>
        </w:tc>
        <w:tc>
          <w:tcPr>
            <w:tcW w:w="10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(100.0)%</w:t>
            </w:r>
          </w:p>
        </w:tc>
        <w:tc>
          <w:tcPr>
            <w:tcW w:w="0" w:type="dxa"/>
            <w:vAlign w:val="bottom"/>
          </w:tcPr>
          <w:p>
            <w:pPr>
              <w:spacing w:after="0"/>
              <w:rPr>
                <w:sz w:val="1"/>
                <w:szCs w:val="1"/>
                <w:color w:val="auto"/>
              </w:rPr>
            </w:pPr>
          </w:p>
        </w:tc>
      </w:tr>
      <w:tr>
        <w:trPr>
          <w:trHeight w:val="216"/>
        </w:trPr>
        <w:tc>
          <w:tcPr>
            <w:tcW w:w="1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costs</w:t>
            </w:r>
          </w:p>
        </w:tc>
        <w:tc>
          <w:tcPr>
            <w:tcW w:w="260" w:type="dxa"/>
            <w:vAlign w:val="bottom"/>
            <w:vMerge w:val="continue"/>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1340" w:type="dxa"/>
            <w:vAlign w:val="bottom"/>
            <w:gridSpan w:val="2"/>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1400" w:type="dxa"/>
            <w:vAlign w:val="bottom"/>
            <w:gridSpan w:val="3"/>
            <w:vMerge w:val="continue"/>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tcPr>
          <w:p>
            <w:pPr>
              <w:ind w:left="20"/>
              <w:spacing w:after="0"/>
              <w:rPr>
                <w:sz w:val="20"/>
                <w:szCs w:val="20"/>
                <w:color w:val="auto"/>
              </w:rPr>
            </w:pPr>
            <w:r>
              <w:rPr>
                <w:rFonts w:ascii="Arial" w:cs="Arial" w:eastAsia="Arial" w:hAnsi="Arial"/>
                <w:sz w:val="17"/>
                <w:szCs w:val="17"/>
                <w:color w:val="auto"/>
              </w:rPr>
              <w:t>% of net sales</w:t>
            </w:r>
          </w:p>
        </w:tc>
        <w:tc>
          <w:tcPr>
            <w:tcW w:w="260" w:type="dxa"/>
            <w:vAlign w:val="bottom"/>
          </w:tcPr>
          <w:p>
            <w:pPr>
              <w:spacing w:after="0"/>
              <w:rPr>
                <w:sz w:val="18"/>
                <w:szCs w:val="18"/>
                <w:color w:val="auto"/>
              </w:rPr>
            </w:pPr>
          </w:p>
        </w:tc>
        <w:tc>
          <w:tcPr>
            <w:tcW w:w="1080" w:type="dxa"/>
            <w:vAlign w:val="bottom"/>
            <w:gridSpan w:val="2"/>
          </w:tcPr>
          <w:p>
            <w:pPr>
              <w:ind w:left="620"/>
              <w:spacing w:after="0"/>
              <w:rPr>
                <w:sz w:val="20"/>
                <w:szCs w:val="20"/>
                <w:color w:val="auto"/>
              </w:rPr>
            </w:pPr>
            <w:r>
              <w:rPr>
                <w:rFonts w:ascii="Arial" w:cs="Arial" w:eastAsia="Arial" w:hAnsi="Arial"/>
                <w:sz w:val="17"/>
                <w:szCs w:val="17"/>
                <w:color w:val="auto"/>
              </w:rPr>
              <w:t>— %</w:t>
            </w:r>
          </w:p>
        </w:tc>
        <w:tc>
          <w:tcPr>
            <w:tcW w:w="1340" w:type="dxa"/>
            <w:vAlign w:val="bottom"/>
            <w:gridSpan w:val="2"/>
          </w:tcPr>
          <w:p>
            <w:pPr>
              <w:ind w:left="880"/>
              <w:spacing w:after="0"/>
              <w:rPr>
                <w:sz w:val="20"/>
                <w:szCs w:val="20"/>
                <w:color w:val="auto"/>
              </w:rPr>
            </w:pPr>
            <w:r>
              <w:rPr>
                <w:rFonts w:ascii="Arial" w:cs="Arial" w:eastAsia="Arial" w:hAnsi="Arial"/>
                <w:sz w:val="17"/>
                <w:szCs w:val="17"/>
                <w:color w:val="auto"/>
              </w:rPr>
              <w:t>— %</w:t>
            </w: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ind w:left="620"/>
              <w:spacing w:after="0"/>
              <w:rPr>
                <w:sz w:val="20"/>
                <w:szCs w:val="20"/>
                <w:color w:val="auto"/>
              </w:rPr>
            </w:pPr>
            <w:r>
              <w:rPr>
                <w:rFonts w:ascii="Arial" w:cs="Arial" w:eastAsia="Arial" w:hAnsi="Arial"/>
                <w:sz w:val="17"/>
                <w:szCs w:val="17"/>
                <w:color w:val="auto"/>
              </w:rPr>
              <w:t>— %</w:t>
            </w:r>
          </w:p>
        </w:tc>
        <w:tc>
          <w:tcPr>
            <w:tcW w:w="1360" w:type="dxa"/>
            <w:vAlign w:val="bottom"/>
            <w:gridSpan w:val="2"/>
          </w:tcPr>
          <w:p>
            <w:pPr>
              <w:ind w:left="900"/>
              <w:spacing w:after="0"/>
              <w:rPr>
                <w:sz w:val="20"/>
                <w:szCs w:val="20"/>
                <w:color w:val="auto"/>
              </w:rPr>
            </w:pPr>
            <w:r>
              <w:rPr>
                <w:rFonts w:ascii="Arial" w:cs="Arial" w:eastAsia="Arial" w:hAnsi="Arial"/>
                <w:sz w:val="17"/>
                <w:szCs w:val="17"/>
                <w:color w:val="auto"/>
              </w:rPr>
              <w:t>— %</w:t>
            </w: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During the 26 weeks ended June 27, 2020 we wrote off approximately $0.1 million of debt issuance costs and incurred $0.1 million of debt modification costs related to the repricing and amendment of our First Lien Credit Agreement. See Note 3 to the condensed consolidated financial statements for additional information.</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 (Benefit)</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5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13 Weeks Ended</w:t>
            </w:r>
          </w:p>
        </w:tc>
        <w:tc>
          <w:tcPr>
            <w:tcW w:w="7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26 Weeks Ended</w:t>
            </w: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00" w:type="dxa"/>
            <w:vAlign w:val="bottom"/>
            <w:gridSpan w:val="2"/>
          </w:tcPr>
          <w:p>
            <w:pPr>
              <w:ind w:left="160"/>
              <w:spacing w:after="0" w:line="135" w:lineRule="exact"/>
              <w:rPr>
                <w:sz w:val="20"/>
                <w:szCs w:val="20"/>
                <w:color w:val="auto"/>
              </w:rPr>
            </w:pPr>
            <w:r>
              <w:rPr>
                <w:rFonts w:ascii="Arial" w:cs="Arial" w:eastAsia="Arial" w:hAnsi="Arial"/>
                <w:sz w:val="14"/>
                <w:szCs w:val="14"/>
                <w:b w:val="1"/>
                <w:bCs w:val="1"/>
                <w:color w:val="auto"/>
              </w:rPr>
              <w:t>July 3,</w:t>
            </w:r>
          </w:p>
        </w:tc>
        <w:tc>
          <w:tcPr>
            <w:tcW w:w="240" w:type="dxa"/>
            <w:vAlign w:val="bottom"/>
          </w:tcPr>
          <w:p>
            <w:pPr>
              <w:spacing w:after="0"/>
              <w:rPr>
                <w:sz w:val="11"/>
                <w:szCs w:val="11"/>
                <w:color w:val="auto"/>
              </w:rPr>
            </w:pPr>
          </w:p>
        </w:tc>
        <w:tc>
          <w:tcPr>
            <w:tcW w:w="1140" w:type="dxa"/>
            <w:vAlign w:val="bottom"/>
            <w:gridSpan w:val="2"/>
          </w:tcPr>
          <w:p>
            <w:pPr>
              <w:ind w:left="140"/>
              <w:spacing w:after="0" w:line="135" w:lineRule="exact"/>
              <w:rPr>
                <w:sz w:val="20"/>
                <w:szCs w:val="20"/>
                <w:color w:val="auto"/>
              </w:rPr>
            </w:pPr>
            <w:r>
              <w:rPr>
                <w:rFonts w:ascii="Arial" w:cs="Arial" w:eastAsia="Arial" w:hAnsi="Arial"/>
                <w:sz w:val="14"/>
                <w:szCs w:val="14"/>
                <w:b w:val="1"/>
                <w:bCs w:val="1"/>
                <w:color w:val="auto"/>
              </w:rPr>
              <w:t>June 27,</w:t>
            </w:r>
          </w:p>
        </w:tc>
        <w:tc>
          <w:tcPr>
            <w:tcW w:w="180" w:type="dxa"/>
            <w:vAlign w:val="bottom"/>
          </w:tcPr>
          <w:p>
            <w:pPr>
              <w:spacing w:after="0"/>
              <w:rPr>
                <w:sz w:val="11"/>
                <w:szCs w:val="11"/>
                <w:color w:val="auto"/>
              </w:rPr>
            </w:pPr>
          </w:p>
        </w:tc>
        <w:tc>
          <w:tcPr>
            <w:tcW w:w="780" w:type="dxa"/>
            <w:vAlign w:val="bottom"/>
            <w:vMerge w:val="restart"/>
          </w:tcPr>
          <w:p>
            <w:pPr>
              <w:jc w:val="right"/>
              <w:ind w:right="121"/>
              <w:spacing w:after="0"/>
              <w:rPr>
                <w:sz w:val="20"/>
                <w:szCs w:val="20"/>
                <w:color w:val="auto"/>
              </w:rPr>
            </w:pPr>
            <w:r>
              <w:rPr>
                <w:rFonts w:ascii="Arial" w:cs="Arial" w:eastAsia="Arial" w:hAnsi="Arial"/>
                <w:sz w:val="14"/>
                <w:szCs w:val="14"/>
                <w:b w:val="1"/>
                <w:bCs w:val="1"/>
                <w:color w:val="auto"/>
                <w:w w:val="88"/>
              </w:rPr>
              <w:t>$ Change</w:t>
            </w:r>
          </w:p>
        </w:tc>
        <w:tc>
          <w:tcPr>
            <w:tcW w:w="80" w:type="dxa"/>
            <w:vAlign w:val="bottom"/>
            <w:vMerge w:val="restart"/>
          </w:tcPr>
          <w:p>
            <w:pPr>
              <w:spacing w:after="0"/>
              <w:rPr>
                <w:sz w:val="11"/>
                <w:szCs w:val="11"/>
                <w:color w:val="auto"/>
              </w:rPr>
            </w:pPr>
          </w:p>
        </w:tc>
        <w:tc>
          <w:tcPr>
            <w:tcW w:w="102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 Change</w:t>
            </w:r>
          </w:p>
        </w:tc>
        <w:tc>
          <w:tcPr>
            <w:tcW w:w="100" w:type="dxa"/>
            <w:vAlign w:val="bottom"/>
            <w:vMerge w:val="restart"/>
          </w:tcPr>
          <w:p>
            <w:pPr>
              <w:spacing w:after="0"/>
              <w:rPr>
                <w:sz w:val="11"/>
                <w:szCs w:val="11"/>
                <w:color w:val="auto"/>
              </w:rPr>
            </w:pPr>
          </w:p>
        </w:tc>
        <w:tc>
          <w:tcPr>
            <w:tcW w:w="260" w:type="dxa"/>
            <w:vAlign w:val="bottom"/>
            <w:vMerge w:val="restart"/>
          </w:tcPr>
          <w:p>
            <w:pPr>
              <w:spacing w:after="0"/>
              <w:rPr>
                <w:sz w:val="11"/>
                <w:szCs w:val="11"/>
                <w:color w:val="auto"/>
              </w:rPr>
            </w:pPr>
          </w:p>
        </w:tc>
        <w:tc>
          <w:tcPr>
            <w:tcW w:w="1120" w:type="dxa"/>
            <w:vAlign w:val="bottom"/>
            <w:gridSpan w:val="2"/>
          </w:tcPr>
          <w:p>
            <w:pPr>
              <w:ind w:left="180"/>
              <w:spacing w:after="0" w:line="135" w:lineRule="exact"/>
              <w:rPr>
                <w:sz w:val="20"/>
                <w:szCs w:val="20"/>
                <w:color w:val="auto"/>
              </w:rPr>
            </w:pPr>
            <w:r>
              <w:rPr>
                <w:rFonts w:ascii="Arial" w:cs="Arial" w:eastAsia="Arial" w:hAnsi="Arial"/>
                <w:sz w:val="14"/>
                <w:szCs w:val="14"/>
                <w:b w:val="1"/>
                <w:bCs w:val="1"/>
                <w:color w:val="auto"/>
              </w:rPr>
              <w:t>July 3,</w:t>
            </w:r>
          </w:p>
        </w:tc>
        <w:tc>
          <w:tcPr>
            <w:tcW w:w="240" w:type="dxa"/>
            <w:vAlign w:val="bottom"/>
          </w:tcPr>
          <w:p>
            <w:pPr>
              <w:spacing w:after="0"/>
              <w:rPr>
                <w:sz w:val="11"/>
                <w:szCs w:val="11"/>
                <w:color w:val="auto"/>
              </w:rPr>
            </w:pPr>
          </w:p>
        </w:tc>
        <w:tc>
          <w:tcPr>
            <w:tcW w:w="1160" w:type="dxa"/>
            <w:vAlign w:val="bottom"/>
            <w:gridSpan w:val="2"/>
          </w:tcPr>
          <w:p>
            <w:pPr>
              <w:ind w:left="140"/>
              <w:spacing w:after="0" w:line="135" w:lineRule="exact"/>
              <w:rPr>
                <w:sz w:val="20"/>
                <w:szCs w:val="20"/>
                <w:color w:val="auto"/>
              </w:rPr>
            </w:pPr>
            <w:r>
              <w:rPr>
                <w:rFonts w:ascii="Arial" w:cs="Arial" w:eastAsia="Arial" w:hAnsi="Arial"/>
                <w:sz w:val="14"/>
                <w:szCs w:val="14"/>
                <w:b w:val="1"/>
                <w:bCs w:val="1"/>
                <w:color w:val="auto"/>
              </w:rPr>
              <w:t>June 27,</w:t>
            </w:r>
          </w:p>
        </w:tc>
        <w:tc>
          <w:tcPr>
            <w:tcW w:w="160" w:type="dxa"/>
            <w:vAlign w:val="bottom"/>
          </w:tcPr>
          <w:p>
            <w:pPr>
              <w:spacing w:after="0"/>
              <w:rPr>
                <w:sz w:val="11"/>
                <w:szCs w:val="11"/>
                <w:color w:val="auto"/>
              </w:rPr>
            </w:pPr>
          </w:p>
        </w:tc>
        <w:tc>
          <w:tcPr>
            <w:tcW w:w="780" w:type="dxa"/>
            <w:vAlign w:val="bottom"/>
            <w:vMerge w:val="restart"/>
          </w:tcPr>
          <w:p>
            <w:pPr>
              <w:jc w:val="right"/>
              <w:ind w:right="101"/>
              <w:spacing w:after="0"/>
              <w:rPr>
                <w:sz w:val="20"/>
                <w:szCs w:val="20"/>
                <w:color w:val="auto"/>
              </w:rPr>
            </w:pPr>
            <w:r>
              <w:rPr>
                <w:rFonts w:ascii="Arial" w:cs="Arial" w:eastAsia="Arial" w:hAnsi="Arial"/>
                <w:sz w:val="14"/>
                <w:szCs w:val="14"/>
                <w:b w:val="1"/>
                <w:bCs w:val="1"/>
                <w:color w:val="auto"/>
                <w:w w:val="91"/>
              </w:rPr>
              <w:t>$ Change</w:t>
            </w:r>
          </w:p>
        </w:tc>
        <w:tc>
          <w:tcPr>
            <w:tcW w:w="100" w:type="dxa"/>
            <w:vAlign w:val="bottom"/>
            <w:vMerge w:val="restart"/>
          </w:tcPr>
          <w:p>
            <w:pPr>
              <w:spacing w:after="0"/>
              <w:rPr>
                <w:sz w:val="11"/>
                <w:szCs w:val="11"/>
                <w:color w:val="auto"/>
              </w:rPr>
            </w:pPr>
          </w:p>
        </w:tc>
        <w:tc>
          <w:tcPr>
            <w:tcW w:w="1020" w:type="dxa"/>
            <w:vAlign w:val="bottom"/>
            <w:vMerge w:val="restart"/>
          </w:tcPr>
          <w:p>
            <w:pPr>
              <w:jc w:val="right"/>
              <w:ind w:right="101"/>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8"/>
        </w:trPr>
        <w:tc>
          <w:tcPr>
            <w:tcW w:w="15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vMerge w:val="continue"/>
          </w:tcPr>
          <w:p>
            <w:pPr>
              <w:spacing w:after="0"/>
              <w:rPr>
                <w:sz w:val="16"/>
                <w:szCs w:val="16"/>
                <w:color w:val="auto"/>
              </w:rPr>
            </w:pPr>
          </w:p>
        </w:tc>
        <w:tc>
          <w:tcPr>
            <w:tcW w:w="102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1500" w:type="dxa"/>
            <w:vAlign w:val="bottom"/>
            <w:shd w:val="clear" w:color="auto" w:fill="CCEEFF"/>
          </w:tcPr>
          <w:p>
            <w:pPr>
              <w:ind w:left="20"/>
              <w:spacing w:after="0" w:line="144" w:lineRule="exact"/>
              <w:rPr>
                <w:sz w:val="20"/>
                <w:szCs w:val="20"/>
                <w:color w:val="auto"/>
              </w:rPr>
            </w:pPr>
            <w:r>
              <w:rPr>
                <w:rFonts w:ascii="Arial" w:cs="Arial" w:eastAsia="Arial" w:hAnsi="Arial"/>
                <w:sz w:val="16"/>
                <w:szCs w:val="16"/>
                <w:color w:val="auto"/>
              </w:rPr>
              <w:t>Income tax expense</w:t>
            </w:r>
          </w:p>
        </w:tc>
        <w:tc>
          <w:tcPr>
            <w:tcW w:w="260" w:type="dxa"/>
            <w:vAlign w:val="bottom"/>
            <w:vMerge w:val="restart"/>
            <w:shd w:val="clear" w:color="auto" w:fill="CCEEFF"/>
          </w:tcPr>
          <w:p>
            <w:pPr>
              <w:jc w:val="right"/>
              <w:ind w:right="75"/>
              <w:spacing w:after="0"/>
              <w:rPr>
                <w:sz w:val="20"/>
                <w:szCs w:val="20"/>
                <w:color w:val="auto"/>
              </w:rPr>
            </w:pPr>
            <w:r>
              <w:rPr>
                <w:rFonts w:ascii="Arial" w:cs="Arial" w:eastAsia="Arial" w:hAnsi="Arial"/>
                <w:sz w:val="17"/>
                <w:szCs w:val="17"/>
                <w:color w:val="auto"/>
                <w:w w:val="84"/>
              </w:rPr>
              <w:t>$</w:t>
            </w:r>
          </w:p>
        </w:tc>
        <w:tc>
          <w:tcPr>
            <w:tcW w:w="1000" w:type="dxa"/>
            <w:vAlign w:val="bottom"/>
            <w:vMerge w:val="restart"/>
            <w:shd w:val="clear" w:color="auto" w:fill="CCEEFF"/>
          </w:tcPr>
          <w:p>
            <w:pPr>
              <w:jc w:val="right"/>
              <w:ind w:right="120"/>
              <w:spacing w:after="0"/>
              <w:rPr>
                <w:sz w:val="20"/>
                <w:szCs w:val="20"/>
                <w:color w:val="auto"/>
              </w:rPr>
            </w:pPr>
            <w:r>
              <w:rPr>
                <w:rFonts w:ascii="Arial" w:cs="Arial" w:eastAsia="Arial" w:hAnsi="Arial"/>
                <w:sz w:val="17"/>
                <w:szCs w:val="17"/>
                <w:color w:val="auto"/>
              </w:rPr>
              <w:t>4,082</w:t>
            </w:r>
          </w:p>
        </w:tc>
        <w:tc>
          <w:tcPr>
            <w:tcW w:w="100" w:type="dxa"/>
            <w:vAlign w:val="bottom"/>
            <w:shd w:val="clear" w:color="auto" w:fill="CCEEFF"/>
          </w:tcPr>
          <w:p>
            <w:pPr>
              <w:spacing w:after="0"/>
              <w:rPr>
                <w:sz w:val="12"/>
                <w:szCs w:val="12"/>
                <w:color w:val="auto"/>
              </w:rPr>
            </w:pPr>
          </w:p>
        </w:tc>
        <w:tc>
          <w:tcPr>
            <w:tcW w:w="240" w:type="dxa"/>
            <w:vAlign w:val="bottom"/>
            <w:vMerge w:val="restart"/>
            <w:shd w:val="clear" w:color="auto" w:fill="CCEEFF"/>
          </w:tcPr>
          <w:p>
            <w:pPr>
              <w:jc w:val="right"/>
              <w:ind w:right="55"/>
              <w:spacing w:after="0"/>
              <w:rPr>
                <w:sz w:val="20"/>
                <w:szCs w:val="20"/>
                <w:color w:val="auto"/>
              </w:rPr>
            </w:pPr>
            <w:r>
              <w:rPr>
                <w:rFonts w:ascii="Arial" w:cs="Arial" w:eastAsia="Arial" w:hAnsi="Arial"/>
                <w:sz w:val="17"/>
                <w:szCs w:val="17"/>
                <w:color w:val="auto"/>
                <w:w w:val="84"/>
              </w:rPr>
              <w:t>$</w:t>
            </w:r>
          </w:p>
        </w:tc>
        <w:tc>
          <w:tcPr>
            <w:tcW w:w="1060" w:type="dxa"/>
            <w:vAlign w:val="bottom"/>
            <w:vMerge w:val="restart"/>
            <w:shd w:val="clear" w:color="auto" w:fill="CCEEFF"/>
          </w:tcPr>
          <w:p>
            <w:pPr>
              <w:jc w:val="right"/>
              <w:ind w:right="81"/>
              <w:spacing w:after="0"/>
              <w:rPr>
                <w:sz w:val="20"/>
                <w:szCs w:val="20"/>
                <w:color w:val="auto"/>
              </w:rPr>
            </w:pPr>
            <w:r>
              <w:rPr>
                <w:rFonts w:ascii="Arial" w:cs="Arial" w:eastAsia="Arial" w:hAnsi="Arial"/>
                <w:sz w:val="17"/>
                <w:szCs w:val="17"/>
                <w:color w:val="auto"/>
              </w:rPr>
              <w:t>(2,244)</w:t>
            </w:r>
          </w:p>
        </w:tc>
        <w:tc>
          <w:tcPr>
            <w:tcW w:w="8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vMerge w:val="restart"/>
            <w:shd w:val="clear" w:color="auto" w:fill="CCEEFF"/>
          </w:tcPr>
          <w:p>
            <w:pPr>
              <w:jc w:val="right"/>
              <w:ind w:right="1"/>
              <w:spacing w:after="0"/>
              <w:rPr>
                <w:sz w:val="20"/>
                <w:szCs w:val="20"/>
                <w:color w:val="auto"/>
              </w:rPr>
            </w:pPr>
            <w:r>
              <w:rPr>
                <w:rFonts w:ascii="Arial" w:cs="Arial" w:eastAsia="Arial" w:hAnsi="Arial"/>
                <w:sz w:val="17"/>
                <w:szCs w:val="17"/>
                <w:color w:val="auto"/>
              </w:rPr>
              <w:t>6,326</w:t>
            </w:r>
          </w:p>
        </w:tc>
        <w:tc>
          <w:tcPr>
            <w:tcW w:w="80" w:type="dxa"/>
            <w:vAlign w:val="bottom"/>
            <w:shd w:val="clear" w:color="auto" w:fill="CCEEFF"/>
          </w:tcPr>
          <w:p>
            <w:pPr>
              <w:spacing w:after="0"/>
              <w:rPr>
                <w:sz w:val="12"/>
                <w:szCs w:val="12"/>
                <w:color w:val="auto"/>
              </w:rPr>
            </w:pPr>
          </w:p>
        </w:tc>
        <w:tc>
          <w:tcPr>
            <w:tcW w:w="138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7"/>
                <w:szCs w:val="17"/>
                <w:color w:val="auto"/>
              </w:rPr>
              <w:t>281.9 %  $</w:t>
            </w:r>
          </w:p>
        </w:tc>
        <w:tc>
          <w:tcPr>
            <w:tcW w:w="1020" w:type="dxa"/>
            <w:vAlign w:val="bottom"/>
            <w:vMerge w:val="restart"/>
            <w:shd w:val="clear" w:color="auto" w:fill="CCEEFF"/>
          </w:tcPr>
          <w:p>
            <w:pPr>
              <w:jc w:val="right"/>
              <w:ind w:right="120"/>
              <w:spacing w:after="0"/>
              <w:rPr>
                <w:sz w:val="20"/>
                <w:szCs w:val="20"/>
                <w:color w:val="auto"/>
              </w:rPr>
            </w:pPr>
            <w:r>
              <w:rPr>
                <w:rFonts w:ascii="Arial" w:cs="Arial" w:eastAsia="Arial" w:hAnsi="Arial"/>
                <w:sz w:val="17"/>
                <w:szCs w:val="17"/>
                <w:color w:val="auto"/>
              </w:rPr>
              <w:t>5,131</w:t>
            </w:r>
          </w:p>
        </w:tc>
        <w:tc>
          <w:tcPr>
            <w:tcW w:w="100" w:type="dxa"/>
            <w:vAlign w:val="bottom"/>
            <w:shd w:val="clear" w:color="auto" w:fill="CCEEFF"/>
          </w:tcPr>
          <w:p>
            <w:pPr>
              <w:spacing w:after="0"/>
              <w:rPr>
                <w:sz w:val="12"/>
                <w:szCs w:val="12"/>
                <w:color w:val="auto"/>
              </w:rPr>
            </w:pPr>
          </w:p>
        </w:tc>
        <w:tc>
          <w:tcPr>
            <w:tcW w:w="240" w:type="dxa"/>
            <w:vAlign w:val="bottom"/>
            <w:vMerge w:val="restart"/>
            <w:shd w:val="clear" w:color="auto" w:fill="CCEEFF"/>
          </w:tcPr>
          <w:p>
            <w:pPr>
              <w:jc w:val="right"/>
              <w:ind w:right="55"/>
              <w:spacing w:after="0"/>
              <w:rPr>
                <w:sz w:val="20"/>
                <w:szCs w:val="20"/>
                <w:color w:val="auto"/>
              </w:rPr>
            </w:pPr>
            <w:r>
              <w:rPr>
                <w:rFonts w:ascii="Arial" w:cs="Arial" w:eastAsia="Arial" w:hAnsi="Arial"/>
                <w:sz w:val="17"/>
                <w:szCs w:val="17"/>
                <w:color w:val="auto"/>
                <w:w w:val="84"/>
              </w:rPr>
              <w:t>$</w:t>
            </w:r>
          </w:p>
        </w:tc>
        <w:tc>
          <w:tcPr>
            <w:tcW w:w="1060" w:type="dxa"/>
            <w:vAlign w:val="bottom"/>
            <w:vMerge w:val="restart"/>
            <w:shd w:val="clear" w:color="auto" w:fill="CCEEFF"/>
          </w:tcPr>
          <w:p>
            <w:pPr>
              <w:jc w:val="right"/>
              <w:ind w:right="81"/>
              <w:spacing w:after="0"/>
              <w:rPr>
                <w:sz w:val="20"/>
                <w:szCs w:val="20"/>
                <w:color w:val="auto"/>
              </w:rPr>
            </w:pPr>
            <w:r>
              <w:rPr>
                <w:rFonts w:ascii="Arial" w:cs="Arial" w:eastAsia="Arial" w:hAnsi="Arial"/>
                <w:sz w:val="17"/>
                <w:szCs w:val="17"/>
                <w:color w:val="auto"/>
              </w:rPr>
              <w:t>(4,045)</w:t>
            </w:r>
          </w:p>
        </w:tc>
        <w:tc>
          <w:tcPr>
            <w:tcW w:w="10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vMerge w:val="restart"/>
            <w:shd w:val="clear" w:color="auto" w:fill="CCEEFF"/>
          </w:tcPr>
          <w:p>
            <w:pPr>
              <w:jc w:val="right"/>
              <w:ind w:right="1"/>
              <w:spacing w:after="0"/>
              <w:rPr>
                <w:sz w:val="20"/>
                <w:szCs w:val="20"/>
                <w:color w:val="auto"/>
              </w:rPr>
            </w:pPr>
            <w:r>
              <w:rPr>
                <w:rFonts w:ascii="Arial" w:cs="Arial" w:eastAsia="Arial" w:hAnsi="Arial"/>
                <w:sz w:val="17"/>
                <w:szCs w:val="17"/>
                <w:color w:val="auto"/>
              </w:rPr>
              <w:t>9,176</w:t>
            </w:r>
          </w:p>
        </w:tc>
        <w:tc>
          <w:tcPr>
            <w:tcW w:w="100" w:type="dxa"/>
            <w:vAlign w:val="bottom"/>
            <w:shd w:val="clear" w:color="auto" w:fill="CCEEFF"/>
          </w:tcPr>
          <w:p>
            <w:pPr>
              <w:spacing w:after="0"/>
              <w:rPr>
                <w:sz w:val="12"/>
                <w:szCs w:val="12"/>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226.8 %</w:t>
            </w:r>
          </w:p>
        </w:tc>
        <w:tc>
          <w:tcPr>
            <w:tcW w:w="0" w:type="dxa"/>
            <w:vAlign w:val="bottom"/>
          </w:tcPr>
          <w:p>
            <w:pPr>
              <w:spacing w:after="0"/>
              <w:rPr>
                <w:sz w:val="1"/>
                <w:szCs w:val="1"/>
                <w:color w:val="auto"/>
              </w:rPr>
            </w:pPr>
          </w:p>
        </w:tc>
      </w:tr>
      <w:tr>
        <w:trPr>
          <w:trHeight w:val="216"/>
        </w:trPr>
        <w:tc>
          <w:tcPr>
            <w:tcW w:w="1500" w:type="dxa"/>
            <w:vAlign w:val="bottom"/>
            <w:shd w:val="clear" w:color="auto" w:fill="CCEEFF"/>
          </w:tcPr>
          <w:p>
            <w:pPr>
              <w:ind w:left="20"/>
              <w:spacing w:after="0"/>
              <w:rPr>
                <w:sz w:val="20"/>
                <w:szCs w:val="20"/>
                <w:color w:val="auto"/>
              </w:rPr>
            </w:pPr>
            <w:r>
              <w:rPr>
                <w:rFonts w:ascii="Arial" w:cs="Arial" w:eastAsia="Arial" w:hAnsi="Arial"/>
                <w:sz w:val="17"/>
                <w:szCs w:val="17"/>
                <w:color w:val="auto"/>
              </w:rPr>
              <w:t>(benefit)</w:t>
            </w:r>
          </w:p>
        </w:tc>
        <w:tc>
          <w:tcPr>
            <w:tcW w:w="260" w:type="dxa"/>
            <w:vAlign w:val="bottom"/>
            <w:vMerge w:val="continue"/>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gridSpan w:val="3"/>
            <w:vMerge w:val="continue"/>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00" w:type="dxa"/>
            <w:vAlign w:val="bottom"/>
          </w:tcPr>
          <w:p>
            <w:pPr>
              <w:ind w:left="20"/>
              <w:spacing w:after="0"/>
              <w:rPr>
                <w:sz w:val="20"/>
                <w:szCs w:val="20"/>
                <w:color w:val="auto"/>
              </w:rPr>
            </w:pPr>
            <w:r>
              <w:rPr>
                <w:rFonts w:ascii="Arial" w:cs="Arial" w:eastAsia="Arial" w:hAnsi="Arial"/>
                <w:sz w:val="17"/>
                <w:szCs w:val="17"/>
                <w:color w:val="auto"/>
              </w:rPr>
              <w:t>% of net sales</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0.5 %</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(0.3)%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0.3 %</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(0.3)%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00" w:type="dxa"/>
            <w:vAlign w:val="bottom"/>
            <w:shd w:val="clear" w:color="auto" w:fill="CCEEFF"/>
          </w:tcPr>
          <w:p>
            <w:pPr>
              <w:ind w:left="20"/>
              <w:spacing w:after="0"/>
              <w:rPr>
                <w:sz w:val="20"/>
                <w:szCs w:val="20"/>
                <w:color w:val="auto"/>
              </w:rPr>
            </w:pPr>
            <w:r>
              <w:rPr>
                <w:rFonts w:ascii="Arial" w:cs="Arial" w:eastAsia="Arial" w:hAnsi="Arial"/>
                <w:sz w:val="17"/>
                <w:szCs w:val="17"/>
                <w:color w:val="auto"/>
              </w:rPr>
              <w:t>Effective tax rate</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17.2 %</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11.8 %</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During the 13 weeks ended July 3, 2021, we recorded an income tax expense of $4.1 million compared to an income tax benefit of $2.2 million for the 13 weeks ended June 27, 2020. This change was primarily driven by a reduction in excess tax benefits related to the exercise of stock options and vesting of RSUs as compared to the same period in fiscal 2020. Such excess tax benefits totaled $2.4 million for the 13 weeks ended July 3, 2021 compared to $9.6 million for the 13 weeks ended June 27, 2020.</w:t>
      </w:r>
    </w:p>
    <w:p>
      <w:pPr>
        <w:spacing w:after="0" w:line="187"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During the 26 weeks ended July 3, 2021, we recorded an income tax expense of $5.1 million compared to an income tax benefit of $4.0 million for the 26 weeks ended June 27, 2020. This increase was primarily driven by a reduction in excess tax benefits related to the exercise of stock options and vesting of RSUs as compared to the same period in fiscal</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4" w:right="3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ind w:right="160"/>
        <w:spacing w:after="0" w:line="394" w:lineRule="auto"/>
        <w:rPr>
          <w:sz w:val="20"/>
          <w:szCs w:val="20"/>
          <w:color w:val="auto"/>
        </w:rPr>
      </w:pPr>
      <w:r>
        <w:rPr>
          <w:rFonts w:ascii="Arial" w:cs="Arial" w:eastAsia="Arial" w:hAnsi="Arial"/>
          <w:sz w:val="18"/>
          <w:szCs w:val="18"/>
          <w:color w:val="auto"/>
        </w:rPr>
        <w:t xml:space="preserve">2020. Such excess tax benefits totaled $6.7 million for the 26 weeks ended July 3, 2021 compared to $14.6 million for the 26 weeks ended June 27, 2020. </w:t>
      </w:r>
      <w:r>
        <w:rPr>
          <w:rFonts w:ascii="Arial" w:cs="Arial" w:eastAsia="Arial" w:hAnsi="Arial"/>
          <w:sz w:val="18"/>
          <w:szCs w:val="18"/>
          <w:b w:val="1"/>
          <w:bCs w:val="1"/>
          <w:i w:val="1"/>
          <w:iCs w:val="1"/>
          <w:color w:val="auto"/>
        </w:rPr>
        <w:t>Net Income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4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13 Weeks Ended</w:t>
            </w: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26 Weeks Ended</w:t>
            </w: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00" w:type="dxa"/>
            <w:vAlign w:val="bottom"/>
            <w:gridSpan w:val="2"/>
          </w:tcPr>
          <w:p>
            <w:pPr>
              <w:ind w:left="180"/>
              <w:spacing w:after="0" w:line="135" w:lineRule="exact"/>
              <w:rPr>
                <w:sz w:val="20"/>
                <w:szCs w:val="20"/>
                <w:color w:val="auto"/>
              </w:rPr>
            </w:pPr>
            <w:r>
              <w:rPr>
                <w:rFonts w:ascii="Arial" w:cs="Arial" w:eastAsia="Arial" w:hAnsi="Arial"/>
                <w:sz w:val="14"/>
                <w:szCs w:val="14"/>
                <w:b w:val="1"/>
                <w:bCs w:val="1"/>
                <w:color w:val="auto"/>
              </w:rPr>
              <w:t>July 3,</w:t>
            </w:r>
          </w:p>
        </w:tc>
        <w:tc>
          <w:tcPr>
            <w:tcW w:w="260" w:type="dxa"/>
            <w:vAlign w:val="bottom"/>
          </w:tcPr>
          <w:p>
            <w:pPr>
              <w:spacing w:after="0"/>
              <w:rPr>
                <w:sz w:val="11"/>
                <w:szCs w:val="11"/>
                <w:color w:val="auto"/>
              </w:rPr>
            </w:pPr>
          </w:p>
        </w:tc>
        <w:tc>
          <w:tcPr>
            <w:tcW w:w="1140" w:type="dxa"/>
            <w:vAlign w:val="bottom"/>
            <w:gridSpan w:val="2"/>
          </w:tcPr>
          <w:p>
            <w:pPr>
              <w:ind w:left="140"/>
              <w:spacing w:after="0" w:line="135" w:lineRule="exact"/>
              <w:rPr>
                <w:sz w:val="20"/>
                <w:szCs w:val="20"/>
                <w:color w:val="auto"/>
              </w:rPr>
            </w:pPr>
            <w:r>
              <w:rPr>
                <w:rFonts w:ascii="Arial" w:cs="Arial" w:eastAsia="Arial" w:hAnsi="Arial"/>
                <w:sz w:val="14"/>
                <w:szCs w:val="14"/>
                <w:b w:val="1"/>
                <w:bCs w:val="1"/>
                <w:color w:val="auto"/>
              </w:rPr>
              <w:t>June 27,</w:t>
            </w:r>
          </w:p>
        </w:tc>
        <w:tc>
          <w:tcPr>
            <w:tcW w:w="180" w:type="dxa"/>
            <w:vAlign w:val="bottom"/>
          </w:tcPr>
          <w:p>
            <w:pPr>
              <w:spacing w:after="0"/>
              <w:rPr>
                <w:sz w:val="11"/>
                <w:szCs w:val="11"/>
                <w:color w:val="auto"/>
              </w:rPr>
            </w:pPr>
          </w:p>
        </w:tc>
        <w:tc>
          <w:tcPr>
            <w:tcW w:w="8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Change</w:t>
            </w:r>
          </w:p>
        </w:tc>
        <w:tc>
          <w:tcPr>
            <w:tcW w:w="1380" w:type="dxa"/>
            <w:vAlign w:val="bottom"/>
            <w:gridSpan w:val="3"/>
            <w:vMerge w:val="restart"/>
          </w:tcPr>
          <w:p>
            <w:pPr>
              <w:jc w:val="right"/>
              <w:ind w:right="475"/>
              <w:spacing w:after="0"/>
              <w:rPr>
                <w:sz w:val="20"/>
                <w:szCs w:val="20"/>
                <w:color w:val="auto"/>
              </w:rPr>
            </w:pPr>
            <w:r>
              <w:rPr>
                <w:rFonts w:ascii="Arial" w:cs="Arial" w:eastAsia="Arial" w:hAnsi="Arial"/>
                <w:sz w:val="14"/>
                <w:szCs w:val="14"/>
                <w:b w:val="1"/>
                <w:bCs w:val="1"/>
                <w:color w:val="auto"/>
              </w:rPr>
              <w:t>% Change</w:t>
            </w:r>
          </w:p>
        </w:tc>
        <w:tc>
          <w:tcPr>
            <w:tcW w:w="1120" w:type="dxa"/>
            <w:vAlign w:val="bottom"/>
            <w:gridSpan w:val="2"/>
          </w:tcPr>
          <w:p>
            <w:pPr>
              <w:ind w:left="160"/>
              <w:spacing w:after="0" w:line="135" w:lineRule="exact"/>
              <w:rPr>
                <w:sz w:val="20"/>
                <w:szCs w:val="20"/>
                <w:color w:val="auto"/>
              </w:rPr>
            </w:pPr>
            <w:r>
              <w:rPr>
                <w:rFonts w:ascii="Arial" w:cs="Arial" w:eastAsia="Arial" w:hAnsi="Arial"/>
                <w:sz w:val="14"/>
                <w:szCs w:val="14"/>
                <w:b w:val="1"/>
                <w:bCs w:val="1"/>
                <w:color w:val="auto"/>
              </w:rPr>
              <w:t>July 3,</w:t>
            </w:r>
          </w:p>
        </w:tc>
        <w:tc>
          <w:tcPr>
            <w:tcW w:w="240" w:type="dxa"/>
            <w:vAlign w:val="bottom"/>
          </w:tcPr>
          <w:p>
            <w:pPr>
              <w:spacing w:after="0"/>
              <w:rPr>
                <w:sz w:val="11"/>
                <w:szCs w:val="11"/>
                <w:color w:val="auto"/>
              </w:rPr>
            </w:pPr>
          </w:p>
        </w:tc>
        <w:tc>
          <w:tcPr>
            <w:tcW w:w="1140" w:type="dxa"/>
            <w:vAlign w:val="bottom"/>
            <w:gridSpan w:val="2"/>
          </w:tcPr>
          <w:p>
            <w:pPr>
              <w:ind w:left="140"/>
              <w:spacing w:after="0" w:line="135" w:lineRule="exact"/>
              <w:rPr>
                <w:sz w:val="20"/>
                <w:szCs w:val="20"/>
                <w:color w:val="auto"/>
              </w:rPr>
            </w:pPr>
            <w:r>
              <w:rPr>
                <w:rFonts w:ascii="Arial" w:cs="Arial" w:eastAsia="Arial" w:hAnsi="Arial"/>
                <w:sz w:val="14"/>
                <w:szCs w:val="14"/>
                <w:b w:val="1"/>
                <w:bCs w:val="1"/>
                <w:color w:val="auto"/>
              </w:rPr>
              <w:t>June 27,</w:t>
            </w:r>
          </w:p>
        </w:tc>
        <w:tc>
          <w:tcPr>
            <w:tcW w:w="180" w:type="dxa"/>
            <w:vAlign w:val="bottom"/>
          </w:tcPr>
          <w:p>
            <w:pPr>
              <w:spacing w:after="0"/>
              <w:rPr>
                <w:sz w:val="11"/>
                <w:szCs w:val="11"/>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Change</w:t>
            </w:r>
          </w:p>
        </w:tc>
        <w:tc>
          <w:tcPr>
            <w:tcW w:w="1020" w:type="dxa"/>
            <w:vAlign w:val="bottom"/>
            <w:vMerge w:val="restart"/>
          </w:tcPr>
          <w:p>
            <w:pPr>
              <w:jc w:val="right"/>
              <w:ind w:right="101"/>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8"/>
        </w:trPr>
        <w:tc>
          <w:tcPr>
            <w:tcW w:w="1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jc w:val="right"/>
              <w:ind w:right="421"/>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jc w:val="right"/>
              <w:ind w:right="42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380" w:type="dxa"/>
            <w:vAlign w:val="bottom"/>
            <w:gridSpan w:val="3"/>
            <w:vMerge w:val="continue"/>
          </w:tcPr>
          <w:p>
            <w:pPr>
              <w:spacing w:after="0"/>
              <w:rPr>
                <w:sz w:val="16"/>
                <w:szCs w:val="16"/>
                <w:color w:val="auto"/>
              </w:rPr>
            </w:pPr>
          </w:p>
        </w:tc>
        <w:tc>
          <w:tcPr>
            <w:tcW w:w="1020" w:type="dxa"/>
            <w:vAlign w:val="bottom"/>
          </w:tcPr>
          <w:p>
            <w:pPr>
              <w:jc w:val="right"/>
              <w:ind w:right="42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jc w:val="right"/>
              <w:ind w:right="42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1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income</w:t>
            </w:r>
          </w:p>
        </w:tc>
        <w:tc>
          <w:tcPr>
            <w:tcW w:w="260" w:type="dxa"/>
            <w:vAlign w:val="bottom"/>
            <w:tcBorders>
              <w:top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w w:val="84"/>
              </w:rPr>
              <w:t>$</w:t>
            </w:r>
          </w:p>
        </w:tc>
        <w:tc>
          <w:tcPr>
            <w:tcW w:w="1020" w:type="dxa"/>
            <w:vAlign w:val="bottom"/>
            <w:tcBorders>
              <w:top w:val="single" w:sz="8" w:color="auto"/>
            </w:tcBorders>
            <w:shd w:val="clear" w:color="auto" w:fill="CCEEFF"/>
          </w:tcPr>
          <w:p>
            <w:pPr>
              <w:jc w:val="right"/>
              <w:ind w:right="121"/>
              <w:spacing w:after="0"/>
              <w:rPr>
                <w:sz w:val="20"/>
                <w:szCs w:val="20"/>
                <w:color w:val="auto"/>
              </w:rPr>
            </w:pPr>
            <w:r>
              <w:rPr>
                <w:rFonts w:ascii="Arial" w:cs="Arial" w:eastAsia="Arial" w:hAnsi="Arial"/>
                <w:sz w:val="17"/>
                <w:szCs w:val="17"/>
                <w:color w:val="auto"/>
              </w:rPr>
              <w:t>19,640</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1040" w:type="dxa"/>
            <w:vAlign w:val="bottom"/>
            <w:tcBorders>
              <w:top w:val="single" w:sz="8" w:color="auto"/>
            </w:tcBorders>
            <w:shd w:val="clear" w:color="auto" w:fill="CCEEFF"/>
          </w:tcPr>
          <w:p>
            <w:pPr>
              <w:jc w:val="right"/>
              <w:ind w:right="123"/>
              <w:spacing w:after="0"/>
              <w:rPr>
                <w:sz w:val="20"/>
                <w:szCs w:val="20"/>
                <w:color w:val="auto"/>
              </w:rPr>
            </w:pPr>
            <w:r>
              <w:rPr>
                <w:rFonts w:ascii="Arial" w:cs="Arial" w:eastAsia="Arial" w:hAnsi="Arial"/>
                <w:sz w:val="17"/>
                <w:szCs w:val="17"/>
                <w:color w:val="auto"/>
              </w:rPr>
              <w:t>29,333</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(9,693)</w:t>
            </w:r>
          </w:p>
        </w:tc>
        <w:tc>
          <w:tcPr>
            <w:tcW w:w="1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(33.0)%</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w w:val="84"/>
              </w:rPr>
              <w:t>$</w:t>
            </w:r>
          </w:p>
        </w:tc>
        <w:tc>
          <w:tcPr>
            <w:tcW w:w="1020" w:type="dxa"/>
            <w:vAlign w:val="bottom"/>
            <w:tcBorders>
              <w:top w:val="single" w:sz="8" w:color="auto"/>
            </w:tcBorders>
            <w:shd w:val="clear" w:color="auto" w:fill="CCEEFF"/>
          </w:tcPr>
          <w:p>
            <w:pPr>
              <w:jc w:val="right"/>
              <w:ind w:right="121"/>
              <w:spacing w:after="0"/>
              <w:rPr>
                <w:sz w:val="20"/>
                <w:szCs w:val="20"/>
                <w:color w:val="auto"/>
              </w:rPr>
            </w:pPr>
            <w:r>
              <w:rPr>
                <w:rFonts w:ascii="Arial" w:cs="Arial" w:eastAsia="Arial" w:hAnsi="Arial"/>
                <w:sz w:val="17"/>
                <w:szCs w:val="17"/>
                <w:color w:val="auto"/>
              </w:rPr>
              <w:t>38,532</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w w:val="84"/>
              </w:rPr>
              <w:t>$</w:t>
            </w:r>
          </w:p>
        </w:tc>
        <w:tc>
          <w:tcPr>
            <w:tcW w:w="1040" w:type="dxa"/>
            <w:vAlign w:val="bottom"/>
            <w:tcBorders>
              <w:top w:val="single" w:sz="8" w:color="auto"/>
            </w:tcBorders>
            <w:shd w:val="clear" w:color="auto" w:fill="CCEEFF"/>
          </w:tcPr>
          <w:p>
            <w:pPr>
              <w:jc w:val="right"/>
              <w:ind w:right="123"/>
              <w:spacing w:after="0"/>
              <w:rPr>
                <w:sz w:val="20"/>
                <w:szCs w:val="20"/>
                <w:color w:val="auto"/>
              </w:rPr>
            </w:pPr>
            <w:r>
              <w:rPr>
                <w:rFonts w:ascii="Arial" w:cs="Arial" w:eastAsia="Arial" w:hAnsi="Arial"/>
                <w:sz w:val="17"/>
                <w:szCs w:val="17"/>
                <w:color w:val="auto"/>
              </w:rPr>
              <w:t>41,975</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(3,443)</w:t>
            </w:r>
          </w:p>
        </w:tc>
        <w:tc>
          <w:tcPr>
            <w:tcW w:w="1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(8.2)%</w:t>
            </w:r>
          </w:p>
        </w:tc>
        <w:tc>
          <w:tcPr>
            <w:tcW w:w="0" w:type="dxa"/>
            <w:vAlign w:val="bottom"/>
          </w:tcPr>
          <w:p>
            <w:pPr>
              <w:spacing w:after="0"/>
              <w:rPr>
                <w:sz w:val="1"/>
                <w:szCs w:val="1"/>
                <w:color w:val="auto"/>
              </w:rPr>
            </w:pPr>
          </w:p>
        </w:tc>
      </w:tr>
      <w:tr>
        <w:trPr>
          <w:trHeight w:val="216"/>
        </w:trPr>
        <w:tc>
          <w:tcPr>
            <w:tcW w:w="1460" w:type="dxa"/>
            <w:vAlign w:val="bottom"/>
          </w:tcPr>
          <w:p>
            <w:pPr>
              <w:ind w:left="20"/>
              <w:spacing w:after="0"/>
              <w:rPr>
                <w:sz w:val="20"/>
                <w:szCs w:val="20"/>
                <w:color w:val="auto"/>
              </w:rPr>
            </w:pPr>
            <w:r>
              <w:rPr>
                <w:rFonts w:ascii="Arial" w:cs="Arial" w:eastAsia="Arial" w:hAnsi="Arial"/>
                <w:sz w:val="17"/>
                <w:szCs w:val="17"/>
                <w:color w:val="auto"/>
              </w:rPr>
              <w:t>% of net sales</w:t>
            </w: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2.5 %</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3.7 %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2.5 %</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2.7 %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ind w:right="160" w:firstLine="486"/>
        <w:spacing w:after="0" w:line="394" w:lineRule="auto"/>
        <w:rPr>
          <w:sz w:val="20"/>
          <w:szCs w:val="20"/>
          <w:color w:val="auto"/>
        </w:rPr>
      </w:pPr>
      <w:r>
        <w:rPr>
          <w:rFonts w:ascii="Arial" w:cs="Arial" w:eastAsia="Arial" w:hAnsi="Arial"/>
          <w:sz w:val="18"/>
          <w:szCs w:val="18"/>
          <w:color w:val="auto"/>
        </w:rPr>
        <w:t xml:space="preserve">As a result of the foregoing factors, net income decreased for the 13 and 26 weeks ended July 3, 2021 compared to the same periods in fiscal 2020. </w:t>
      </w:r>
      <w:r>
        <w:rPr>
          <w:rFonts w:ascii="Arial" w:cs="Arial" w:eastAsia="Arial" w:hAnsi="Arial"/>
          <w:sz w:val="18"/>
          <w:szCs w:val="18"/>
          <w:b w:val="1"/>
          <w:bCs w:val="1"/>
          <w:i w:val="1"/>
          <w:iCs w:val="1"/>
          <w:color w:val="auto"/>
        </w:rPr>
        <w:t>Adjusted EBITDA</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5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5"/>
          </w:tcPr>
          <w:p>
            <w:pPr>
              <w:ind w:left="340"/>
              <w:spacing w:after="0"/>
              <w:rPr>
                <w:sz w:val="20"/>
                <w:szCs w:val="20"/>
                <w:color w:val="auto"/>
              </w:rPr>
            </w:pPr>
            <w:r>
              <w:rPr>
                <w:rFonts w:ascii="Arial" w:cs="Arial" w:eastAsia="Arial" w:hAnsi="Arial"/>
                <w:sz w:val="14"/>
                <w:szCs w:val="14"/>
                <w:b w:val="1"/>
                <w:bCs w:val="1"/>
                <w:color w:val="auto"/>
              </w:rPr>
              <w:t>13 Weeks Ended</w:t>
            </w:r>
          </w:p>
        </w:tc>
        <w:tc>
          <w:tcPr>
            <w:tcW w:w="10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5"/>
          </w:tcPr>
          <w:p>
            <w:pPr>
              <w:ind w:left="320"/>
              <w:spacing w:after="0"/>
              <w:rPr>
                <w:sz w:val="20"/>
                <w:szCs w:val="20"/>
                <w:color w:val="auto"/>
              </w:rPr>
            </w:pPr>
            <w:r>
              <w:rPr>
                <w:rFonts w:ascii="Arial" w:cs="Arial" w:eastAsia="Arial" w:hAnsi="Arial"/>
                <w:sz w:val="14"/>
                <w:szCs w:val="14"/>
                <w:b w:val="1"/>
                <w:bCs w:val="1"/>
                <w:color w:val="auto"/>
              </w:rPr>
              <w:t>26 Weeks Ended</w:t>
            </w: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1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6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w w:val="91"/>
              </w:rPr>
              <w:t>July 3,</w:t>
            </w:r>
          </w:p>
        </w:tc>
        <w:tc>
          <w:tcPr>
            <w:tcW w:w="220" w:type="dxa"/>
            <w:vAlign w:val="bottom"/>
          </w:tcPr>
          <w:p>
            <w:pPr>
              <w:spacing w:after="0"/>
              <w:rPr>
                <w:sz w:val="11"/>
                <w:szCs w:val="11"/>
                <w:color w:val="auto"/>
              </w:rPr>
            </w:pPr>
          </w:p>
        </w:tc>
        <w:tc>
          <w:tcPr>
            <w:tcW w:w="108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92"/>
              </w:rPr>
              <w:t>June 27,</w:t>
            </w:r>
          </w:p>
        </w:tc>
        <w:tc>
          <w:tcPr>
            <w:tcW w:w="160" w:type="dxa"/>
            <w:vAlign w:val="bottom"/>
          </w:tcPr>
          <w:p>
            <w:pPr>
              <w:spacing w:after="0"/>
              <w:rPr>
                <w:sz w:val="11"/>
                <w:szCs w:val="11"/>
                <w:color w:val="auto"/>
              </w:rPr>
            </w:pPr>
          </w:p>
        </w:tc>
        <w:tc>
          <w:tcPr>
            <w:tcW w:w="9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 Change</w:t>
            </w:r>
          </w:p>
        </w:tc>
        <w:tc>
          <w:tcPr>
            <w:tcW w:w="1420" w:type="dxa"/>
            <w:vAlign w:val="bottom"/>
            <w:gridSpan w:val="3"/>
            <w:vMerge w:val="restart"/>
          </w:tcPr>
          <w:p>
            <w:pPr>
              <w:jc w:val="right"/>
              <w:ind w:right="475"/>
              <w:spacing w:after="0"/>
              <w:rPr>
                <w:sz w:val="20"/>
                <w:szCs w:val="20"/>
                <w:color w:val="auto"/>
              </w:rPr>
            </w:pPr>
            <w:r>
              <w:rPr>
                <w:rFonts w:ascii="Arial" w:cs="Arial" w:eastAsia="Arial" w:hAnsi="Arial"/>
                <w:sz w:val="14"/>
                <w:szCs w:val="14"/>
                <w:b w:val="1"/>
                <w:bCs w:val="1"/>
                <w:color w:val="auto"/>
              </w:rPr>
              <w:t>% Change</w:t>
            </w:r>
          </w:p>
        </w:tc>
        <w:tc>
          <w:tcPr>
            <w:tcW w:w="106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w w:val="96"/>
              </w:rPr>
              <w:t>July 3,</w:t>
            </w:r>
          </w:p>
        </w:tc>
        <w:tc>
          <w:tcPr>
            <w:tcW w:w="240" w:type="dxa"/>
            <w:vAlign w:val="bottom"/>
          </w:tcPr>
          <w:p>
            <w:pPr>
              <w:spacing w:after="0"/>
              <w:rPr>
                <w:sz w:val="11"/>
                <w:szCs w:val="11"/>
                <w:color w:val="auto"/>
              </w:rPr>
            </w:pPr>
          </w:p>
        </w:tc>
        <w:tc>
          <w:tcPr>
            <w:tcW w:w="110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w w:val="92"/>
              </w:rPr>
              <w:t>June 27,</w:t>
            </w:r>
          </w:p>
        </w:tc>
        <w:tc>
          <w:tcPr>
            <w:tcW w:w="160" w:type="dxa"/>
            <w:vAlign w:val="bottom"/>
          </w:tcPr>
          <w:p>
            <w:pPr>
              <w:spacing w:after="0"/>
              <w:rPr>
                <w:sz w:val="11"/>
                <w:szCs w:val="11"/>
                <w:color w:val="auto"/>
              </w:rPr>
            </w:pPr>
          </w:p>
        </w:tc>
        <w:tc>
          <w:tcPr>
            <w:tcW w:w="9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 Change</w:t>
            </w:r>
          </w:p>
        </w:tc>
        <w:tc>
          <w:tcPr>
            <w:tcW w:w="1060" w:type="dxa"/>
            <w:vAlign w:val="bottom"/>
            <w:vMerge w:val="restart"/>
          </w:tcPr>
          <w:p>
            <w:pPr>
              <w:jc w:val="right"/>
              <w:ind w:right="121"/>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8"/>
        </w:trPr>
        <w:tc>
          <w:tcPr>
            <w:tcW w:w="1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jc w:val="right"/>
              <w:ind w:right="38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right"/>
              <w:ind w:right="405"/>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420" w:type="dxa"/>
            <w:vAlign w:val="bottom"/>
            <w:gridSpan w:val="3"/>
            <w:vMerge w:val="continue"/>
          </w:tcPr>
          <w:p>
            <w:pPr>
              <w:spacing w:after="0"/>
              <w:rPr>
                <w:sz w:val="16"/>
                <w:szCs w:val="16"/>
                <w:color w:val="auto"/>
              </w:rPr>
            </w:pPr>
          </w:p>
        </w:tc>
        <w:tc>
          <w:tcPr>
            <w:tcW w:w="960" w:type="dxa"/>
            <w:vAlign w:val="bottom"/>
          </w:tcPr>
          <w:p>
            <w:pPr>
              <w:jc w:val="right"/>
              <w:ind w:right="38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jc w:val="right"/>
              <w:ind w:right="40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1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Adjusted EBITDA</w:t>
            </w:r>
          </w:p>
        </w:tc>
        <w:tc>
          <w:tcPr>
            <w:tcW w:w="260" w:type="dxa"/>
            <w:vAlign w:val="bottom"/>
            <w:tcBorders>
              <w:top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50,836</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100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7"/>
                <w:szCs w:val="17"/>
                <w:color w:val="auto"/>
              </w:rPr>
              <w:t>60,307</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(9,471)</w:t>
            </w:r>
          </w:p>
        </w:tc>
        <w:tc>
          <w:tcPr>
            <w:tcW w:w="8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(15.7)%</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w w:val="84"/>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99,673</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w w:val="84"/>
              </w:rPr>
              <w:t>$</w:t>
            </w:r>
          </w:p>
        </w:tc>
        <w:tc>
          <w:tcPr>
            <w:tcW w:w="100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7"/>
                <w:szCs w:val="17"/>
                <w:color w:val="auto"/>
              </w:rPr>
              <w:t>116,928</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(17,255)</w:t>
            </w:r>
          </w:p>
        </w:tc>
        <w:tc>
          <w:tcPr>
            <w:tcW w:w="8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(14.8)%</w:t>
            </w:r>
          </w:p>
        </w:tc>
        <w:tc>
          <w:tcPr>
            <w:tcW w:w="0" w:type="dxa"/>
            <w:vAlign w:val="bottom"/>
          </w:tcPr>
          <w:p>
            <w:pPr>
              <w:spacing w:after="0"/>
              <w:rPr>
                <w:sz w:val="1"/>
                <w:szCs w:val="1"/>
                <w:color w:val="auto"/>
              </w:rPr>
            </w:pPr>
          </w:p>
        </w:tc>
      </w:tr>
    </w:tbl>
    <w:p>
      <w:pPr>
        <w:spacing w:after="0" w:line="283"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decrease in adjusted EBITDA for the 13 and 26 weeks ended July 3, 2021 compared to the same periods in fiscal 2020 was primarily due to a decrease in net sales (as discussed above), which was primarily driven by a decrease in comparable store sales of 10.0% for the 13 weeks ended July 3, 2021 and 9.1% for the 26 weeks ended July 3, 2021, partially offset by a decrease to SG&amp;A compared to the same periods in fiscal 2020, each as discussed above.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Net Income</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5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5"/>
          </w:tcPr>
          <w:p>
            <w:pPr>
              <w:ind w:left="340"/>
              <w:spacing w:after="0"/>
              <w:rPr>
                <w:sz w:val="20"/>
                <w:szCs w:val="20"/>
                <w:color w:val="auto"/>
              </w:rPr>
            </w:pPr>
            <w:r>
              <w:rPr>
                <w:rFonts w:ascii="Arial" w:cs="Arial" w:eastAsia="Arial" w:hAnsi="Arial"/>
                <w:sz w:val="14"/>
                <w:szCs w:val="14"/>
                <w:b w:val="1"/>
                <w:bCs w:val="1"/>
                <w:color w:val="auto"/>
              </w:rPr>
              <w:t>13 Weeks Ended</w:t>
            </w:r>
          </w:p>
        </w:tc>
        <w:tc>
          <w:tcPr>
            <w:tcW w:w="10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5"/>
          </w:tcPr>
          <w:p>
            <w:pPr>
              <w:ind w:left="340"/>
              <w:spacing w:after="0"/>
              <w:rPr>
                <w:sz w:val="20"/>
                <w:szCs w:val="20"/>
                <w:color w:val="auto"/>
              </w:rPr>
            </w:pPr>
            <w:r>
              <w:rPr>
                <w:rFonts w:ascii="Arial" w:cs="Arial" w:eastAsia="Arial" w:hAnsi="Arial"/>
                <w:sz w:val="14"/>
                <w:szCs w:val="14"/>
                <w:b w:val="1"/>
                <w:bCs w:val="1"/>
                <w:color w:val="auto"/>
              </w:rPr>
              <w:t>26 Weeks Ended</w:t>
            </w: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6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w w:val="91"/>
              </w:rPr>
              <w:t>July 3,</w:t>
            </w:r>
          </w:p>
        </w:tc>
        <w:tc>
          <w:tcPr>
            <w:tcW w:w="220" w:type="dxa"/>
            <w:vAlign w:val="bottom"/>
          </w:tcPr>
          <w:p>
            <w:pPr>
              <w:spacing w:after="0"/>
              <w:rPr>
                <w:sz w:val="11"/>
                <w:szCs w:val="11"/>
                <w:color w:val="auto"/>
              </w:rPr>
            </w:pPr>
          </w:p>
        </w:tc>
        <w:tc>
          <w:tcPr>
            <w:tcW w:w="110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89"/>
              </w:rPr>
              <w:t>June 27,</w:t>
            </w:r>
          </w:p>
        </w:tc>
        <w:tc>
          <w:tcPr>
            <w:tcW w:w="160" w:type="dxa"/>
            <w:vAlign w:val="bottom"/>
          </w:tcPr>
          <w:p>
            <w:pPr>
              <w:spacing w:after="0"/>
              <w:rPr>
                <w:sz w:val="11"/>
                <w:szCs w:val="11"/>
                <w:color w:val="auto"/>
              </w:rPr>
            </w:pPr>
          </w:p>
        </w:tc>
        <w:tc>
          <w:tcPr>
            <w:tcW w:w="9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 Change</w:t>
            </w:r>
          </w:p>
        </w:tc>
        <w:tc>
          <w:tcPr>
            <w:tcW w:w="1400" w:type="dxa"/>
            <w:vAlign w:val="bottom"/>
            <w:gridSpan w:val="3"/>
            <w:vMerge w:val="restart"/>
          </w:tcPr>
          <w:p>
            <w:pPr>
              <w:jc w:val="right"/>
              <w:ind w:right="455"/>
              <w:spacing w:after="0"/>
              <w:rPr>
                <w:sz w:val="20"/>
                <w:szCs w:val="20"/>
                <w:color w:val="auto"/>
              </w:rPr>
            </w:pPr>
            <w:r>
              <w:rPr>
                <w:rFonts w:ascii="Arial" w:cs="Arial" w:eastAsia="Arial" w:hAnsi="Arial"/>
                <w:sz w:val="14"/>
                <w:szCs w:val="14"/>
                <w:b w:val="1"/>
                <w:bCs w:val="1"/>
                <w:color w:val="auto"/>
              </w:rPr>
              <w:t>% Change</w:t>
            </w:r>
          </w:p>
        </w:tc>
        <w:tc>
          <w:tcPr>
            <w:tcW w:w="108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w w:val="91"/>
              </w:rPr>
              <w:t>July 3,</w:t>
            </w:r>
          </w:p>
        </w:tc>
        <w:tc>
          <w:tcPr>
            <w:tcW w:w="220" w:type="dxa"/>
            <w:vAlign w:val="bottom"/>
          </w:tcPr>
          <w:p>
            <w:pPr>
              <w:spacing w:after="0"/>
              <w:rPr>
                <w:sz w:val="11"/>
                <w:szCs w:val="11"/>
                <w:color w:val="auto"/>
              </w:rPr>
            </w:pPr>
          </w:p>
        </w:tc>
        <w:tc>
          <w:tcPr>
            <w:tcW w:w="110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w w:val="92"/>
              </w:rPr>
              <w:t>June 27,</w:t>
            </w:r>
          </w:p>
        </w:tc>
        <w:tc>
          <w:tcPr>
            <w:tcW w:w="160" w:type="dxa"/>
            <w:vAlign w:val="bottom"/>
          </w:tcPr>
          <w:p>
            <w:pPr>
              <w:spacing w:after="0"/>
              <w:rPr>
                <w:sz w:val="11"/>
                <w:szCs w:val="11"/>
                <w:color w:val="auto"/>
              </w:rPr>
            </w:pPr>
          </w:p>
        </w:tc>
        <w:tc>
          <w:tcPr>
            <w:tcW w:w="9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 Change</w:t>
            </w:r>
          </w:p>
        </w:tc>
        <w:tc>
          <w:tcPr>
            <w:tcW w:w="1060" w:type="dxa"/>
            <w:vAlign w:val="bottom"/>
            <w:vMerge w:val="restart"/>
          </w:tcPr>
          <w:p>
            <w:pPr>
              <w:jc w:val="right"/>
              <w:ind w:right="121"/>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8"/>
        </w:trPr>
        <w:tc>
          <w:tcPr>
            <w:tcW w:w="1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jc w:val="right"/>
              <w:ind w:right="38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right"/>
              <w:ind w:right="38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400" w:type="dxa"/>
            <w:vAlign w:val="bottom"/>
            <w:gridSpan w:val="3"/>
            <w:vMerge w:val="continue"/>
          </w:tcPr>
          <w:p>
            <w:pPr>
              <w:spacing w:after="0"/>
              <w:rPr>
                <w:sz w:val="16"/>
                <w:szCs w:val="16"/>
                <w:color w:val="auto"/>
              </w:rPr>
            </w:pPr>
          </w:p>
        </w:tc>
        <w:tc>
          <w:tcPr>
            <w:tcW w:w="980" w:type="dxa"/>
            <w:vAlign w:val="bottom"/>
          </w:tcPr>
          <w:p>
            <w:pPr>
              <w:jc w:val="right"/>
              <w:ind w:right="40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right"/>
              <w:ind w:right="40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1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w w:val="99"/>
              </w:rPr>
              <w:t>Adjusted net income</w:t>
            </w:r>
          </w:p>
        </w:tc>
        <w:tc>
          <w:tcPr>
            <w:tcW w:w="260" w:type="dxa"/>
            <w:vAlign w:val="bottom"/>
            <w:tcBorders>
              <w:top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23,335</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31,993</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(8,658)</w:t>
            </w:r>
          </w:p>
        </w:tc>
        <w:tc>
          <w:tcPr>
            <w:tcW w:w="1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(27.1)%</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98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7"/>
                <w:szCs w:val="17"/>
                <w:color w:val="auto"/>
              </w:rPr>
              <w:t>46,459</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100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7"/>
                <w:szCs w:val="17"/>
                <w:color w:val="auto"/>
              </w:rPr>
              <w:t>60,746</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(14,287)</w:t>
            </w:r>
          </w:p>
        </w:tc>
        <w:tc>
          <w:tcPr>
            <w:tcW w:w="8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(23.5)%</w:t>
            </w:r>
          </w:p>
        </w:tc>
        <w:tc>
          <w:tcPr>
            <w:tcW w:w="0" w:type="dxa"/>
            <w:vAlign w:val="bottom"/>
          </w:tcPr>
          <w:p>
            <w:pPr>
              <w:spacing w:after="0"/>
              <w:rPr>
                <w:sz w:val="1"/>
                <w:szCs w:val="1"/>
                <w:color w:val="auto"/>
              </w:rPr>
            </w:pPr>
          </w:p>
        </w:tc>
      </w:tr>
    </w:tbl>
    <w:p>
      <w:pPr>
        <w:spacing w:after="0" w:line="296"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decrease in adjusted net income for the 13 and 26 weeks ended July 3, 2021 compared to the same periods in fiscal 2020 was primarily due to a decrease in net sales (as discussed above), which was primarily driven by a decrease in comparable store sales of 10.0% for the 13 weeks ended July 3, 2021 and 9.1% for the 26 weeks ended July 3, 2021, partially offset by a decrease to SG&amp;A compared to the same periods in fiscal 2020, each as discussed above.</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4" w:right="3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17"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As of July 3, 2021, we had cash and cash equivalents of $126.6 million, which consisted primarily of cash held in checking and money market accounts with financial institutions.</w:t>
      </w:r>
    </w:p>
    <w:p>
      <w:pPr>
        <w:spacing w:after="0" w:line="62"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Our liquidity requirements arise primarily from our working capital needs, capital expenditures and debt service requirements. We have funded our working capital and capital expenditures requirements with internally generated cash on hand and through proceeds from the initial public offering of our common stock in June 2019. Our current primary sources of liquidity are net cash provided by operating activities and borrowings under our First Lien Credit Agreement (as defined below). In addition, we have a revolving credit facility with $100.0 million in borrowing capacity under our First Lien Credit Agreement. As of July 3, 2021, we had $3.5 million of outstanding standby letters of credit and $96.5 million of remaining borrowing capacity available under this revolving credit facility.</w:t>
      </w:r>
    </w:p>
    <w:p>
      <w:pPr>
        <w:spacing w:after="0" w:line="8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Public Offerings</w:t>
      </w:r>
    </w:p>
    <w:p>
      <w:pPr>
        <w:spacing w:after="0" w:line="11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On February 3, 2020, certain of our selling stockholders completed a secondary public offering of shares of our common stock. We did not receive any of the proceeds from the sale of these shares by the selling stockholders. We incurred offering costs of $1.1 million, which we recognized in SG&amp;A during the first quarter of fiscal 2020. We received $1.4 million in cash (excluding withholding taxes) in connection with the exercise of 191,470 options by certain stockholders participating in this secondary public offering.</w:t>
      </w:r>
    </w:p>
    <w:p>
      <w:pPr>
        <w:spacing w:after="0" w:line="79"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On April 27, 2020, certain of our selling stockholders completed another secondary public offering of shares of our common stock. We did not receive any of the proceeds from the sale of these shares by the selling stockholders. We incurred related offering costs of $1.0 million, which we recognized in SG&amp;A during the second quarter of fiscal 2020. We received $1.6 million in cash (excluding withholding taxes) in connection with the exercise of 269,000 options by certain stockholders participating in this secondary public offering.</w:t>
      </w:r>
    </w:p>
    <w:p>
      <w:pPr>
        <w:spacing w:after="0" w:line="133"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First Lien Credit Agreement</w:t>
      </w:r>
    </w:p>
    <w:p>
      <w:pPr>
        <w:spacing w:after="0" w:line="117"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b w:val="1"/>
          <w:bCs w:val="1"/>
          <w:i w:val="1"/>
          <w:iCs w:val="1"/>
          <w:color w:val="auto"/>
        </w:rPr>
        <w:t xml:space="preserve">Second Incremental Agreement </w:t>
      </w:r>
      <w:r>
        <w:rPr>
          <w:rFonts w:ascii="Arial" w:cs="Arial" w:eastAsia="Arial" w:hAnsi="Arial"/>
          <w:sz w:val="17"/>
          <w:szCs w:val="17"/>
          <w:color w:val="auto"/>
        </w:rPr>
        <w:t>— On January 24, 2020, we entered into a second incremental agreement (the “Second Incremental Agreement”)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which amended a previous incremental agreement (the "First Incremental Agreement"). The Second Incremental Agreement refinanced a previous replacement term loan under the First Incremental Agreement with a replacement $460.0 million senior secured term loan credit facility (the "Second Replacement Term Loan") with an applicable margin of 2.75% for Eurodollar loans and 1.75% for base rate loans, and made certain other corresponding technical changes and updates to the previously amended First Lien Credit Agreement. The interest rate on the Second Replacement Term Loan was 2.84% as of July 3, 2021. The Second Replacement Term Loan matures on October 22, 2025, which is the same maturity date as the prior term loans under the original First Lien Credit Agreement and First Incremental Agreement.</w:t>
      </w:r>
    </w:p>
    <w:p>
      <w:pPr>
        <w:spacing w:after="0" w:line="69"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Other than as described above, the Second Replacement Term Loan has the same terms as provided under the original First Lien Credit Agreement and the First Incremental Agreement, including voluntary prepayment on borrowings without premium or penalty. Additionally, the parties to the Second Incremental Agreement continue to have the same obligations set forth in the original First Lien Credit Agreement and the First Incremental Agreement (collectively, the “First Lien Credit Agreement”).</w:t>
      </w:r>
    </w:p>
    <w:p>
      <w:pPr>
        <w:spacing w:after="0" w:line="79" w:lineRule="exact"/>
        <w:rPr>
          <w:sz w:val="20"/>
          <w:szCs w:val="20"/>
          <w:color w:val="auto"/>
        </w:rPr>
      </w:pPr>
    </w:p>
    <w:p>
      <w:pPr>
        <w:jc w:val="both"/>
        <w:ind w:firstLine="486"/>
        <w:spacing w:after="0" w:line="311" w:lineRule="auto"/>
        <w:rPr>
          <w:sz w:val="20"/>
          <w:szCs w:val="20"/>
          <w:color w:val="auto"/>
        </w:rPr>
      </w:pPr>
      <w:r>
        <w:rPr>
          <w:rFonts w:ascii="Arial" w:cs="Arial" w:eastAsia="Arial" w:hAnsi="Arial"/>
          <w:sz w:val="16"/>
          <w:szCs w:val="16"/>
          <w:b w:val="1"/>
          <w:bCs w:val="1"/>
          <w:i w:val="1"/>
          <w:iCs w:val="1"/>
          <w:color w:val="auto"/>
        </w:rPr>
        <w:t xml:space="preserve">Revolving Credit Facility </w:t>
      </w:r>
      <w:r>
        <w:rPr>
          <w:rFonts w:ascii="Arial" w:cs="Arial" w:eastAsia="Arial" w:hAnsi="Arial"/>
          <w:sz w:val="16"/>
          <w:szCs w:val="16"/>
          <w:color w:val="auto"/>
        </w:rPr>
        <w:t>— On March 19, 2020, we borrowed $90.0 million under the revolving credit facility of our First Lien Credit Agreement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"Revolving Credit Facility Loan"), the proceeds of which were to be used as reserve funding for working capital needs as a precautionary measure in light of the economic uncertainty surrounding the COVID-19 pandemic. On May 26, 2020, we repaid the Revolving Credit Facility Loan in full.</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Requirements</w:t>
      </w:r>
    </w:p>
    <w:p>
      <w:pPr>
        <w:spacing w:after="0" w:line="117"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Our primary working capital requirements are for the purchase of inventory, payroll, rent, issuance of IO notes, other store facilities costs, distribution costs and general and administrative costs. Our working capital requirements fluctuate during the year, driven primarily by the timing of inventory fluctuations, new store openings and capital spending.</w:t>
      </w:r>
    </w:p>
    <w:p>
      <w:pPr>
        <w:spacing w:after="0" w:line="76"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Our capital expenditures are primarily related to new store openings, ongoing store maintenance and improvements, expenditures related to our distribution centers and infrastructure-related investments, including investments related to upgrading and maintaining our information technology systems and corporate offices. We expect to fund capital expenditures through cash generated from our operations.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4" w:right="3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60"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Based on our new store growth plans, we believe our existing cash and cash equivalents position, cash generated from our operations, and borrowings under our revolving credit facility will be adequate to finance our working capital requirements, planned capital expenditures and debt service over the next 12 months. If cash generated from our operations and borrowings under our revolving credit facility are not sufficient or available to meet our liquidity requirements, then we will be required to obtain additional equity or debt financing in the future. There can be no assurance equity or debt financing will be available to us when we need it or, if available, the terms will be satisfactory to us and not dilutive to our then-current stockholders. Additionally, we may seek to take advantage of market opportunities to refinance our existing debt instruments with new debt instruments at interest rates, maturities and terms we deem attractive. We may also, from time to time, in our sole discretion, purchase or retire all or a portion of our existing debt instruments through privately negotiated or open market transactions.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Covenant</w:t>
      </w:r>
    </w:p>
    <w:p>
      <w:pPr>
        <w:spacing w:after="0" w:line="175" w:lineRule="exact"/>
        <w:rPr>
          <w:sz w:val="20"/>
          <w:szCs w:val="20"/>
          <w:color w:val="auto"/>
        </w:rPr>
      </w:pPr>
    </w:p>
    <w:p>
      <w:pPr>
        <w:jc w:val="both"/>
        <w:ind w:firstLine="486"/>
        <w:spacing w:after="0" w:line="301" w:lineRule="auto"/>
        <w:rPr>
          <w:sz w:val="20"/>
          <w:szCs w:val="20"/>
          <w:color w:val="auto"/>
        </w:rPr>
      </w:pPr>
      <w:r>
        <w:rPr>
          <w:rFonts w:ascii="Arial" w:cs="Arial" w:eastAsia="Arial" w:hAnsi="Arial"/>
          <w:sz w:val="16"/>
          <w:szCs w:val="16"/>
          <w:color w:val="auto"/>
        </w:rPr>
        <w:t>The First Lien Credit Agreement contains certain customary representations and warranties, subject to limitations and exceptions, and affirmative and customary covenants. The First Lien Credit Agreement has the ability to restrict us from entering into certain types of transactions and making certain types of payments including dividends and stock repurchase and other similar distributions, with certain exceptions. Additionally, the revolving credit facility under our First Lien Credit Agreement is subject to a first lien secured leverage ratio (as defined in the First Lien Credit Agreement) of 7:00 to 1:00.</w:t>
      </w:r>
    </w:p>
    <w:p>
      <w:pPr>
        <w:spacing w:after="0" w:line="4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July 3, 2021, we were in compliance with all applicable financial covenant requirements for our First Lien Credit Agreement.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4" w:right="3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our cash flows for the periods presented (amounts in thousands, except percentages):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26 Weeks Ended</w:t>
            </w: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r>
      <w:tr>
        <w:trPr>
          <w:trHeight w:val="187"/>
        </w:trPr>
        <w:tc>
          <w:tcPr>
            <w:tcW w:w="4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gridSpan w:val="2"/>
          </w:tcPr>
          <w:p>
            <w:pPr>
              <w:ind w:left="140"/>
              <w:spacing w:after="0"/>
              <w:rPr>
                <w:sz w:val="20"/>
                <w:szCs w:val="20"/>
                <w:color w:val="auto"/>
              </w:rPr>
            </w:pPr>
            <w:r>
              <w:rPr>
                <w:rFonts w:ascii="Arial" w:cs="Arial" w:eastAsia="Arial" w:hAnsi="Arial"/>
                <w:sz w:val="14"/>
                <w:szCs w:val="14"/>
                <w:b w:val="1"/>
                <w:bCs w:val="1"/>
                <w:color w:val="auto"/>
              </w:rPr>
              <w:t>July 3, 2021</w:t>
            </w:r>
          </w:p>
        </w:tc>
        <w:tc>
          <w:tcPr>
            <w:tcW w:w="200" w:type="dxa"/>
            <w:vAlign w:val="bottom"/>
          </w:tcPr>
          <w:p>
            <w:pPr>
              <w:spacing w:after="0"/>
              <w:rPr>
                <w:sz w:val="16"/>
                <w:szCs w:val="16"/>
                <w:color w:val="auto"/>
              </w:rPr>
            </w:pPr>
          </w:p>
        </w:tc>
        <w:tc>
          <w:tcPr>
            <w:tcW w:w="138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27, 2020</w:t>
            </w: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jc w:val="right"/>
              <w:ind w:right="354"/>
              <w:spacing w:after="0"/>
              <w:rPr>
                <w:sz w:val="20"/>
                <w:szCs w:val="20"/>
                <w:color w:val="auto"/>
              </w:rPr>
            </w:pPr>
            <w:r>
              <w:rPr>
                <w:rFonts w:ascii="Arial" w:cs="Arial" w:eastAsia="Arial" w:hAnsi="Arial"/>
                <w:sz w:val="14"/>
                <w:szCs w:val="14"/>
                <w:b w:val="1"/>
                <w:bCs w:val="1"/>
                <w:color w:val="auto"/>
                <w:w w:val="89"/>
              </w:rPr>
              <w:t>Change</w:t>
            </w:r>
          </w:p>
        </w:tc>
        <w:tc>
          <w:tcPr>
            <w:tcW w:w="120" w:type="dxa"/>
            <w:vAlign w:val="bottom"/>
          </w:tcPr>
          <w:p>
            <w:pPr>
              <w:spacing w:after="0"/>
              <w:rPr>
                <w:sz w:val="16"/>
                <w:szCs w:val="16"/>
                <w:color w:val="auto"/>
              </w:rPr>
            </w:pPr>
          </w:p>
        </w:tc>
        <w:tc>
          <w:tcPr>
            <w:tcW w:w="1600" w:type="dxa"/>
            <w:vAlign w:val="bottom"/>
          </w:tcPr>
          <w:p>
            <w:pPr>
              <w:jc w:val="right"/>
              <w:ind w:right="399"/>
              <w:spacing w:after="0"/>
              <w:rPr>
                <w:sz w:val="20"/>
                <w:szCs w:val="20"/>
                <w:color w:val="auto"/>
              </w:rPr>
            </w:pPr>
            <w:r>
              <w:rPr>
                <w:rFonts w:ascii="Arial" w:cs="Arial" w:eastAsia="Arial" w:hAnsi="Arial"/>
                <w:sz w:val="14"/>
                <w:szCs w:val="14"/>
                <w:b w:val="1"/>
                <w:bCs w:val="1"/>
                <w:color w:val="auto"/>
              </w:rPr>
              <w:t>% Change</w:t>
            </w:r>
          </w:p>
        </w:tc>
      </w:tr>
      <w:tr>
        <w:trPr>
          <w:trHeight w:val="224"/>
        </w:trPr>
        <w:tc>
          <w:tcPr>
            <w:tcW w:w="4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85,139</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center"/>
              <w:ind w:left="556"/>
              <w:spacing w:after="0"/>
              <w:rPr>
                <w:sz w:val="20"/>
                <w:szCs w:val="20"/>
                <w:color w:val="auto"/>
              </w:rPr>
            </w:pPr>
            <w:r>
              <w:rPr>
                <w:rFonts w:ascii="Arial" w:cs="Arial" w:eastAsia="Arial" w:hAnsi="Arial"/>
                <w:sz w:val="18"/>
                <w:szCs w:val="18"/>
                <w:color w:val="auto"/>
                <w:w w:val="90"/>
              </w:rPr>
              <w:t>90,056</w:t>
            </w:r>
          </w:p>
        </w:tc>
        <w:tc>
          <w:tcPr>
            <w:tcW w:w="12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ind w:right="354"/>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(4,917)</w:t>
            </w:r>
          </w:p>
        </w:tc>
        <w:tc>
          <w:tcPr>
            <w:tcW w:w="12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r>
      <w:tr>
        <w:trPr>
          <w:trHeight w:val="229"/>
        </w:trPr>
        <w:tc>
          <w:tcPr>
            <w:tcW w:w="490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(68,219)</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center"/>
              <w:ind w:left="516"/>
              <w:spacing w:after="0"/>
              <w:rPr>
                <w:sz w:val="20"/>
                <w:szCs w:val="20"/>
                <w:color w:val="auto"/>
              </w:rPr>
            </w:pPr>
            <w:r>
              <w:rPr>
                <w:rFonts w:ascii="Arial" w:cs="Arial" w:eastAsia="Arial" w:hAnsi="Arial"/>
                <w:sz w:val="18"/>
                <w:szCs w:val="18"/>
                <w:color w:val="auto"/>
                <w:w w:val="92"/>
              </w:rPr>
              <w:t>(52,170)</w:t>
            </w:r>
          </w:p>
        </w:tc>
        <w:tc>
          <w:tcPr>
            <w:tcW w:w="120" w:type="dxa"/>
            <w:vAlign w:val="bottom"/>
          </w:tcPr>
          <w:p>
            <w:pPr>
              <w:spacing w:after="0"/>
              <w:rPr>
                <w:sz w:val="19"/>
                <w:szCs w:val="19"/>
                <w:color w:val="auto"/>
              </w:rPr>
            </w:pPr>
          </w:p>
        </w:tc>
        <w:tc>
          <w:tcPr>
            <w:tcW w:w="540" w:type="dxa"/>
            <w:vAlign w:val="bottom"/>
          </w:tcPr>
          <w:p>
            <w:pPr>
              <w:jc w:val="right"/>
              <w:ind w:right="354"/>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(16,049)</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30.8 %</w:t>
            </w:r>
          </w:p>
        </w:tc>
      </w:tr>
      <w:tr>
        <w:trPr>
          <w:trHeight w:val="229"/>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4,377</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center"/>
              <w:ind w:left="556"/>
              <w:spacing w:after="0"/>
              <w:rPr>
                <w:sz w:val="20"/>
                <w:szCs w:val="20"/>
                <w:color w:val="auto"/>
              </w:rPr>
            </w:pPr>
            <w:r>
              <w:rPr>
                <w:rFonts w:ascii="Arial" w:cs="Arial" w:eastAsia="Arial" w:hAnsi="Arial"/>
                <w:sz w:val="18"/>
                <w:szCs w:val="18"/>
                <w:color w:val="auto"/>
                <w:w w:val="90"/>
              </w:rPr>
              <w:t>13,816</w:t>
            </w:r>
          </w:p>
        </w:tc>
        <w:tc>
          <w:tcPr>
            <w:tcW w:w="12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354"/>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(9,439)</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(68.3)%</w:t>
            </w:r>
          </w:p>
        </w:tc>
      </w:tr>
      <w:tr>
        <w:trPr>
          <w:trHeight w:val="223"/>
        </w:trPr>
        <w:tc>
          <w:tcPr>
            <w:tcW w:w="4900" w:type="dxa"/>
            <w:vAlign w:val="bottom"/>
          </w:tcPr>
          <w:p>
            <w:pPr>
              <w:ind w:left="20"/>
              <w:spacing w:after="0"/>
              <w:rPr>
                <w:sz w:val="20"/>
                <w:szCs w:val="20"/>
                <w:color w:val="auto"/>
              </w:rPr>
            </w:pPr>
            <w:r>
              <w:rPr>
                <w:rFonts w:ascii="Arial" w:cs="Arial" w:eastAsia="Arial" w:hAnsi="Arial"/>
                <w:sz w:val="18"/>
                <w:szCs w:val="18"/>
                <w:color w:val="auto"/>
              </w:rPr>
              <w:t>Net increase in cash and cash equivalents</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21,297</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center"/>
              <w:ind w:left="556"/>
              <w:spacing w:after="0"/>
              <w:rPr>
                <w:sz w:val="20"/>
                <w:szCs w:val="20"/>
                <w:color w:val="auto"/>
              </w:rPr>
            </w:pPr>
            <w:r>
              <w:rPr>
                <w:rFonts w:ascii="Arial" w:cs="Arial" w:eastAsia="Arial" w:hAnsi="Arial"/>
                <w:sz w:val="18"/>
                <w:szCs w:val="18"/>
                <w:color w:val="auto"/>
                <w:w w:val="90"/>
              </w:rPr>
              <w:t>51,702</w:t>
            </w:r>
          </w:p>
        </w:tc>
        <w:tc>
          <w:tcPr>
            <w:tcW w:w="120" w:type="dxa"/>
            <w:vAlign w:val="bottom"/>
          </w:tcPr>
          <w:p>
            <w:pPr>
              <w:spacing w:after="0"/>
              <w:rPr>
                <w:sz w:val="19"/>
                <w:szCs w:val="19"/>
                <w:color w:val="auto"/>
              </w:rPr>
            </w:pPr>
          </w:p>
        </w:tc>
        <w:tc>
          <w:tcPr>
            <w:tcW w:w="540" w:type="dxa"/>
            <w:vAlign w:val="bottom"/>
            <w:tcBorders>
              <w:bottom w:val="single" w:sz="8" w:color="auto"/>
            </w:tcBorders>
          </w:tcPr>
          <w:p>
            <w:pPr>
              <w:jc w:val="right"/>
              <w:ind w:right="354"/>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(30,405)</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(58.8)%</w:t>
            </w:r>
          </w:p>
        </w:tc>
      </w:tr>
      <w:tr>
        <w:trPr>
          <w:trHeight w:val="20"/>
        </w:trPr>
        <w:tc>
          <w:tcPr>
            <w:tcW w:w="4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Provided by Operating Activities</w:t>
      </w:r>
    </w:p>
    <w:p>
      <w:pPr>
        <w:spacing w:after="0" w:line="117"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Net cash provided by operating activities was $85.1 million for the 26 weeks ended July 3, 2021 compared to $90.1 million for the same period in fiscal 2020. The decrease in net cash provided by operating activities of $4.9 million for the 26 weeks ended July 3, 2021 compared to the same period in fiscal 2020 was primarily the result of lower net sales driven by a decrease in comparable store sales (as discussed above), partially offset by non-comparable store sales growth attributable to the net 38 new stores opened over the last 12 months.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Used in Investing Activities</w:t>
      </w:r>
    </w:p>
    <w:p>
      <w:pPr>
        <w:spacing w:after="0" w:line="117"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Net cash used in investing activities was $68.2 million for the 26 weeks ended July 3, 2021 compared to $52.2 million for the same period in fiscal 2020. The increase in net cash used in investing activities of $16.0 million for the 26 weeks ended July 3, 2021 compared to the same period in fiscal 2020 was primarily related to capital expenditures including the construction of newly opened stores and stores under development as well as existing store capital investments. We had 21 new store openings and two store relocations in the 26 weeks ended July 3, 2021 compared to 17 new store openings and one store relocation in the same period of fiscal 2020.</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Provided by Financing Activities</w:t>
      </w:r>
    </w:p>
    <w:p>
      <w:pPr>
        <w:spacing w:after="0" w:line="117"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Net cash provided by financing activities was $4.4 million for the 26 weeks ended July 3, 2021 compared to $13.8 million net cash provided by financing activities for the same period in fiscal 2020. The decrease in net cash provided by financing activities was primarily due to a decrease in proceeds received from the exercise of stock options.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4" w:right="3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July 3, 2021, we did not have any off-balance sheet arrangements as defined in Item 303(a)(4)(ii) of Regulation S-K.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There have been no material changes outside the ordinary course of business to our contractual obligations during the 26 weeks ended July 3, 2021 from those disclosed in our 2020 Annual Report on Form 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jc w:val="both"/>
        <w:ind w:firstLine="486"/>
        <w:spacing w:after="0" w:line="295" w:lineRule="auto"/>
        <w:rPr>
          <w:sz w:val="20"/>
          <w:szCs w:val="20"/>
          <w:color w:val="auto"/>
        </w:rPr>
      </w:pPr>
      <w:r>
        <w:rPr>
          <w:rFonts w:ascii="Arial" w:cs="Arial" w:eastAsia="Arial" w:hAnsi="Arial"/>
          <w:sz w:val="16"/>
          <w:szCs w:val="16"/>
          <w:color w:val="auto"/>
        </w:rPr>
        <w:t>Our condensed consolidated financial statements are prepared in accordance with accounting principles generally accepted in the United States of America (“GAAP”) and the applicable rules and regulations of the SEC for interim reporting. The preparation of these condensed consolidated financial statements requires us to make estimates and assumptions that affect the reported amounts of assets, liabilities, revenue, expenses and related disclosures. We evaluate our estimates and assumptions on an ongoing basis. Our estimates are based on historical experience and various other assumptions that we believe to be reasonable under the circumstances. Our actual results could differ from these estimates.</w:t>
      </w:r>
    </w:p>
    <w:p>
      <w:pPr>
        <w:spacing w:after="0" w:line="3"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There have been no material changes to our critical accounting policies and estimates during the 26 weeks ended July 3, 2021 from those disclosed in our 2020 Annual Report on Form 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Refer to Note 1 to the condensed consolidated financial statements included elsewhere in this report.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21" w:lineRule="exact"/>
        <w:rPr>
          <w:sz w:val="20"/>
          <w:szCs w:val="20"/>
          <w:color w:val="auto"/>
        </w:rPr>
      </w:pPr>
    </w:p>
    <w:p>
      <w:pPr>
        <w:jc w:val="both"/>
        <w:ind w:firstLine="486"/>
        <w:spacing w:after="0" w:line="296" w:lineRule="auto"/>
        <w:rPr>
          <w:sz w:val="20"/>
          <w:szCs w:val="20"/>
          <w:color w:val="auto"/>
        </w:rPr>
      </w:pPr>
      <w:r>
        <w:rPr>
          <w:rFonts w:ascii="Arial" w:cs="Arial" w:eastAsia="Arial" w:hAnsi="Arial"/>
          <w:sz w:val="16"/>
          <w:szCs w:val="16"/>
          <w:color w:val="auto"/>
        </w:rPr>
        <w:t>Our operating results are subject to market risk from interest rate fluctuations on our credit facilities, which bear variable interest rates. As of July 3, 2021, our outstanding credit facilities included a $460.0 million term loan (the "Second Replacement Term Loan"). As of July 3, 2021, the interest rate on the Second Replacement Term Loan was 2.84%. See Note 3 to the condensed consolidated financial statements for additional information. Based on the outstanding balance and interest rate of our Second Replacement Term Loan as of July 3, 2021, a hypothetical 10% relative increase or decrease in the effective interest rate would cause an increase or decrease in interest expense of approximately $1.3 million over the next 12 months.</w:t>
      </w:r>
    </w:p>
    <w:p>
      <w:pPr>
        <w:spacing w:after="0" w:line="53"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We do not currently use derivative financial instruments for speculative or trading purposes. This practice does not preclude our adoption of specific hedging strategies in the future.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4" w:right="3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Under the supervision and with the participation of our management including our Chief Executive Officer and Chief Financial Officer, we evaluated the effectiveness of the design and operation of our disclosure controls and procedures pursuant to Rule 13a-15(e) and 15d-15(e) under the Securities Exchange Act of 1934, as amended (the "Exchange Act") as of the end of the period covered by this report. Our disclosure controls are designed to ensure that information required to be disclosed by us in reports that we file or submit under the Exchange Act, is recorded, processed, summarized and reported within the time periods specified in the SEC’s rules and forms, and that such information is accumulated and communicated to our management, including our Chief Executive Officer and our Chief Financial Officer, as appropriate, to allow timely decisions regarding required disclosures.</w:t>
      </w:r>
    </w:p>
    <w:p>
      <w:pPr>
        <w:spacing w:after="0" w:line="56"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Based on that evaluation, our Chief Executive Officer and Chief Financial Officer have concluded that our disclosure controls and procedures were effective at a reasonable assurance level as of July 3, 2021.</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During the quarter ended July 3, 2021, there was no change in our internal control over financial reporting identified in connection with the evaluation required by Rule 13a-15(d) and 15d-15(d) of the Exchange Act that has materially affected, or is reasonably likely to materially affect, our internal control over financial reporting.</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Effectiveness of Controls</w:t>
      </w:r>
    </w:p>
    <w:p>
      <w:pPr>
        <w:spacing w:after="0" w:line="121"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In designing and evaluating the disclosure controls and procedures and internal control over financial reporting,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4" w:right="3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jc w:val="both"/>
        <w:ind w:firstLine="486"/>
        <w:spacing w:after="0" w:line="342" w:lineRule="auto"/>
        <w:rPr>
          <w:sz w:val="20"/>
          <w:szCs w:val="20"/>
          <w:color w:val="auto"/>
        </w:rPr>
      </w:pPr>
      <w:r>
        <w:rPr>
          <w:rFonts w:ascii="Arial" w:cs="Arial" w:eastAsia="Arial" w:hAnsi="Arial"/>
          <w:sz w:val="16"/>
          <w:szCs w:val="16"/>
          <w:color w:val="auto"/>
        </w:rPr>
        <w:t>From time to time, we may be party to litigation that arises in the ordinary course of our business. Management believes that we do not have any pending litigation that, separately or in the aggregate, would have a material adverse effect on our financial condition, results of operations or cash flows.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In addition to the other information set forth in this Quarterly Report on Form 10-Q, our business, financial condition and operating results can be affected by a number of factors, whether currently known or unknown, including but not limited to those described in Part I, Item 1A of our 2020 Annual Report on Form 10-K under the heading “Risk Factors,” any one or more of which could, directly or indirectly, cause our actual financial condition and operating results to vary materially from past, or from anticipated future, financial condition and operating results. Any of these factors, in whole or in part, could materially and adversely affect our business, financial condition, operating results and stock price. There have been no material changes to our risk factors since the 2020 Form 10-K.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 Upon Senior Securities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4" w:right="3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gridSpan w:val="4"/>
          </w:tcPr>
          <w:p>
            <w:pPr>
              <w:ind w:left="340"/>
              <w:spacing w:after="0"/>
              <w:rPr>
                <w:sz w:val="20"/>
                <w:szCs w:val="20"/>
                <w:color w:val="auto"/>
              </w:rPr>
            </w:pPr>
            <w:r>
              <w:rPr>
                <w:rFonts w:ascii="Arial" w:cs="Arial" w:eastAsia="Arial" w:hAnsi="Arial"/>
                <w:sz w:val="16"/>
                <w:szCs w:val="16"/>
                <w:b w:val="1"/>
                <w:bCs w:val="1"/>
                <w:color w:val="auto"/>
              </w:rPr>
              <w:t>Incorporated by Reference</w:t>
            </w:r>
          </w:p>
        </w:tc>
        <w:tc>
          <w:tcPr>
            <w:tcW w:w="8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108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93"/>
              </w:rPr>
              <w:t>Exhibit No.</w:t>
            </w: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140" w:type="dxa"/>
            <w:vAlign w:val="bottom"/>
            <w:gridSpan w:val="10"/>
            <w:vMerge w:val="restart"/>
          </w:tcPr>
          <w:p>
            <w:pPr>
              <w:ind w:left="1820"/>
              <w:spacing w:after="0"/>
              <w:rPr>
                <w:sz w:val="20"/>
                <w:szCs w:val="20"/>
                <w:color w:val="auto"/>
              </w:rPr>
            </w:pPr>
            <w:r>
              <w:rPr>
                <w:rFonts w:ascii="Arial" w:cs="Arial" w:eastAsia="Arial" w:hAnsi="Arial"/>
                <w:sz w:val="16"/>
                <w:szCs w:val="16"/>
                <w:b w:val="1"/>
                <w:bCs w:val="1"/>
                <w:color w:val="auto"/>
              </w:rPr>
              <w:t>Exhibit</w:t>
            </w:r>
          </w:p>
        </w:tc>
        <w:tc>
          <w:tcPr>
            <w:tcW w:w="80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94"/>
              </w:rPr>
              <w:t>Form</w:t>
            </w:r>
          </w:p>
        </w:tc>
        <w:tc>
          <w:tcPr>
            <w:tcW w:w="1320" w:type="dxa"/>
            <w:vAlign w:val="bottom"/>
            <w:gridSpan w:val="2"/>
          </w:tcPr>
          <w:p>
            <w:pPr>
              <w:jc w:val="center"/>
              <w:ind w:right="180"/>
              <w:spacing w:after="0" w:line="158" w:lineRule="exact"/>
              <w:rPr>
                <w:sz w:val="20"/>
                <w:szCs w:val="20"/>
                <w:color w:val="auto"/>
              </w:rPr>
            </w:pPr>
            <w:r>
              <w:rPr>
                <w:rFonts w:ascii="Arial" w:cs="Arial" w:eastAsia="Arial" w:hAnsi="Arial"/>
                <w:sz w:val="16"/>
                <w:szCs w:val="16"/>
                <w:b w:val="1"/>
                <w:bCs w:val="1"/>
                <w:color w:val="auto"/>
                <w:w w:val="94"/>
              </w:rPr>
              <w:t>File</w:t>
            </w:r>
          </w:p>
        </w:tc>
        <w:tc>
          <w:tcPr>
            <w:tcW w:w="1180" w:type="dxa"/>
            <w:vAlign w:val="bottom"/>
            <w:gridSpan w:val="2"/>
          </w:tcPr>
          <w:p>
            <w:pPr>
              <w:jc w:val="center"/>
              <w:ind w:right="140"/>
              <w:spacing w:after="0" w:line="158" w:lineRule="exact"/>
              <w:rPr>
                <w:sz w:val="20"/>
                <w:szCs w:val="20"/>
                <w:color w:val="auto"/>
              </w:rPr>
            </w:pPr>
            <w:r>
              <w:rPr>
                <w:rFonts w:ascii="Arial" w:cs="Arial" w:eastAsia="Arial" w:hAnsi="Arial"/>
                <w:sz w:val="16"/>
                <w:szCs w:val="16"/>
                <w:b w:val="1"/>
                <w:bCs w:val="1"/>
                <w:color w:val="auto"/>
                <w:w w:val="93"/>
              </w:rPr>
              <w:t>Filing</w:t>
            </w:r>
          </w:p>
        </w:tc>
        <w:tc>
          <w:tcPr>
            <w:tcW w:w="840" w:type="dxa"/>
            <w:vAlign w:val="bottom"/>
          </w:tcPr>
          <w:p>
            <w:pPr>
              <w:jc w:val="center"/>
              <w:spacing w:after="0" w:line="158" w:lineRule="exact"/>
              <w:rPr>
                <w:sz w:val="20"/>
                <w:szCs w:val="20"/>
                <w:color w:val="auto"/>
              </w:rPr>
            </w:pPr>
            <w:r>
              <w:rPr>
                <w:rFonts w:ascii="Arial" w:cs="Arial" w:eastAsia="Arial" w:hAnsi="Arial"/>
                <w:sz w:val="16"/>
                <w:szCs w:val="16"/>
                <w:b w:val="1"/>
                <w:bCs w:val="1"/>
                <w:color w:val="auto"/>
                <w:w w:val="97"/>
              </w:rPr>
              <w:t>Exhibit</w:t>
            </w:r>
          </w:p>
        </w:tc>
        <w:tc>
          <w:tcPr>
            <w:tcW w:w="0" w:type="dxa"/>
            <w:vAlign w:val="bottom"/>
          </w:tcPr>
          <w:p>
            <w:pPr>
              <w:spacing w:after="0"/>
              <w:rPr>
                <w:sz w:val="1"/>
                <w:szCs w:val="1"/>
                <w:color w:val="auto"/>
              </w:rPr>
            </w:pPr>
          </w:p>
        </w:tc>
      </w:tr>
      <w:tr>
        <w:trPr>
          <w:trHeight w:val="213"/>
        </w:trPr>
        <w:tc>
          <w:tcPr>
            <w:tcW w:w="108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140" w:type="dxa"/>
            <w:vAlign w:val="bottom"/>
            <w:gridSpan w:val="10"/>
            <w:vMerge w:val="continue"/>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3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No.</w:t>
            </w:r>
          </w:p>
        </w:tc>
        <w:tc>
          <w:tcPr>
            <w:tcW w:w="11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Date</w:t>
            </w:r>
          </w:p>
        </w:tc>
        <w:tc>
          <w:tcPr>
            <w:tcW w:w="840" w:type="dxa"/>
            <w:vAlign w:val="bottom"/>
          </w:tcPr>
          <w:p>
            <w:pPr>
              <w:jc w:val="center"/>
              <w:spacing w:after="0"/>
              <w:rPr>
                <w:sz w:val="20"/>
                <w:szCs w:val="20"/>
                <w:color w:val="auto"/>
              </w:rPr>
            </w:pPr>
            <w:r>
              <w:rPr>
                <w:rFonts w:ascii="Arial" w:cs="Arial" w:eastAsia="Arial" w:hAnsi="Arial"/>
                <w:sz w:val="16"/>
                <w:szCs w:val="16"/>
                <w:b w:val="1"/>
                <w:bCs w:val="1"/>
                <w:color w:val="auto"/>
                <w:w w:val="92"/>
              </w:rPr>
              <w:t>No.</w:t>
            </w:r>
          </w:p>
        </w:tc>
        <w:tc>
          <w:tcPr>
            <w:tcW w:w="0" w:type="dxa"/>
            <w:vAlign w:val="bottom"/>
          </w:tcPr>
          <w:p>
            <w:pPr>
              <w:spacing w:after="0"/>
              <w:rPr>
                <w:sz w:val="1"/>
                <w:szCs w:val="1"/>
                <w:color w:val="auto"/>
              </w:rPr>
            </w:pPr>
          </w:p>
        </w:tc>
      </w:tr>
      <w:tr>
        <w:trPr>
          <w:trHeight w:val="185"/>
        </w:trPr>
        <w:tc>
          <w:tcPr>
            <w:tcW w:w="960" w:type="dxa"/>
            <w:vAlign w:val="bottom"/>
            <w:tcBorders>
              <w:top w:val="single" w:sz="8" w:color="auto"/>
            </w:tcBorders>
          </w:tcPr>
          <w:p>
            <w:pPr>
              <w:jc w:val="center"/>
              <w:spacing w:after="0" w:line="185" w:lineRule="exact"/>
              <w:rPr>
                <w:sz w:val="20"/>
                <w:szCs w:val="20"/>
                <w:color w:val="auto"/>
              </w:rPr>
            </w:pPr>
            <w:r>
              <w:rPr>
                <w:rFonts w:ascii="Arial" w:cs="Arial" w:eastAsia="Arial" w:hAnsi="Arial"/>
                <w:sz w:val="18"/>
                <w:szCs w:val="18"/>
                <w:color w:val="auto"/>
                <w:w w:val="87"/>
              </w:rPr>
              <w:t>3.1</w:t>
            </w:r>
          </w:p>
        </w:tc>
        <w:tc>
          <w:tcPr>
            <w:tcW w:w="12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5900" w:type="dxa"/>
            <w:vAlign w:val="bottom"/>
            <w:tcBorders>
              <w:top w:val="single" w:sz="8" w:color="auto"/>
            </w:tcBorders>
            <w:gridSpan w:val="11"/>
          </w:tcPr>
          <w:p>
            <w:pPr>
              <w:spacing w:after="0" w:line="185" w:lineRule="exact"/>
              <w:rPr>
                <w:rFonts w:ascii="Arial" w:cs="Arial" w:eastAsia="Arial" w:hAnsi="Arial"/>
                <w:sz w:val="18"/>
                <w:szCs w:val="18"/>
                <w:color w:val="0000FF"/>
                <w:w w:val="95"/>
              </w:rPr>
            </w:pPr>
            <w:hyperlink r:id="rId54">
              <w:r>
                <w:rPr>
                  <w:rFonts w:ascii="Arial" w:cs="Arial" w:eastAsia="Arial" w:hAnsi="Arial"/>
                  <w:sz w:val="18"/>
                  <w:szCs w:val="18"/>
                  <w:color w:val="0000FF"/>
                  <w:w w:val="95"/>
                </w:rPr>
                <w:t>Amended and Restated Certificate of Incorporation of Grocery Outlet Holding</w:t>
              </w:r>
            </w:hyperlink>
          </w:p>
        </w:tc>
        <w:tc>
          <w:tcPr>
            <w:tcW w:w="100" w:type="dxa"/>
            <w:vAlign w:val="bottom"/>
          </w:tcPr>
          <w:p>
            <w:pPr>
              <w:spacing w:after="0"/>
              <w:rPr>
                <w:sz w:val="16"/>
                <w:szCs w:val="16"/>
                <w:color w:val="auto"/>
              </w:rPr>
            </w:pPr>
          </w:p>
        </w:tc>
        <w:tc>
          <w:tcPr>
            <w:tcW w:w="680" w:type="dxa"/>
            <w:vAlign w:val="bottom"/>
            <w:tcBorders>
              <w:top w:val="single" w:sz="8" w:color="auto"/>
            </w:tcBorders>
          </w:tcPr>
          <w:p>
            <w:pPr>
              <w:jc w:val="center"/>
              <w:spacing w:after="0" w:line="185" w:lineRule="exact"/>
              <w:rPr>
                <w:sz w:val="20"/>
                <w:szCs w:val="20"/>
                <w:color w:val="auto"/>
              </w:rPr>
            </w:pPr>
            <w:r>
              <w:rPr>
                <w:rFonts w:ascii="Arial" w:cs="Arial" w:eastAsia="Arial" w:hAnsi="Arial"/>
                <w:sz w:val="18"/>
                <w:szCs w:val="18"/>
                <w:color w:val="auto"/>
                <w:w w:val="92"/>
              </w:rPr>
              <w:t>S-8</w:t>
            </w:r>
          </w:p>
        </w:tc>
        <w:tc>
          <w:tcPr>
            <w:tcW w:w="120" w:type="dxa"/>
            <w:vAlign w:val="bottom"/>
          </w:tcPr>
          <w:p>
            <w:pPr>
              <w:spacing w:after="0"/>
              <w:rPr>
                <w:sz w:val="16"/>
                <w:szCs w:val="16"/>
                <w:color w:val="auto"/>
              </w:rPr>
            </w:pPr>
          </w:p>
        </w:tc>
        <w:tc>
          <w:tcPr>
            <w:tcW w:w="1200" w:type="dxa"/>
            <w:vAlign w:val="bottom"/>
            <w:tcBorders>
              <w:top w:val="single" w:sz="8" w:color="auto"/>
            </w:tcBorders>
          </w:tcPr>
          <w:p>
            <w:pPr>
              <w:jc w:val="center"/>
              <w:spacing w:after="0" w:line="185" w:lineRule="exact"/>
              <w:rPr>
                <w:sz w:val="20"/>
                <w:szCs w:val="20"/>
                <w:color w:val="auto"/>
              </w:rPr>
            </w:pPr>
            <w:r>
              <w:rPr>
                <w:rFonts w:ascii="Arial" w:cs="Arial" w:eastAsia="Arial" w:hAnsi="Arial"/>
                <w:sz w:val="18"/>
                <w:szCs w:val="18"/>
                <w:color w:val="auto"/>
                <w:w w:val="91"/>
              </w:rPr>
              <w:t>333-232318</w:t>
            </w:r>
          </w:p>
        </w:tc>
        <w:tc>
          <w:tcPr>
            <w:tcW w:w="120" w:type="dxa"/>
            <w:vAlign w:val="bottom"/>
          </w:tcPr>
          <w:p>
            <w:pPr>
              <w:spacing w:after="0"/>
              <w:rPr>
                <w:sz w:val="16"/>
                <w:szCs w:val="16"/>
                <w:color w:val="auto"/>
              </w:rPr>
            </w:pPr>
          </w:p>
        </w:tc>
        <w:tc>
          <w:tcPr>
            <w:tcW w:w="1080" w:type="dxa"/>
            <w:vAlign w:val="bottom"/>
            <w:tcBorders>
              <w:top w:val="single" w:sz="8" w:color="auto"/>
            </w:tcBorders>
          </w:tcPr>
          <w:p>
            <w:pPr>
              <w:jc w:val="center"/>
              <w:spacing w:after="0" w:line="185" w:lineRule="exact"/>
              <w:rPr>
                <w:sz w:val="20"/>
                <w:szCs w:val="20"/>
                <w:color w:val="auto"/>
              </w:rPr>
            </w:pPr>
            <w:r>
              <w:rPr>
                <w:rFonts w:ascii="Arial" w:cs="Arial" w:eastAsia="Arial" w:hAnsi="Arial"/>
                <w:sz w:val="18"/>
                <w:szCs w:val="18"/>
                <w:color w:val="auto"/>
                <w:w w:val="89"/>
              </w:rPr>
              <w:t>6/24/2019</w:t>
            </w:r>
          </w:p>
        </w:tc>
        <w:tc>
          <w:tcPr>
            <w:tcW w:w="100" w:type="dxa"/>
            <w:vAlign w:val="bottom"/>
          </w:tcPr>
          <w:p>
            <w:pPr>
              <w:spacing w:after="0"/>
              <w:rPr>
                <w:sz w:val="16"/>
                <w:szCs w:val="16"/>
                <w:color w:val="auto"/>
              </w:rPr>
            </w:pPr>
          </w:p>
        </w:tc>
        <w:tc>
          <w:tcPr>
            <w:tcW w:w="840" w:type="dxa"/>
            <w:vAlign w:val="bottom"/>
            <w:tcBorders>
              <w:top w:val="single" w:sz="8" w:color="auto"/>
            </w:tcBorders>
          </w:tcPr>
          <w:p>
            <w:pPr>
              <w:jc w:val="center"/>
              <w:spacing w:after="0" w:line="185" w:lineRule="exact"/>
              <w:rPr>
                <w:sz w:val="20"/>
                <w:szCs w:val="20"/>
                <w:color w:val="auto"/>
              </w:rPr>
            </w:pPr>
            <w:r>
              <w:rPr>
                <w:rFonts w:ascii="Arial" w:cs="Arial" w:eastAsia="Arial" w:hAnsi="Arial"/>
                <w:sz w:val="18"/>
                <w:szCs w:val="18"/>
                <w:color w:val="auto"/>
                <w:w w:val="95"/>
              </w:rPr>
              <w:t>4.1</w:t>
            </w:r>
          </w:p>
        </w:tc>
        <w:tc>
          <w:tcPr>
            <w:tcW w:w="0" w:type="dxa"/>
            <w:vAlign w:val="bottom"/>
          </w:tcPr>
          <w:p>
            <w:pPr>
              <w:spacing w:after="0"/>
              <w:rPr>
                <w:sz w:val="1"/>
                <w:szCs w:val="1"/>
                <w:color w:val="auto"/>
              </w:rPr>
            </w:pPr>
          </w:p>
        </w:tc>
      </w:tr>
      <w:tr>
        <w:trPr>
          <w:trHeight w:val="156"/>
        </w:trPr>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6"/>
              </w:rPr>
            </w:pPr>
            <w:hyperlink r:id="rId54">
              <w:r>
                <w:rPr>
                  <w:rFonts w:ascii="Arial" w:cs="Arial" w:eastAsia="Arial" w:hAnsi="Arial"/>
                  <w:sz w:val="18"/>
                  <w:szCs w:val="18"/>
                  <w:color w:val="0000FF"/>
                  <w:w w:val="86"/>
                </w:rPr>
                <w:t>Corp.</w:t>
              </w:r>
            </w:hyperlink>
          </w:p>
        </w:tc>
        <w:tc>
          <w:tcPr>
            <w:tcW w:w="5480" w:type="dxa"/>
            <w:vAlign w:val="bottom"/>
            <w:tcBorders>
              <w:top w:val="single" w:sz="8" w:color="0000FF"/>
            </w:tcBorders>
            <w:gridSpan w:val="9"/>
          </w:tcPr>
          <w:p>
            <w:pPr>
              <w:spacing w:after="0"/>
              <w:rPr>
                <w:sz w:val="13"/>
                <w:szCs w:val="13"/>
                <w:color w:val="auto"/>
              </w:rPr>
            </w:pPr>
          </w:p>
        </w:tc>
        <w:tc>
          <w:tcPr>
            <w:tcW w:w="120" w:type="dxa"/>
            <w:vAlign w:val="bottom"/>
            <w:gridSpan w:val="2"/>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96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60" w:type="dxa"/>
            <w:vAlign w:val="bottom"/>
            <w:tcBorders>
              <w:bottom w:val="single" w:sz="8" w:color="0000FF"/>
            </w:tcBorders>
            <w:gridSpan w:val="3"/>
          </w:tcPr>
          <w:p>
            <w:pPr>
              <w:spacing w:after="0"/>
              <w:rPr>
                <w:rFonts w:ascii="Arial" w:cs="Arial" w:eastAsia="Arial" w:hAnsi="Arial"/>
                <w:sz w:val="18"/>
                <w:szCs w:val="18"/>
                <w:color w:val="0000FF"/>
                <w:w w:val="91"/>
              </w:rPr>
            </w:pPr>
            <w:hyperlink r:id="rId55">
              <w:r>
                <w:rPr>
                  <w:rFonts w:ascii="Arial" w:cs="Arial" w:eastAsia="Arial" w:hAnsi="Arial"/>
                  <w:sz w:val="18"/>
                  <w:szCs w:val="18"/>
                  <w:color w:val="0000FF"/>
                  <w:w w:val="91"/>
                </w:rPr>
                <w:t>Amended and Restated Bylaws of Grocery Outlet Holding Corp.</w:t>
              </w:r>
            </w:hyperlink>
          </w:p>
        </w:tc>
        <w:tc>
          <w:tcPr>
            <w:tcW w:w="1340" w:type="dxa"/>
            <w:vAlign w:val="bottom"/>
            <w:gridSpan w:val="9"/>
          </w:tcPr>
          <w:p>
            <w:pPr>
              <w:spacing w:after="0"/>
              <w:rPr>
                <w:sz w:val="18"/>
                <w:szCs w:val="18"/>
                <w:color w:val="auto"/>
              </w:rPr>
            </w:pPr>
          </w:p>
        </w:tc>
        <w:tc>
          <w:tcPr>
            <w:tcW w:w="80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S-8</w:t>
            </w:r>
          </w:p>
        </w:tc>
        <w:tc>
          <w:tcPr>
            <w:tcW w:w="1200" w:type="dxa"/>
            <w:vAlign w:val="bottom"/>
          </w:tcPr>
          <w:p>
            <w:pPr>
              <w:jc w:val="center"/>
              <w:spacing w:after="0"/>
              <w:rPr>
                <w:sz w:val="20"/>
                <w:szCs w:val="20"/>
                <w:color w:val="auto"/>
              </w:rPr>
            </w:pPr>
            <w:r>
              <w:rPr>
                <w:rFonts w:ascii="Arial" w:cs="Arial" w:eastAsia="Arial" w:hAnsi="Arial"/>
                <w:sz w:val="18"/>
                <w:szCs w:val="18"/>
                <w:color w:val="auto"/>
                <w:w w:val="91"/>
              </w:rPr>
              <w:t>333-232318</w:t>
            </w:r>
          </w:p>
        </w:tc>
        <w:tc>
          <w:tcPr>
            <w:tcW w:w="12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6/24/2019</w:t>
            </w:r>
          </w:p>
        </w:tc>
        <w:tc>
          <w:tcPr>
            <w:tcW w:w="10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5"/>
              </w:rPr>
              <w:t>4.2</w:t>
            </w:r>
          </w:p>
        </w:tc>
        <w:tc>
          <w:tcPr>
            <w:tcW w:w="0" w:type="dxa"/>
            <w:vAlign w:val="bottom"/>
          </w:tcPr>
          <w:p>
            <w:pPr>
              <w:spacing w:after="0"/>
              <w:rPr>
                <w:sz w:val="1"/>
                <w:szCs w:val="1"/>
                <w:color w:val="auto"/>
              </w:rPr>
            </w:pPr>
          </w:p>
        </w:tc>
      </w:tr>
      <w:tr>
        <w:trPr>
          <w:trHeight w:val="209"/>
        </w:trPr>
        <w:tc>
          <w:tcPr>
            <w:tcW w:w="960" w:type="dxa"/>
            <w:vAlign w:val="bottom"/>
          </w:tcPr>
          <w:p>
            <w:pPr>
              <w:jc w:val="center"/>
              <w:spacing w:after="0"/>
              <w:rPr>
                <w:sz w:val="20"/>
                <w:szCs w:val="20"/>
                <w:color w:val="auto"/>
              </w:rPr>
            </w:pPr>
            <w:r>
              <w:rPr>
                <w:rFonts w:ascii="Arial" w:cs="Arial" w:eastAsia="Arial" w:hAnsi="Arial"/>
                <w:sz w:val="18"/>
                <w:szCs w:val="18"/>
                <w:color w:val="auto"/>
                <w:w w:val="95"/>
              </w:rPr>
              <w:t>31.1*</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0" w:type="dxa"/>
            <w:vAlign w:val="bottom"/>
            <w:gridSpan w:val="12"/>
          </w:tcPr>
          <w:p>
            <w:pPr>
              <w:spacing w:after="0"/>
              <w:rPr>
                <w:rFonts w:ascii="Arial" w:cs="Arial" w:eastAsia="Arial" w:hAnsi="Arial"/>
                <w:sz w:val="18"/>
                <w:szCs w:val="18"/>
                <w:color w:val="0000FF"/>
                <w:w w:val="94"/>
              </w:rPr>
            </w:pPr>
            <w:hyperlink w:anchor="page39">
              <w:r>
                <w:rPr>
                  <w:rFonts w:ascii="Arial" w:cs="Arial" w:eastAsia="Arial" w:hAnsi="Arial"/>
                  <w:sz w:val="18"/>
                  <w:szCs w:val="18"/>
                  <w:color w:val="0000FF"/>
                  <w:w w:val="94"/>
                </w:rPr>
                <w:t>Certification of Principal Executive Officer pursuant to Exchange Act Rules 13a-</w:t>
              </w:r>
            </w:hyperlink>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40" w:type="dxa"/>
            <w:vAlign w:val="bottom"/>
            <w:tcBorders>
              <w:top w:val="single" w:sz="8" w:color="0000FF"/>
            </w:tcBorders>
            <w:gridSpan w:val="9"/>
          </w:tcPr>
          <w:p>
            <w:pPr>
              <w:spacing w:after="0" w:line="156" w:lineRule="exact"/>
              <w:rPr>
                <w:rFonts w:ascii="Arial" w:cs="Arial" w:eastAsia="Arial" w:hAnsi="Arial"/>
                <w:sz w:val="18"/>
                <w:szCs w:val="18"/>
                <w:color w:val="0000FF"/>
                <w:w w:val="91"/>
              </w:rPr>
            </w:pPr>
            <w:hyperlink w:anchor="page39">
              <w:r>
                <w:rPr>
                  <w:rFonts w:ascii="Arial" w:cs="Arial" w:eastAsia="Arial" w:hAnsi="Arial"/>
                  <w:sz w:val="18"/>
                  <w:szCs w:val="18"/>
                  <w:color w:val="0000FF"/>
                  <w:w w:val="91"/>
                </w:rPr>
                <w:t>14(a) and 15d-14(a), as adopted pursuant to Section 302 of the Sarbanes-Oxley</w:t>
              </w:r>
            </w:hyperlink>
          </w:p>
        </w:tc>
        <w:tc>
          <w:tcPr>
            <w:tcW w:w="160" w:type="dxa"/>
            <w:vAlign w:val="bottom"/>
            <w:gridSpan w:val="3"/>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2"/>
              </w:rPr>
            </w:pPr>
            <w:hyperlink w:anchor="page39">
              <w:r>
                <w:rPr>
                  <w:rFonts w:ascii="Arial" w:cs="Arial" w:eastAsia="Arial" w:hAnsi="Arial"/>
                  <w:sz w:val="18"/>
                  <w:szCs w:val="18"/>
                  <w:color w:val="0000FF"/>
                  <w:w w:val="92"/>
                </w:rPr>
                <w:t>Act of 2002</w:t>
              </w:r>
            </w:hyperlink>
          </w:p>
        </w:tc>
        <w:tc>
          <w:tcPr>
            <w:tcW w:w="4820" w:type="dxa"/>
            <w:vAlign w:val="bottom"/>
            <w:tcBorders>
              <w:top w:val="single" w:sz="8" w:color="0000FF"/>
            </w:tcBorders>
            <w:gridSpan w:val="3"/>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gridSpan w:val="4"/>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960" w:type="dxa"/>
            <w:vAlign w:val="bottom"/>
          </w:tcPr>
          <w:p>
            <w:pPr>
              <w:jc w:val="center"/>
              <w:spacing w:after="0"/>
              <w:rPr>
                <w:sz w:val="20"/>
                <w:szCs w:val="20"/>
                <w:color w:val="auto"/>
              </w:rPr>
            </w:pPr>
            <w:r>
              <w:rPr>
                <w:rFonts w:ascii="Arial" w:cs="Arial" w:eastAsia="Arial" w:hAnsi="Arial"/>
                <w:sz w:val="18"/>
                <w:szCs w:val="18"/>
                <w:color w:val="auto"/>
                <w:w w:val="95"/>
              </w:rPr>
              <w:t>31.2*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0" w:type="dxa"/>
            <w:vAlign w:val="bottom"/>
            <w:gridSpan w:val="12"/>
          </w:tcPr>
          <w:p>
            <w:pPr>
              <w:spacing w:after="0"/>
              <w:rPr>
                <w:rFonts w:ascii="Arial" w:cs="Arial" w:eastAsia="Arial" w:hAnsi="Arial"/>
                <w:sz w:val="18"/>
                <w:szCs w:val="18"/>
                <w:color w:val="0000FF"/>
                <w:w w:val="95"/>
              </w:rPr>
            </w:pPr>
            <w:hyperlink w:anchor="page40">
              <w:r>
                <w:rPr>
                  <w:rFonts w:ascii="Arial" w:cs="Arial" w:eastAsia="Arial" w:hAnsi="Arial"/>
                  <w:sz w:val="18"/>
                  <w:szCs w:val="18"/>
                  <w:color w:val="0000FF"/>
                  <w:w w:val="95"/>
                </w:rPr>
                <w:t>Certification of Principal Financial Officer pursuant to Exchange Act Rules 13a-</w:t>
              </w:r>
            </w:hyperlink>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0" w:type="dxa"/>
            <w:vAlign w:val="bottom"/>
            <w:tcBorders>
              <w:top w:val="single" w:sz="8" w:color="0000FF"/>
            </w:tcBorders>
            <w:gridSpan w:val="8"/>
          </w:tcPr>
          <w:p>
            <w:pPr>
              <w:spacing w:after="0" w:line="156" w:lineRule="exact"/>
              <w:rPr>
                <w:rFonts w:ascii="Arial" w:cs="Arial" w:eastAsia="Arial" w:hAnsi="Arial"/>
                <w:sz w:val="18"/>
                <w:szCs w:val="18"/>
                <w:color w:val="0000FF"/>
                <w:w w:val="90"/>
              </w:rPr>
            </w:pPr>
            <w:hyperlink w:anchor="page40">
              <w:r>
                <w:rPr>
                  <w:rFonts w:ascii="Arial" w:cs="Arial" w:eastAsia="Arial" w:hAnsi="Arial"/>
                  <w:sz w:val="18"/>
                  <w:szCs w:val="18"/>
                  <w:color w:val="0000FF"/>
                  <w:w w:val="90"/>
                </w:rPr>
                <w:t>14(a) and 15d-14(a), as adopted pursuant to Section 302 of the Sarbanes-Oxley</w:t>
              </w:r>
            </w:hyperlink>
          </w:p>
        </w:tc>
        <w:tc>
          <w:tcPr>
            <w:tcW w:w="200" w:type="dxa"/>
            <w:vAlign w:val="bottom"/>
            <w:gridSpan w:val="4"/>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2"/>
              </w:rPr>
            </w:pPr>
            <w:hyperlink w:anchor="page40">
              <w:r>
                <w:rPr>
                  <w:rFonts w:ascii="Arial" w:cs="Arial" w:eastAsia="Arial" w:hAnsi="Arial"/>
                  <w:sz w:val="18"/>
                  <w:szCs w:val="18"/>
                  <w:color w:val="0000FF"/>
                  <w:w w:val="92"/>
                </w:rPr>
                <w:t>Act of 2002</w:t>
              </w:r>
            </w:hyperlink>
          </w:p>
        </w:tc>
        <w:tc>
          <w:tcPr>
            <w:tcW w:w="4820" w:type="dxa"/>
            <w:vAlign w:val="bottom"/>
            <w:tcBorders>
              <w:top w:val="single" w:sz="8" w:color="0000FF"/>
            </w:tcBorders>
            <w:gridSpan w:val="3"/>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gridSpan w:val="5"/>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960" w:type="dxa"/>
            <w:vAlign w:val="bottom"/>
          </w:tcPr>
          <w:p>
            <w:pPr>
              <w:jc w:val="center"/>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0" w:type="dxa"/>
            <w:vAlign w:val="bottom"/>
            <w:gridSpan w:val="12"/>
          </w:tcPr>
          <w:p>
            <w:pPr>
              <w:spacing w:after="0"/>
              <w:rPr>
                <w:rFonts w:ascii="Arial" w:cs="Arial" w:eastAsia="Arial" w:hAnsi="Arial"/>
                <w:sz w:val="18"/>
                <w:szCs w:val="18"/>
                <w:color w:val="0000FF"/>
                <w:w w:val="95"/>
              </w:rPr>
            </w:pPr>
            <w:hyperlink w:anchor="page41">
              <w:r>
                <w:rPr>
                  <w:rFonts w:ascii="Arial" w:cs="Arial" w:eastAsia="Arial" w:hAnsi="Arial"/>
                  <w:sz w:val="18"/>
                  <w:szCs w:val="18"/>
                  <w:color w:val="0000FF"/>
                  <w:w w:val="95"/>
                </w:rPr>
                <w:t>Certification of Principal Executive Officer pursuant to 18 U.S.C. Section 1350,</w:t>
              </w:r>
            </w:hyperlink>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760" w:type="dxa"/>
            <w:vAlign w:val="bottom"/>
            <w:tcBorders>
              <w:top w:val="single" w:sz="8" w:color="0000FF"/>
            </w:tcBorders>
            <w:gridSpan w:val="7"/>
          </w:tcPr>
          <w:p>
            <w:pPr>
              <w:spacing w:after="0" w:line="156" w:lineRule="exact"/>
              <w:rPr>
                <w:rFonts w:ascii="Arial" w:cs="Arial" w:eastAsia="Arial" w:hAnsi="Arial"/>
                <w:sz w:val="18"/>
                <w:szCs w:val="18"/>
                <w:color w:val="0000FF"/>
              </w:rPr>
            </w:pPr>
            <w:hyperlink w:anchor="page41">
              <w:r>
                <w:rPr>
                  <w:rFonts w:ascii="Arial" w:cs="Arial" w:eastAsia="Arial" w:hAnsi="Arial"/>
                  <w:sz w:val="18"/>
                  <w:szCs w:val="18"/>
                  <w:color w:val="0000FF"/>
                </w:rPr>
                <w:t>as adopted pursuant to Section 906 of the Sarbanes-Oxley Act of 2002</w:t>
              </w:r>
            </w:hyperlink>
          </w:p>
        </w:tc>
        <w:tc>
          <w:tcPr>
            <w:tcW w:w="240" w:type="dxa"/>
            <w:vAlign w:val="bottom"/>
            <w:gridSpan w:val="5"/>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60" w:type="dxa"/>
            <w:vAlign w:val="bottom"/>
            <w:gridSpan w:val="4"/>
            <w:shd w:val="clear" w:color="auto" w:fill="0000FF"/>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00" w:type="dxa"/>
            <w:vAlign w:val="bottom"/>
            <w:gridSpan w:val="6"/>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60" w:type="dxa"/>
            <w:vAlign w:val="bottom"/>
          </w:tcPr>
          <w:p>
            <w:pPr>
              <w:jc w:val="center"/>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0" w:type="dxa"/>
            <w:vAlign w:val="bottom"/>
            <w:gridSpan w:val="12"/>
          </w:tcPr>
          <w:p>
            <w:pPr>
              <w:spacing w:after="0"/>
              <w:rPr>
                <w:rFonts w:ascii="Arial" w:cs="Arial" w:eastAsia="Arial" w:hAnsi="Arial"/>
                <w:sz w:val="18"/>
                <w:szCs w:val="18"/>
                <w:color w:val="0000FF"/>
                <w:w w:val="96"/>
              </w:rPr>
            </w:pPr>
            <w:hyperlink w:anchor="page42">
              <w:r>
                <w:rPr>
                  <w:rFonts w:ascii="Arial" w:cs="Arial" w:eastAsia="Arial" w:hAnsi="Arial"/>
                  <w:sz w:val="18"/>
                  <w:szCs w:val="18"/>
                  <w:color w:val="0000FF"/>
                  <w:w w:val="96"/>
                </w:rPr>
                <w:t>Certification of Principal Financial Officer pursuant to 18 U.S.C. Section 1350,</w:t>
              </w:r>
            </w:hyperlink>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700" w:type="dxa"/>
            <w:vAlign w:val="bottom"/>
            <w:tcBorders>
              <w:top w:val="single" w:sz="8" w:color="0000FF"/>
            </w:tcBorders>
            <w:gridSpan w:val="6"/>
          </w:tcPr>
          <w:p>
            <w:pPr>
              <w:spacing w:after="0" w:line="156" w:lineRule="exact"/>
              <w:rPr>
                <w:rFonts w:ascii="Arial" w:cs="Arial" w:eastAsia="Arial" w:hAnsi="Arial"/>
                <w:sz w:val="18"/>
                <w:szCs w:val="18"/>
                <w:color w:val="0000FF"/>
              </w:rPr>
            </w:pPr>
            <w:hyperlink w:anchor="page42">
              <w:r>
                <w:rPr>
                  <w:rFonts w:ascii="Arial" w:cs="Arial" w:eastAsia="Arial" w:hAnsi="Arial"/>
                  <w:sz w:val="18"/>
                  <w:szCs w:val="18"/>
                  <w:color w:val="0000FF"/>
                </w:rPr>
                <w:t>as adopted pursuant to Section 906 of the Sarbanes-Oxley Act of 2002</w:t>
              </w:r>
            </w:hyperlink>
          </w:p>
        </w:tc>
        <w:tc>
          <w:tcPr>
            <w:tcW w:w="300" w:type="dxa"/>
            <w:vAlign w:val="bottom"/>
            <w:gridSpan w:val="6"/>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60" w:type="dxa"/>
            <w:vAlign w:val="bottom"/>
            <w:gridSpan w:val="4"/>
            <w:shd w:val="clear" w:color="auto" w:fill="0000FF"/>
          </w:tcPr>
          <w:p>
            <w:pPr>
              <w:spacing w:after="0" w:line="20" w:lineRule="exact"/>
              <w:rPr>
                <w:sz w:val="1"/>
                <w:szCs w:val="1"/>
                <w:color w:val="auto"/>
              </w:rPr>
            </w:pPr>
          </w:p>
        </w:tc>
        <w:tc>
          <w:tcPr>
            <w:tcW w:w="940" w:type="dxa"/>
            <w:vAlign w:val="bottom"/>
            <w:gridSpan w:val="8"/>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gridSpan w:val="2"/>
          </w:tcPr>
          <w:p>
            <w:pPr>
              <w:jc w:val="center"/>
              <w:ind w:right="120"/>
              <w:spacing w:after="0" w:line="196" w:lineRule="exact"/>
              <w:rPr>
                <w:sz w:val="20"/>
                <w:szCs w:val="20"/>
                <w:color w:val="auto"/>
              </w:rPr>
            </w:pPr>
            <w:r>
              <w:rPr>
                <w:rFonts w:ascii="Arial" w:cs="Arial" w:eastAsia="Arial" w:hAnsi="Arial"/>
                <w:sz w:val="18"/>
                <w:szCs w:val="18"/>
                <w:color w:val="auto"/>
                <w:w w:val="92"/>
              </w:rPr>
              <w:t>101.INS</w:t>
            </w:r>
          </w:p>
        </w:tc>
        <w:tc>
          <w:tcPr>
            <w:tcW w:w="20" w:type="dxa"/>
            <w:vAlign w:val="bottom"/>
          </w:tcPr>
          <w:p>
            <w:pPr>
              <w:spacing w:after="0"/>
              <w:rPr>
                <w:sz w:val="17"/>
                <w:szCs w:val="17"/>
                <w:color w:val="auto"/>
              </w:rPr>
            </w:pPr>
          </w:p>
        </w:tc>
        <w:tc>
          <w:tcPr>
            <w:tcW w:w="6000" w:type="dxa"/>
            <w:vAlign w:val="bottom"/>
            <w:gridSpan w:val="12"/>
          </w:tcPr>
          <w:p>
            <w:pPr>
              <w:spacing w:after="0" w:line="196" w:lineRule="exact"/>
              <w:rPr>
                <w:sz w:val="20"/>
                <w:szCs w:val="20"/>
                <w:color w:val="auto"/>
              </w:rPr>
            </w:pPr>
            <w:r>
              <w:rPr>
                <w:rFonts w:ascii="Arial" w:cs="Arial" w:eastAsia="Arial" w:hAnsi="Arial"/>
                <w:sz w:val="18"/>
                <w:szCs w:val="18"/>
                <w:color w:val="auto"/>
                <w:w w:val="93"/>
              </w:rPr>
              <w:t>Inline XBRL Instance Document - the instance document does not appear in the</w:t>
            </w: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0" w:type="dxa"/>
            <w:vAlign w:val="bottom"/>
            <w:gridSpan w:val="12"/>
          </w:tcPr>
          <w:p>
            <w:pPr>
              <w:spacing w:after="0" w:line="176" w:lineRule="exact"/>
              <w:rPr>
                <w:sz w:val="20"/>
                <w:szCs w:val="20"/>
                <w:color w:val="auto"/>
              </w:rPr>
            </w:pPr>
            <w:r>
              <w:rPr>
                <w:rFonts w:ascii="Arial" w:cs="Arial" w:eastAsia="Arial" w:hAnsi="Arial"/>
                <w:sz w:val="18"/>
                <w:szCs w:val="18"/>
                <w:color w:val="auto"/>
              </w:rPr>
              <w:t>Interactive Data File because its XBRL tags are embedded within the Inline</w:t>
            </w: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0" w:type="dxa"/>
            <w:vAlign w:val="bottom"/>
            <w:gridSpan w:val="12"/>
          </w:tcPr>
          <w:p>
            <w:pPr>
              <w:spacing w:after="0"/>
              <w:rPr>
                <w:sz w:val="20"/>
                <w:szCs w:val="20"/>
                <w:color w:val="auto"/>
              </w:rPr>
            </w:pPr>
            <w:r>
              <w:rPr>
                <w:rFonts w:ascii="Arial" w:cs="Arial" w:eastAsia="Arial" w:hAnsi="Arial"/>
                <w:sz w:val="18"/>
                <w:szCs w:val="18"/>
                <w:color w:val="auto"/>
              </w:rPr>
              <w:t>XBRL document.</w:t>
            </w: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08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101.SCH</w:t>
            </w:r>
          </w:p>
        </w:tc>
        <w:tc>
          <w:tcPr>
            <w:tcW w:w="20" w:type="dxa"/>
            <w:vAlign w:val="bottom"/>
          </w:tcPr>
          <w:p>
            <w:pPr>
              <w:spacing w:after="0"/>
              <w:rPr>
                <w:sz w:val="19"/>
                <w:szCs w:val="19"/>
                <w:color w:val="auto"/>
              </w:rPr>
            </w:pPr>
          </w:p>
        </w:tc>
        <w:tc>
          <w:tcPr>
            <w:tcW w:w="6000" w:type="dxa"/>
            <w:vAlign w:val="bottom"/>
            <w:gridSpan w:val="12"/>
          </w:tcPr>
          <w:p>
            <w:pPr>
              <w:spacing w:after="0"/>
              <w:rPr>
                <w:sz w:val="20"/>
                <w:szCs w:val="20"/>
                <w:color w:val="auto"/>
              </w:rPr>
            </w:pPr>
            <w:r>
              <w:rPr>
                <w:rFonts w:ascii="Arial" w:cs="Arial" w:eastAsia="Arial" w:hAnsi="Arial"/>
                <w:sz w:val="18"/>
                <w:szCs w:val="18"/>
                <w:color w:val="auto"/>
              </w:rPr>
              <w:t>Inline XBRL Taxonomy Extension Schema Document</w:t>
            </w: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8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101.CAL</w:t>
            </w:r>
          </w:p>
        </w:tc>
        <w:tc>
          <w:tcPr>
            <w:tcW w:w="20" w:type="dxa"/>
            <w:vAlign w:val="bottom"/>
          </w:tcPr>
          <w:p>
            <w:pPr>
              <w:spacing w:after="0"/>
              <w:rPr>
                <w:sz w:val="19"/>
                <w:szCs w:val="19"/>
                <w:color w:val="auto"/>
              </w:rPr>
            </w:pPr>
          </w:p>
        </w:tc>
        <w:tc>
          <w:tcPr>
            <w:tcW w:w="6000" w:type="dxa"/>
            <w:vAlign w:val="bottom"/>
            <w:gridSpan w:val="12"/>
          </w:tcPr>
          <w:p>
            <w:pPr>
              <w:spacing w:after="0"/>
              <w:rPr>
                <w:sz w:val="20"/>
                <w:szCs w:val="20"/>
                <w:color w:val="auto"/>
              </w:rPr>
            </w:pPr>
            <w:r>
              <w:rPr>
                <w:rFonts w:ascii="Arial" w:cs="Arial" w:eastAsia="Arial" w:hAnsi="Arial"/>
                <w:sz w:val="18"/>
                <w:szCs w:val="18"/>
                <w:color w:val="auto"/>
              </w:rPr>
              <w:t>Inline XBRL Extension Calculation Linkbase Document</w:t>
            </w: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08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101.DEF</w:t>
            </w:r>
          </w:p>
        </w:tc>
        <w:tc>
          <w:tcPr>
            <w:tcW w:w="20" w:type="dxa"/>
            <w:vAlign w:val="bottom"/>
          </w:tcPr>
          <w:p>
            <w:pPr>
              <w:spacing w:after="0"/>
              <w:rPr>
                <w:sz w:val="19"/>
                <w:szCs w:val="19"/>
                <w:color w:val="auto"/>
              </w:rPr>
            </w:pPr>
          </w:p>
        </w:tc>
        <w:tc>
          <w:tcPr>
            <w:tcW w:w="6000" w:type="dxa"/>
            <w:vAlign w:val="bottom"/>
            <w:gridSpan w:val="12"/>
          </w:tcPr>
          <w:p>
            <w:pPr>
              <w:spacing w:after="0"/>
              <w:rPr>
                <w:sz w:val="20"/>
                <w:szCs w:val="20"/>
                <w:color w:val="auto"/>
              </w:rPr>
            </w:pPr>
            <w:r>
              <w:rPr>
                <w:rFonts w:ascii="Arial" w:cs="Arial" w:eastAsia="Arial" w:hAnsi="Arial"/>
                <w:sz w:val="18"/>
                <w:szCs w:val="18"/>
                <w:color w:val="auto"/>
              </w:rPr>
              <w:t>Inline XBRL Extension Definition Linkbase Document</w:t>
            </w: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08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101.LAB</w:t>
            </w:r>
          </w:p>
        </w:tc>
        <w:tc>
          <w:tcPr>
            <w:tcW w:w="20" w:type="dxa"/>
            <w:vAlign w:val="bottom"/>
          </w:tcPr>
          <w:p>
            <w:pPr>
              <w:spacing w:after="0"/>
              <w:rPr>
                <w:sz w:val="19"/>
                <w:szCs w:val="19"/>
                <w:color w:val="auto"/>
              </w:rPr>
            </w:pPr>
          </w:p>
        </w:tc>
        <w:tc>
          <w:tcPr>
            <w:tcW w:w="6000" w:type="dxa"/>
            <w:vAlign w:val="bottom"/>
            <w:gridSpan w:val="12"/>
          </w:tcPr>
          <w:p>
            <w:pPr>
              <w:spacing w:after="0"/>
              <w:rPr>
                <w:sz w:val="20"/>
                <w:szCs w:val="20"/>
                <w:color w:val="auto"/>
              </w:rPr>
            </w:pPr>
            <w:r>
              <w:rPr>
                <w:rFonts w:ascii="Arial" w:cs="Arial" w:eastAsia="Arial" w:hAnsi="Arial"/>
                <w:sz w:val="18"/>
                <w:szCs w:val="18"/>
                <w:color w:val="auto"/>
              </w:rPr>
              <w:t>Inline XBRL Extension Label Linkbase Document</w:t>
            </w: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101.PRE</w:t>
            </w:r>
          </w:p>
        </w:tc>
        <w:tc>
          <w:tcPr>
            <w:tcW w:w="20" w:type="dxa"/>
            <w:vAlign w:val="bottom"/>
          </w:tcPr>
          <w:p>
            <w:pPr>
              <w:spacing w:after="0"/>
              <w:rPr>
                <w:sz w:val="20"/>
                <w:szCs w:val="20"/>
                <w:color w:val="auto"/>
              </w:rPr>
            </w:pPr>
          </w:p>
        </w:tc>
        <w:tc>
          <w:tcPr>
            <w:tcW w:w="6000" w:type="dxa"/>
            <w:vAlign w:val="bottom"/>
            <w:gridSpan w:val="12"/>
          </w:tcPr>
          <w:p>
            <w:pPr>
              <w:spacing w:after="0"/>
              <w:rPr>
                <w:sz w:val="20"/>
                <w:szCs w:val="20"/>
                <w:color w:val="auto"/>
              </w:rPr>
            </w:pPr>
            <w:r>
              <w:rPr>
                <w:rFonts w:ascii="Arial" w:cs="Arial" w:eastAsia="Arial" w:hAnsi="Arial"/>
                <w:sz w:val="18"/>
                <w:szCs w:val="18"/>
                <w:color w:val="auto"/>
              </w:rPr>
              <w:t>Inline XBRL Extension Presentation Linkbase Document</w:t>
            </w: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jc w:val="both"/>
        <w:ind w:left="1100" w:right="4260" w:hanging="748"/>
        <w:spacing w:after="0" w:line="224" w:lineRule="auto"/>
        <w:tabs>
          <w:tab w:leader="none" w:pos="11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Cover Page Interactive Data File - the cover page interactive data file does not appear in the Interactive Data File because its XBRL tags are embedded within the Inline XBRL document.</w:t>
      </w:r>
    </w:p>
    <w:p>
      <w:pPr>
        <w:spacing w:after="0" w:line="160" w:lineRule="exact"/>
        <w:rPr>
          <w:sz w:val="20"/>
          <w:szCs w:val="20"/>
          <w:color w:val="auto"/>
        </w:rPr>
      </w:pPr>
    </w:p>
    <w:p>
      <w:pPr>
        <w:spacing w:after="0"/>
        <w:rPr>
          <w:sz w:val="20"/>
          <w:szCs w:val="20"/>
          <w:color w:val="auto"/>
        </w:rPr>
      </w:pPr>
      <w:r>
        <w:rPr>
          <w:rFonts w:ascii="Arial" w:cs="Arial" w:eastAsia="Arial" w:hAnsi="Arial"/>
          <w:sz w:val="7"/>
          <w:szCs w:val="7"/>
          <w:color w:val="auto"/>
        </w:rPr>
        <w:t>____________________________________</w:t>
      </w:r>
    </w:p>
    <w:p>
      <w:pPr>
        <w:spacing w:after="0" w:line="29" w:lineRule="exact"/>
        <w:rPr>
          <w:sz w:val="20"/>
          <w:szCs w:val="20"/>
          <w:color w:val="auto"/>
        </w:rPr>
      </w:pPr>
    </w:p>
    <w:p>
      <w:pPr>
        <w:ind w:left="720" w:hanging="694"/>
        <w:spacing w:after="0"/>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jc w:val="both"/>
        <w:ind w:left="720" w:right="120" w:hanging="694"/>
        <w:spacing w:after="0" w:line="197" w:lineRule="auto"/>
        <w:tabs>
          <w:tab w:leader="none" w:pos="720" w:val="left"/>
        </w:tabs>
        <w:numPr>
          <w:ilvl w:val="0"/>
          <w:numId w:val="17"/>
        </w:numPr>
        <w:rPr>
          <w:rFonts w:ascii="Arial" w:cs="Arial" w:eastAsia="Arial" w:hAnsi="Arial"/>
          <w:sz w:val="32"/>
          <w:szCs w:val="32"/>
          <w:color w:val="auto"/>
          <w:vertAlign w:val="subscript"/>
        </w:rPr>
      </w:pPr>
      <w:r>
        <w:rPr>
          <w:rFonts w:ascii="Arial" w:cs="Arial" w:eastAsia="Arial" w:hAnsi="Arial"/>
          <w:sz w:val="16"/>
          <w:szCs w:val="16"/>
          <w:color w:val="auto"/>
        </w:rPr>
        <w:t>Furnished herewith. The certifications attached as Exhibit 32.1 and 32.2 that accompany this Quarterly Report on Form 10-Q are deemed furnished and not filed with the Securities and Exchange Commission and are not to be incorporated by reference into any filing of Grocery Outlet Holding Corp.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4" w:right="3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99" w:lineRule="exact"/>
        <w:rPr>
          <w:sz w:val="20"/>
          <w:szCs w:val="20"/>
          <w:color w:val="auto"/>
        </w:rPr>
      </w:pPr>
    </w:p>
    <w:p>
      <w:pPr>
        <w:ind w:left="7100"/>
        <w:spacing w:after="0"/>
        <w:rPr>
          <w:sz w:val="20"/>
          <w:szCs w:val="20"/>
          <w:color w:val="auto"/>
        </w:rPr>
      </w:pPr>
      <w:r>
        <w:rPr>
          <w:rFonts w:ascii="Arial" w:cs="Arial" w:eastAsia="Arial" w:hAnsi="Arial"/>
          <w:sz w:val="18"/>
          <w:szCs w:val="18"/>
          <w:b w:val="1"/>
          <w:bCs w:val="1"/>
          <w:color w:val="auto"/>
        </w:rPr>
        <w:t>Grocery Outlet Holding Corp.</w:t>
      </w:r>
    </w:p>
    <w:p>
      <w:pPr>
        <w:spacing w:after="0" w:line="27" w:lineRule="exact"/>
        <w:rPr>
          <w:sz w:val="20"/>
          <w:szCs w:val="20"/>
          <w:color w:val="auto"/>
        </w:rPr>
      </w:pPr>
    </w:p>
    <w:p>
      <w:pPr>
        <w:ind w:left="20"/>
        <w:spacing w:after="0"/>
        <w:tabs>
          <w:tab w:leader="none" w:pos="620" w:val="left"/>
          <w:tab w:leader="none" w:pos="6620" w:val="left"/>
          <w:tab w:leader="none" w:pos="7080" w:val="left"/>
        </w:tabs>
        <w:rPr>
          <w:sz w:val="20"/>
          <w:szCs w:val="20"/>
          <w:color w:val="auto"/>
        </w:rPr>
      </w:pPr>
      <w:r>
        <w:rPr>
          <w:rFonts w:ascii="Arial" w:cs="Arial" w:eastAsia="Arial" w:hAnsi="Arial"/>
          <w:sz w:val="18"/>
          <w:szCs w:val="18"/>
          <w:color w:val="auto"/>
        </w:rPr>
        <w:t>Date:</w:t>
        <w:tab/>
        <w:t>August 11,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Charles C. Bracher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4497070</wp:posOffset>
            </wp:positionH>
            <wp:positionV relativeFrom="paragraph">
              <wp:posOffset>14605</wp:posOffset>
            </wp:positionV>
            <wp:extent cx="264033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2640330" cy="8255"/>
                    </a:xfrm>
                    <a:prstGeom prst="rect">
                      <a:avLst/>
                    </a:prstGeom>
                    <a:noFill/>
                  </pic:spPr>
                </pic:pic>
              </a:graphicData>
            </a:graphic>
          </wp:anchor>
        </w:drawing>
      </w:r>
    </w:p>
    <w:p>
      <w:pPr>
        <w:ind w:left="7100"/>
        <w:spacing w:after="0"/>
        <w:rPr>
          <w:sz w:val="20"/>
          <w:szCs w:val="20"/>
          <w:color w:val="auto"/>
        </w:rPr>
      </w:pPr>
      <w:r>
        <w:rPr>
          <w:rFonts w:ascii="Arial" w:cs="Arial" w:eastAsia="Arial" w:hAnsi="Arial"/>
          <w:sz w:val="18"/>
          <w:szCs w:val="18"/>
          <w:color w:val="auto"/>
        </w:rPr>
        <w:t>Charles C. Bracher</w:t>
      </w:r>
    </w:p>
    <w:p>
      <w:pPr>
        <w:ind w:left="7100"/>
        <w:spacing w:after="0" w:line="203" w:lineRule="auto"/>
        <w:rPr>
          <w:sz w:val="20"/>
          <w:szCs w:val="20"/>
          <w:color w:val="auto"/>
        </w:rPr>
      </w:pPr>
      <w:r>
        <w:rPr>
          <w:rFonts w:ascii="Arial" w:cs="Arial" w:eastAsia="Arial" w:hAnsi="Arial"/>
          <w:sz w:val="18"/>
          <w:szCs w:val="18"/>
          <w:color w:val="auto"/>
        </w:rPr>
        <w:t>Chief Financial Officer</w:t>
      </w:r>
    </w:p>
    <w:p>
      <w:pPr>
        <w:ind w:left="7100"/>
        <w:spacing w:after="0"/>
        <w:rPr>
          <w:sz w:val="20"/>
          <w:szCs w:val="20"/>
          <w:color w:val="auto"/>
        </w:rPr>
      </w:pPr>
      <w:r>
        <w:rPr>
          <w:rFonts w:ascii="Arial" w:cs="Arial" w:eastAsia="Arial" w:hAnsi="Arial"/>
          <w:sz w:val="18"/>
          <w:szCs w:val="18"/>
          <w:color w:val="auto"/>
        </w:rPr>
        <w:t>(Principal Financial Officer)</w:t>
      </w:r>
    </w:p>
    <w:p>
      <w:pPr>
        <w:spacing w:after="0" w:line="273" w:lineRule="exact"/>
        <w:rPr>
          <w:sz w:val="20"/>
          <w:szCs w:val="20"/>
          <w:color w:val="auto"/>
        </w:rPr>
      </w:pPr>
    </w:p>
    <w:p>
      <w:pPr>
        <w:ind w:left="7100"/>
        <w:spacing w:after="0"/>
        <w:rPr>
          <w:sz w:val="20"/>
          <w:szCs w:val="20"/>
          <w:color w:val="auto"/>
        </w:rPr>
      </w:pPr>
      <w:r>
        <w:rPr>
          <w:rFonts w:ascii="Arial" w:cs="Arial" w:eastAsia="Arial" w:hAnsi="Arial"/>
          <w:sz w:val="18"/>
          <w:szCs w:val="18"/>
          <w:b w:val="1"/>
          <w:bCs w:val="1"/>
          <w:color w:val="auto"/>
        </w:rPr>
        <w:t>Grocery Outlet Holding Corp.</w:t>
      </w:r>
    </w:p>
    <w:p>
      <w:pPr>
        <w:spacing w:after="0" w:line="27" w:lineRule="exact"/>
        <w:rPr>
          <w:sz w:val="20"/>
          <w:szCs w:val="20"/>
          <w:color w:val="auto"/>
        </w:rPr>
      </w:pPr>
    </w:p>
    <w:p>
      <w:pPr>
        <w:ind w:left="20"/>
        <w:spacing w:after="0"/>
        <w:tabs>
          <w:tab w:leader="none" w:pos="620" w:val="left"/>
          <w:tab w:leader="none" w:pos="6620" w:val="left"/>
          <w:tab w:leader="none" w:pos="7080" w:val="left"/>
        </w:tabs>
        <w:rPr>
          <w:sz w:val="20"/>
          <w:szCs w:val="20"/>
          <w:color w:val="auto"/>
        </w:rPr>
      </w:pPr>
      <w:r>
        <w:rPr>
          <w:rFonts w:ascii="Arial" w:cs="Arial" w:eastAsia="Arial" w:hAnsi="Arial"/>
          <w:sz w:val="18"/>
          <w:szCs w:val="18"/>
          <w:color w:val="auto"/>
        </w:rPr>
        <w:t>Date:</w:t>
        <w:tab/>
        <w:t>August 11,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Lindsay E. Gray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4497070</wp:posOffset>
            </wp:positionH>
            <wp:positionV relativeFrom="paragraph">
              <wp:posOffset>14605</wp:posOffset>
            </wp:positionV>
            <wp:extent cx="264033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2640330" cy="8890"/>
                    </a:xfrm>
                    <a:prstGeom prst="rect">
                      <a:avLst/>
                    </a:prstGeom>
                    <a:noFill/>
                  </pic:spPr>
                </pic:pic>
              </a:graphicData>
            </a:graphic>
          </wp:anchor>
        </w:drawing>
      </w:r>
    </w:p>
    <w:p>
      <w:pPr>
        <w:ind w:left="7100"/>
        <w:spacing w:after="0"/>
        <w:rPr>
          <w:sz w:val="20"/>
          <w:szCs w:val="20"/>
          <w:color w:val="auto"/>
        </w:rPr>
      </w:pPr>
      <w:r>
        <w:rPr>
          <w:rFonts w:ascii="Arial" w:cs="Arial" w:eastAsia="Arial" w:hAnsi="Arial"/>
          <w:sz w:val="18"/>
          <w:szCs w:val="18"/>
          <w:color w:val="auto"/>
        </w:rPr>
        <w:t>Lindsay E. Gray</w:t>
      </w:r>
    </w:p>
    <w:p>
      <w:pPr>
        <w:ind w:left="7100"/>
        <w:spacing w:after="0" w:line="203" w:lineRule="auto"/>
        <w:rPr>
          <w:sz w:val="20"/>
          <w:szCs w:val="20"/>
          <w:color w:val="auto"/>
        </w:rPr>
      </w:pPr>
      <w:r>
        <w:rPr>
          <w:rFonts w:ascii="Arial" w:cs="Arial" w:eastAsia="Arial" w:hAnsi="Arial"/>
          <w:sz w:val="18"/>
          <w:szCs w:val="18"/>
          <w:color w:val="auto"/>
        </w:rPr>
        <w:t>Vice President and Corporate Controller</w:t>
      </w:r>
    </w:p>
    <w:p>
      <w:pPr>
        <w:ind w:left="7100"/>
        <w:spacing w:after="0"/>
        <w:rPr>
          <w:sz w:val="20"/>
          <w:szCs w:val="20"/>
          <w:color w:val="auto"/>
        </w:rPr>
      </w:pPr>
      <w:r>
        <w:rPr>
          <w:rFonts w:ascii="Arial" w:cs="Arial" w:eastAsia="Arial" w:hAnsi="Arial"/>
          <w:sz w:val="18"/>
          <w:szCs w:val="18"/>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40"/>
          </w:cols>
          <w:pgMar w:left="320" w:top="314" w:right="339" w:bottom="1440" w:gutter="0" w:footer="0" w:header="0"/>
        </w:sectPr>
      </w:pPr>
    </w:p>
    <w:bookmarkStart w:id="38" w:name="page39"/>
    <w:bookmarkEnd w:id="38"/>
    <w:p>
      <w:pPr>
        <w:jc w:val="right"/>
        <w:spacing w:after="0"/>
        <w:rPr>
          <w:sz w:val="20"/>
          <w:szCs w:val="20"/>
          <w:color w:val="auto"/>
        </w:rPr>
      </w:pPr>
      <w:r>
        <w:rPr>
          <w:rFonts w:ascii="Arial" w:cs="Arial" w:eastAsia="Arial" w:hAnsi="Arial"/>
          <w:sz w:val="20"/>
          <w:szCs w:val="20"/>
          <w:b w:val="1"/>
          <w:bCs w:val="1"/>
          <w:color w:val="auto"/>
        </w:rPr>
        <w:t>Exhibit 31.1</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Eric J. Lindberg, Jr., certify that:</w:t>
      </w:r>
    </w:p>
    <w:p>
      <w:pPr>
        <w:spacing w:after="0" w:line="239" w:lineRule="exact"/>
        <w:rPr>
          <w:sz w:val="20"/>
          <w:szCs w:val="20"/>
          <w:color w:val="auto"/>
        </w:rPr>
      </w:pPr>
    </w:p>
    <w:p>
      <w:pPr>
        <w:ind w:left="340" w:hanging="332"/>
        <w:spacing w:after="0"/>
        <w:tabs>
          <w:tab w:leader="none" w:pos="340" w:val="left"/>
        </w:tabs>
        <w:numPr>
          <w:ilvl w:val="0"/>
          <w:numId w:val="18"/>
        </w:numPr>
        <w:rPr>
          <w:rFonts w:ascii="Arial" w:cs="Arial" w:eastAsia="Arial" w:hAnsi="Arial"/>
          <w:sz w:val="20"/>
          <w:szCs w:val="20"/>
          <w:color w:val="auto"/>
        </w:rPr>
      </w:pPr>
      <w:r>
        <w:rPr>
          <w:rFonts w:ascii="Arial" w:cs="Arial" w:eastAsia="Arial" w:hAnsi="Arial"/>
          <w:sz w:val="18"/>
          <w:szCs w:val="18"/>
          <w:color w:val="auto"/>
        </w:rPr>
        <w:t>I have reviewed this quarterly report on Form 10-Q of Grocery Outlet Holding Corp.;</w:t>
      </w:r>
    </w:p>
    <w:p>
      <w:pPr>
        <w:spacing w:after="0" w:line="215" w:lineRule="exact"/>
        <w:rPr>
          <w:rFonts w:ascii="Arial" w:cs="Arial" w:eastAsia="Arial" w:hAnsi="Arial"/>
          <w:sz w:val="20"/>
          <w:szCs w:val="20"/>
          <w:color w:val="auto"/>
        </w:rPr>
      </w:pPr>
    </w:p>
    <w:p>
      <w:pPr>
        <w:jc w:val="both"/>
        <w:ind w:left="340" w:hanging="332"/>
        <w:spacing w:after="0" w:line="250" w:lineRule="auto"/>
        <w:tabs>
          <w:tab w:leader="none" w:pos="340" w:val="left"/>
        </w:tabs>
        <w:numPr>
          <w:ilvl w:val="0"/>
          <w:numId w:val="18"/>
        </w:numPr>
        <w:rPr>
          <w:rFonts w:ascii="Arial" w:cs="Arial" w:eastAsia="Arial" w:hAnsi="Arial"/>
          <w:sz w:val="20"/>
          <w:szCs w:val="20"/>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6" w:lineRule="exact"/>
        <w:rPr>
          <w:rFonts w:ascii="Arial" w:cs="Arial" w:eastAsia="Arial" w:hAnsi="Arial"/>
          <w:sz w:val="20"/>
          <w:szCs w:val="20"/>
          <w:color w:val="auto"/>
        </w:rPr>
      </w:pPr>
    </w:p>
    <w:p>
      <w:pPr>
        <w:ind w:left="340" w:hanging="332"/>
        <w:spacing w:after="0" w:line="250" w:lineRule="auto"/>
        <w:tabs>
          <w:tab w:leader="none" w:pos="340" w:val="left"/>
        </w:tabs>
        <w:numPr>
          <w:ilvl w:val="0"/>
          <w:numId w:val="18"/>
        </w:numPr>
        <w:rPr>
          <w:rFonts w:ascii="Arial" w:cs="Arial" w:eastAsia="Arial" w:hAnsi="Arial"/>
          <w:sz w:val="20"/>
          <w:szCs w:val="20"/>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6" w:lineRule="exact"/>
        <w:rPr>
          <w:rFonts w:ascii="Arial" w:cs="Arial" w:eastAsia="Arial" w:hAnsi="Arial"/>
          <w:sz w:val="20"/>
          <w:szCs w:val="20"/>
          <w:color w:val="auto"/>
        </w:rPr>
      </w:pPr>
    </w:p>
    <w:p>
      <w:pPr>
        <w:ind w:left="340" w:right="20" w:hanging="332"/>
        <w:spacing w:after="0" w:line="250" w:lineRule="auto"/>
        <w:tabs>
          <w:tab w:leader="none" w:pos="340" w:val="left"/>
        </w:tabs>
        <w:numPr>
          <w:ilvl w:val="0"/>
          <w:numId w:val="18"/>
        </w:numPr>
        <w:rPr>
          <w:rFonts w:ascii="Arial" w:cs="Arial" w:eastAsia="Arial" w:hAnsi="Arial"/>
          <w:sz w:val="20"/>
          <w:szCs w:val="20"/>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84" w:lineRule="exact"/>
        <w:rPr>
          <w:rFonts w:ascii="Arial" w:cs="Arial" w:eastAsia="Arial" w:hAnsi="Arial"/>
          <w:sz w:val="20"/>
          <w:szCs w:val="20"/>
          <w:color w:val="auto"/>
        </w:rPr>
      </w:pPr>
    </w:p>
    <w:p>
      <w:pPr>
        <w:jc w:val="both"/>
        <w:ind w:left="660" w:hanging="328"/>
        <w:spacing w:after="0" w:line="263" w:lineRule="auto"/>
        <w:tabs>
          <w:tab w:leader="none" w:pos="65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 w:lineRule="exact"/>
        <w:rPr>
          <w:rFonts w:ascii="Arial" w:cs="Arial" w:eastAsia="Arial" w:hAnsi="Arial"/>
          <w:sz w:val="18"/>
          <w:szCs w:val="18"/>
          <w:color w:val="auto"/>
        </w:rPr>
      </w:pPr>
    </w:p>
    <w:p>
      <w:pPr>
        <w:ind w:left="660" w:hanging="328"/>
        <w:spacing w:after="0" w:line="298" w:lineRule="auto"/>
        <w:tabs>
          <w:tab w:leader="none" w:pos="660" w:val="left"/>
        </w:tabs>
        <w:numPr>
          <w:ilvl w:val="1"/>
          <w:numId w:val="1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660" w:hanging="328"/>
        <w:spacing w:after="0" w:line="263" w:lineRule="auto"/>
        <w:tabs>
          <w:tab w:leader="none" w:pos="65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7" w:lineRule="exact"/>
        <w:rPr>
          <w:rFonts w:ascii="Arial" w:cs="Arial" w:eastAsia="Arial" w:hAnsi="Arial"/>
          <w:sz w:val="18"/>
          <w:szCs w:val="18"/>
          <w:color w:val="auto"/>
        </w:rPr>
      </w:pPr>
    </w:p>
    <w:p>
      <w:pPr>
        <w:ind w:left="340" w:hanging="332"/>
        <w:spacing w:after="0" w:line="279" w:lineRule="auto"/>
        <w:tabs>
          <w:tab w:leader="none" w:pos="340" w:val="left"/>
        </w:tabs>
        <w:numPr>
          <w:ilvl w:val="0"/>
          <w:numId w:val="18"/>
        </w:numPr>
        <w:rPr>
          <w:rFonts w:ascii="Arial" w:cs="Arial" w:eastAsia="Arial" w:hAnsi="Arial"/>
          <w:sz w:val="19"/>
          <w:szCs w:val="19"/>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8" w:lineRule="exact"/>
        <w:rPr>
          <w:rFonts w:ascii="Arial" w:cs="Arial" w:eastAsia="Arial" w:hAnsi="Arial"/>
          <w:sz w:val="19"/>
          <w:szCs w:val="19"/>
          <w:color w:val="auto"/>
        </w:rPr>
      </w:pPr>
    </w:p>
    <w:p>
      <w:pPr>
        <w:ind w:left="660" w:hanging="328"/>
        <w:spacing w:after="0" w:line="277" w:lineRule="auto"/>
        <w:tabs>
          <w:tab w:leader="none" w:pos="65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5" w:lineRule="exact"/>
        <w:rPr>
          <w:sz w:val="20"/>
          <w:szCs w:val="20"/>
          <w:color w:val="auto"/>
        </w:rPr>
      </w:pPr>
    </w:p>
    <w:tbl>
      <w:tblPr>
        <w:tblLayout w:type="fixed"/>
        <w:tblInd w:w="220" w:type="dxa"/>
        <w:tblCellMar>
          <w:top w:w="0" w:type="dxa"/>
          <w:left w:w="0" w:type="dxa"/>
          <w:bottom w:w="0" w:type="dxa"/>
          <w:right w:w="0" w:type="dxa"/>
        </w:tblCellMar>
      </w:tblPr>
      <w:tr>
        <w:trPr>
          <w:trHeight w:val="230"/>
        </w:trPr>
        <w:tc>
          <w:tcPr>
            <w:tcW w:w="4000" w:type="dxa"/>
            <w:vAlign w:val="bottom"/>
          </w:tcPr>
          <w:p>
            <w:pPr>
              <w:spacing w:after="0"/>
              <w:rPr>
                <w:sz w:val="20"/>
                <w:szCs w:val="20"/>
                <w:color w:val="auto"/>
              </w:rPr>
            </w:pPr>
            <w:r>
              <w:rPr>
                <w:rFonts w:ascii="Arial" w:cs="Arial" w:eastAsia="Arial" w:hAnsi="Arial"/>
                <w:sz w:val="18"/>
                <w:szCs w:val="18"/>
                <w:color w:val="auto"/>
              </w:rPr>
              <w:t>Date: August 11, 2021</w:t>
            </w:r>
          </w:p>
        </w:tc>
        <w:tc>
          <w:tcPr>
            <w:tcW w:w="5720" w:type="dxa"/>
            <w:vAlign w:val="bottom"/>
            <w:gridSpan w:val="2"/>
          </w:tcPr>
          <w:p>
            <w:pPr>
              <w:ind w:left="2400"/>
              <w:spacing w:after="0"/>
              <w:rPr>
                <w:sz w:val="20"/>
                <w:szCs w:val="20"/>
                <w:color w:val="auto"/>
              </w:rPr>
            </w:pPr>
            <w:r>
              <w:rPr>
                <w:rFonts w:ascii="Arial" w:cs="Arial" w:eastAsia="Arial" w:hAnsi="Arial"/>
                <w:sz w:val="18"/>
                <w:szCs w:val="18"/>
                <w:color w:val="auto"/>
              </w:rPr>
              <w:t>By: /s/ Eric J. Lindberg, Jr.</w:t>
            </w:r>
          </w:p>
        </w:tc>
      </w:tr>
      <w:tr>
        <w:trPr>
          <w:trHeight w:val="222"/>
        </w:trPr>
        <w:tc>
          <w:tcPr>
            <w:tcW w:w="400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30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Eric J. Lindberg, Jr.</w:t>
            </w:r>
          </w:p>
        </w:tc>
      </w:tr>
      <w:tr>
        <w:trPr>
          <w:trHeight w:val="230"/>
        </w:trPr>
        <w:tc>
          <w:tcPr>
            <w:tcW w:w="400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304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r>
        <w:trPr>
          <w:trHeight w:val="230"/>
        </w:trPr>
        <w:tc>
          <w:tcPr>
            <w:tcW w:w="400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304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240"/>
          </w:cols>
          <w:pgMar w:left="320" w:top="118" w:right="339" w:bottom="1440" w:gutter="0" w:footer="0" w:header="0"/>
        </w:sectPr>
      </w:pPr>
    </w:p>
    <w:bookmarkStart w:id="39" w:name="page40"/>
    <w:bookmarkEnd w:id="39"/>
    <w:p>
      <w:pPr>
        <w:jc w:val="right"/>
        <w:spacing w:after="0"/>
        <w:rPr>
          <w:sz w:val="20"/>
          <w:szCs w:val="20"/>
          <w:color w:val="auto"/>
        </w:rPr>
      </w:pPr>
      <w:r>
        <w:rPr>
          <w:rFonts w:ascii="Arial" w:cs="Arial" w:eastAsia="Arial" w:hAnsi="Arial"/>
          <w:sz w:val="20"/>
          <w:szCs w:val="20"/>
          <w:b w:val="1"/>
          <w:bCs w:val="1"/>
          <w:color w:val="auto"/>
        </w:rPr>
        <w:t>Exhibit 31.2</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I, Charles C. Bracher, certify that:</w:t>
      </w:r>
    </w:p>
    <w:p>
      <w:pPr>
        <w:spacing w:after="0" w:line="239" w:lineRule="exact"/>
        <w:rPr>
          <w:sz w:val="20"/>
          <w:szCs w:val="20"/>
          <w:color w:val="auto"/>
        </w:rPr>
      </w:pPr>
    </w:p>
    <w:p>
      <w:pPr>
        <w:ind w:left="340" w:hanging="332"/>
        <w:spacing w:after="0"/>
        <w:tabs>
          <w:tab w:leader="none" w:pos="340" w:val="left"/>
        </w:tabs>
        <w:numPr>
          <w:ilvl w:val="0"/>
          <w:numId w:val="19"/>
        </w:numPr>
        <w:rPr>
          <w:rFonts w:ascii="Arial" w:cs="Arial" w:eastAsia="Arial" w:hAnsi="Arial"/>
          <w:sz w:val="20"/>
          <w:szCs w:val="20"/>
          <w:color w:val="auto"/>
        </w:rPr>
      </w:pPr>
      <w:r>
        <w:rPr>
          <w:rFonts w:ascii="Arial" w:cs="Arial" w:eastAsia="Arial" w:hAnsi="Arial"/>
          <w:sz w:val="18"/>
          <w:szCs w:val="18"/>
          <w:color w:val="auto"/>
        </w:rPr>
        <w:t>I have reviewed this quarterly report on Form 10-Q of Grocery Outlet Holding Corp.;</w:t>
      </w:r>
    </w:p>
    <w:p>
      <w:pPr>
        <w:spacing w:after="0" w:line="215" w:lineRule="exact"/>
        <w:rPr>
          <w:rFonts w:ascii="Arial" w:cs="Arial" w:eastAsia="Arial" w:hAnsi="Arial"/>
          <w:sz w:val="20"/>
          <w:szCs w:val="20"/>
          <w:color w:val="auto"/>
        </w:rPr>
      </w:pPr>
    </w:p>
    <w:p>
      <w:pPr>
        <w:jc w:val="both"/>
        <w:ind w:left="340" w:hanging="332"/>
        <w:spacing w:after="0" w:line="250" w:lineRule="auto"/>
        <w:tabs>
          <w:tab w:leader="none" w:pos="340" w:val="left"/>
        </w:tabs>
        <w:numPr>
          <w:ilvl w:val="0"/>
          <w:numId w:val="19"/>
        </w:numPr>
        <w:rPr>
          <w:rFonts w:ascii="Arial" w:cs="Arial" w:eastAsia="Arial" w:hAnsi="Arial"/>
          <w:sz w:val="20"/>
          <w:szCs w:val="20"/>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6" w:lineRule="exact"/>
        <w:rPr>
          <w:rFonts w:ascii="Arial" w:cs="Arial" w:eastAsia="Arial" w:hAnsi="Arial"/>
          <w:sz w:val="20"/>
          <w:szCs w:val="20"/>
          <w:color w:val="auto"/>
        </w:rPr>
      </w:pPr>
    </w:p>
    <w:p>
      <w:pPr>
        <w:ind w:left="340" w:hanging="332"/>
        <w:spacing w:after="0" w:line="250" w:lineRule="auto"/>
        <w:tabs>
          <w:tab w:leader="none" w:pos="340" w:val="left"/>
        </w:tabs>
        <w:numPr>
          <w:ilvl w:val="0"/>
          <w:numId w:val="19"/>
        </w:numPr>
        <w:rPr>
          <w:rFonts w:ascii="Arial" w:cs="Arial" w:eastAsia="Arial" w:hAnsi="Arial"/>
          <w:sz w:val="20"/>
          <w:szCs w:val="20"/>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6" w:lineRule="exact"/>
        <w:rPr>
          <w:rFonts w:ascii="Arial" w:cs="Arial" w:eastAsia="Arial" w:hAnsi="Arial"/>
          <w:sz w:val="20"/>
          <w:szCs w:val="20"/>
          <w:color w:val="auto"/>
        </w:rPr>
      </w:pPr>
    </w:p>
    <w:p>
      <w:pPr>
        <w:ind w:left="340" w:right="20" w:hanging="332"/>
        <w:spacing w:after="0" w:line="250" w:lineRule="auto"/>
        <w:tabs>
          <w:tab w:leader="none" w:pos="340" w:val="left"/>
        </w:tabs>
        <w:numPr>
          <w:ilvl w:val="0"/>
          <w:numId w:val="19"/>
        </w:numPr>
        <w:rPr>
          <w:rFonts w:ascii="Arial" w:cs="Arial" w:eastAsia="Arial" w:hAnsi="Arial"/>
          <w:sz w:val="20"/>
          <w:szCs w:val="20"/>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84" w:lineRule="exact"/>
        <w:rPr>
          <w:rFonts w:ascii="Arial" w:cs="Arial" w:eastAsia="Arial" w:hAnsi="Arial"/>
          <w:sz w:val="20"/>
          <w:szCs w:val="20"/>
          <w:color w:val="auto"/>
        </w:rPr>
      </w:pPr>
    </w:p>
    <w:p>
      <w:pPr>
        <w:jc w:val="both"/>
        <w:ind w:left="660" w:hanging="328"/>
        <w:spacing w:after="0" w:line="263" w:lineRule="auto"/>
        <w:tabs>
          <w:tab w:leader="none" w:pos="65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 w:lineRule="exact"/>
        <w:rPr>
          <w:rFonts w:ascii="Arial" w:cs="Arial" w:eastAsia="Arial" w:hAnsi="Arial"/>
          <w:sz w:val="18"/>
          <w:szCs w:val="18"/>
          <w:color w:val="auto"/>
        </w:rPr>
      </w:pPr>
    </w:p>
    <w:p>
      <w:pPr>
        <w:ind w:left="660" w:hanging="328"/>
        <w:spacing w:after="0" w:line="298" w:lineRule="auto"/>
        <w:tabs>
          <w:tab w:leader="none" w:pos="660" w:val="left"/>
        </w:tabs>
        <w:numPr>
          <w:ilvl w:val="1"/>
          <w:numId w:val="1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660" w:hanging="328"/>
        <w:spacing w:after="0" w:line="263" w:lineRule="auto"/>
        <w:tabs>
          <w:tab w:leader="none" w:pos="65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7" w:lineRule="exact"/>
        <w:rPr>
          <w:rFonts w:ascii="Arial" w:cs="Arial" w:eastAsia="Arial" w:hAnsi="Arial"/>
          <w:sz w:val="18"/>
          <w:szCs w:val="18"/>
          <w:color w:val="auto"/>
        </w:rPr>
      </w:pPr>
    </w:p>
    <w:p>
      <w:pPr>
        <w:ind w:left="340" w:hanging="332"/>
        <w:spacing w:after="0" w:line="279" w:lineRule="auto"/>
        <w:tabs>
          <w:tab w:leader="none" w:pos="340" w:val="left"/>
        </w:tabs>
        <w:numPr>
          <w:ilvl w:val="0"/>
          <w:numId w:val="19"/>
        </w:numPr>
        <w:rPr>
          <w:rFonts w:ascii="Arial" w:cs="Arial" w:eastAsia="Arial" w:hAnsi="Arial"/>
          <w:sz w:val="19"/>
          <w:szCs w:val="19"/>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8" w:lineRule="exact"/>
        <w:rPr>
          <w:rFonts w:ascii="Arial" w:cs="Arial" w:eastAsia="Arial" w:hAnsi="Arial"/>
          <w:sz w:val="19"/>
          <w:szCs w:val="19"/>
          <w:color w:val="auto"/>
        </w:rPr>
      </w:pPr>
    </w:p>
    <w:p>
      <w:pPr>
        <w:ind w:left="660" w:hanging="328"/>
        <w:spacing w:after="0" w:line="277" w:lineRule="auto"/>
        <w:tabs>
          <w:tab w:leader="none" w:pos="65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5" w:lineRule="exact"/>
        <w:rPr>
          <w:sz w:val="20"/>
          <w:szCs w:val="20"/>
          <w:color w:val="auto"/>
        </w:rPr>
      </w:pPr>
    </w:p>
    <w:tbl>
      <w:tblPr>
        <w:tblLayout w:type="fixed"/>
        <w:tblInd w:w="220" w:type="dxa"/>
        <w:tblCellMar>
          <w:top w:w="0" w:type="dxa"/>
          <w:left w:w="0" w:type="dxa"/>
          <w:bottom w:w="0" w:type="dxa"/>
          <w:right w:w="0" w:type="dxa"/>
        </w:tblCellMar>
      </w:tblPr>
      <w:tr>
        <w:trPr>
          <w:trHeight w:val="230"/>
        </w:trPr>
        <w:tc>
          <w:tcPr>
            <w:tcW w:w="4000" w:type="dxa"/>
            <w:vAlign w:val="bottom"/>
          </w:tcPr>
          <w:p>
            <w:pPr>
              <w:spacing w:after="0"/>
              <w:rPr>
                <w:sz w:val="20"/>
                <w:szCs w:val="20"/>
                <w:color w:val="auto"/>
              </w:rPr>
            </w:pPr>
            <w:r>
              <w:rPr>
                <w:rFonts w:ascii="Arial" w:cs="Arial" w:eastAsia="Arial" w:hAnsi="Arial"/>
                <w:sz w:val="18"/>
                <w:szCs w:val="18"/>
                <w:color w:val="auto"/>
              </w:rPr>
              <w:t>Date: August 11, 2021</w:t>
            </w:r>
          </w:p>
        </w:tc>
        <w:tc>
          <w:tcPr>
            <w:tcW w:w="5720" w:type="dxa"/>
            <w:vAlign w:val="bottom"/>
            <w:gridSpan w:val="2"/>
          </w:tcPr>
          <w:p>
            <w:pPr>
              <w:ind w:left="2400"/>
              <w:spacing w:after="0"/>
              <w:rPr>
                <w:sz w:val="20"/>
                <w:szCs w:val="20"/>
                <w:color w:val="auto"/>
              </w:rPr>
            </w:pPr>
            <w:r>
              <w:rPr>
                <w:rFonts w:ascii="Arial" w:cs="Arial" w:eastAsia="Arial" w:hAnsi="Arial"/>
                <w:sz w:val="18"/>
                <w:szCs w:val="18"/>
                <w:color w:val="auto"/>
              </w:rPr>
              <w:t>By: /s/ Charles C. Bracher</w:t>
            </w:r>
          </w:p>
        </w:tc>
      </w:tr>
      <w:tr>
        <w:trPr>
          <w:trHeight w:val="222"/>
        </w:trPr>
        <w:tc>
          <w:tcPr>
            <w:tcW w:w="400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30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Charles C. Bracher</w:t>
            </w:r>
          </w:p>
        </w:tc>
      </w:tr>
      <w:tr>
        <w:trPr>
          <w:trHeight w:val="229"/>
        </w:trPr>
        <w:tc>
          <w:tcPr>
            <w:tcW w:w="400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304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30"/>
        </w:trPr>
        <w:tc>
          <w:tcPr>
            <w:tcW w:w="400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304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r>
    </w:tbl>
    <w:p>
      <w:pPr>
        <w:sectPr>
          <w:pgSz w:w="11900" w:h="16838" w:orient="portrait"/>
          <w:cols w:equalWidth="0" w:num="1">
            <w:col w:w="11240"/>
          </w:cols>
          <w:pgMar w:left="320" w:top="118" w:right="339" w:bottom="1440" w:gutter="0" w:footer="0" w:header="0"/>
        </w:sectPr>
      </w:pPr>
    </w:p>
    <w:bookmarkStart w:id="40" w:name="page41"/>
    <w:bookmarkEnd w:id="40"/>
    <w:p>
      <w:pPr>
        <w:jc w:val="right"/>
        <w:spacing w:after="0"/>
        <w:rPr>
          <w:sz w:val="20"/>
          <w:szCs w:val="20"/>
          <w:color w:val="auto"/>
        </w:rPr>
      </w:pPr>
      <w:r>
        <w:rPr>
          <w:rFonts w:ascii="Arial" w:cs="Arial" w:eastAsia="Arial" w:hAnsi="Arial"/>
          <w:sz w:val="20"/>
          <w:szCs w:val="20"/>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connection with the Quarterly Report of Grocery Outlet Holding Corp. (the “Company”) on Form 10-Q for the period ended July 3, 2021 as filed with the Securities and Exchange Commission on the date hereof (the “Report”), I, Eric J. Lindberg, Jr., certify pursuant to 18 U.S.C. § 1350, as adopted pursuant to § 906 of the Sarbanes-Oxley Act of 2002, that:</w:t>
      </w:r>
    </w:p>
    <w:p>
      <w:pPr>
        <w:spacing w:after="0" w:line="157" w:lineRule="exact"/>
        <w:rPr>
          <w:sz w:val="20"/>
          <w:szCs w:val="20"/>
          <w:color w:val="auto"/>
        </w:rPr>
      </w:pPr>
    </w:p>
    <w:p>
      <w:pPr>
        <w:ind w:left="1060" w:hanging="364"/>
        <w:spacing w:after="0"/>
        <w:tabs>
          <w:tab w:leader="none" w:pos="10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196" w:lineRule="exact"/>
        <w:rPr>
          <w:rFonts w:ascii="Arial" w:cs="Arial" w:eastAsia="Arial" w:hAnsi="Arial"/>
          <w:sz w:val="17"/>
          <w:szCs w:val="17"/>
          <w:color w:val="auto"/>
        </w:rPr>
      </w:pPr>
    </w:p>
    <w:p>
      <w:pPr>
        <w:ind w:left="1060" w:hanging="364"/>
        <w:spacing w:after="0" w:line="277" w:lineRule="auto"/>
        <w:tabs>
          <w:tab w:leader="none" w:pos="1054"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240" w:type="dxa"/>
        <w:tblCellMar>
          <w:top w:w="0" w:type="dxa"/>
          <w:left w:w="0" w:type="dxa"/>
          <w:bottom w:w="0" w:type="dxa"/>
          <w:right w:w="0" w:type="dxa"/>
        </w:tblCellMar>
      </w:tblPr>
      <w:tr>
        <w:trPr>
          <w:trHeight w:val="230"/>
        </w:trPr>
        <w:tc>
          <w:tcPr>
            <w:tcW w:w="3700" w:type="dxa"/>
            <w:vAlign w:val="bottom"/>
          </w:tcPr>
          <w:p>
            <w:pPr>
              <w:spacing w:after="0"/>
              <w:rPr>
                <w:sz w:val="20"/>
                <w:szCs w:val="20"/>
                <w:color w:val="auto"/>
              </w:rPr>
            </w:pPr>
            <w:r>
              <w:rPr>
                <w:rFonts w:ascii="Arial" w:cs="Arial" w:eastAsia="Arial" w:hAnsi="Arial"/>
                <w:sz w:val="18"/>
                <w:szCs w:val="18"/>
                <w:color w:val="auto"/>
              </w:rPr>
              <w:t>Date: August 11, 2021</w:t>
            </w:r>
          </w:p>
        </w:tc>
        <w:tc>
          <w:tcPr>
            <w:tcW w:w="5380" w:type="dxa"/>
            <w:vAlign w:val="bottom"/>
            <w:gridSpan w:val="2"/>
          </w:tcPr>
          <w:p>
            <w:pPr>
              <w:ind w:left="2060"/>
              <w:spacing w:after="0"/>
              <w:rPr>
                <w:sz w:val="20"/>
                <w:szCs w:val="20"/>
                <w:color w:val="auto"/>
              </w:rPr>
            </w:pPr>
            <w:r>
              <w:rPr>
                <w:rFonts w:ascii="Arial" w:cs="Arial" w:eastAsia="Arial" w:hAnsi="Arial"/>
                <w:sz w:val="18"/>
                <w:szCs w:val="18"/>
                <w:color w:val="auto"/>
              </w:rPr>
              <w:t>By: /s/ Eric J. Lindberg, Jr.</w:t>
            </w:r>
          </w:p>
        </w:tc>
      </w:tr>
      <w:tr>
        <w:trPr>
          <w:trHeight w:val="222"/>
        </w:trPr>
        <w:tc>
          <w:tcPr>
            <w:tcW w:w="370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30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Eric J. Lindberg, Jr.</w:t>
            </w:r>
          </w:p>
        </w:tc>
      </w:tr>
      <w:tr>
        <w:trPr>
          <w:trHeight w:val="229"/>
        </w:trPr>
        <w:tc>
          <w:tcPr>
            <w:tcW w:w="370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304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r>
        <w:trPr>
          <w:trHeight w:val="230"/>
        </w:trPr>
        <w:tc>
          <w:tcPr>
            <w:tcW w:w="370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304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240"/>
          </w:cols>
          <w:pgMar w:left="320" w:top="118" w:right="339" w:bottom="1440" w:gutter="0" w:footer="0" w:header="0"/>
        </w:sectPr>
      </w:pPr>
    </w:p>
    <w:bookmarkStart w:id="41" w:name="page42"/>
    <w:bookmarkEnd w:id="41"/>
    <w:p>
      <w:pPr>
        <w:jc w:val="right"/>
        <w:spacing w:after="0"/>
        <w:rPr>
          <w:sz w:val="20"/>
          <w:szCs w:val="20"/>
          <w:color w:val="auto"/>
        </w:rPr>
      </w:pPr>
      <w:r>
        <w:rPr>
          <w:rFonts w:ascii="Arial" w:cs="Arial" w:eastAsia="Arial" w:hAnsi="Arial"/>
          <w:sz w:val="20"/>
          <w:szCs w:val="20"/>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connection with the Quarterly Report of Grocery Outlet Holding Corp. (the “Company”) on Form 10-Q for the period ended July 3, 2021 as filed with the Securities and Exchange Commission on the date hereof (the “Report”), I, Charles C. Bracher, certify pursuant to 18 U.S.C. § 1350, as adopted pursuant to § 906 of the Sarbanes-Oxley Act of 2002, that:</w:t>
      </w:r>
    </w:p>
    <w:p>
      <w:pPr>
        <w:spacing w:after="0" w:line="157" w:lineRule="exact"/>
        <w:rPr>
          <w:sz w:val="20"/>
          <w:szCs w:val="20"/>
          <w:color w:val="auto"/>
        </w:rPr>
      </w:pPr>
    </w:p>
    <w:p>
      <w:pPr>
        <w:ind w:left="1060" w:hanging="364"/>
        <w:spacing w:after="0"/>
        <w:tabs>
          <w:tab w:leader="none" w:pos="10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196" w:lineRule="exact"/>
        <w:rPr>
          <w:rFonts w:ascii="Arial" w:cs="Arial" w:eastAsia="Arial" w:hAnsi="Arial"/>
          <w:sz w:val="17"/>
          <w:szCs w:val="17"/>
          <w:color w:val="auto"/>
        </w:rPr>
      </w:pPr>
    </w:p>
    <w:p>
      <w:pPr>
        <w:ind w:left="1060" w:hanging="364"/>
        <w:spacing w:after="0" w:line="277" w:lineRule="auto"/>
        <w:tabs>
          <w:tab w:leader="none" w:pos="1054"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240" w:type="dxa"/>
        <w:tblCellMar>
          <w:top w:w="0" w:type="dxa"/>
          <w:left w:w="0" w:type="dxa"/>
          <w:bottom w:w="0" w:type="dxa"/>
          <w:right w:w="0" w:type="dxa"/>
        </w:tblCellMar>
      </w:tblPr>
      <w:tr>
        <w:trPr>
          <w:trHeight w:val="230"/>
        </w:trPr>
        <w:tc>
          <w:tcPr>
            <w:tcW w:w="3680" w:type="dxa"/>
            <w:vAlign w:val="bottom"/>
          </w:tcPr>
          <w:p>
            <w:pPr>
              <w:spacing w:after="0"/>
              <w:rPr>
                <w:sz w:val="20"/>
                <w:szCs w:val="20"/>
                <w:color w:val="auto"/>
              </w:rPr>
            </w:pPr>
            <w:r>
              <w:rPr>
                <w:rFonts w:ascii="Arial" w:cs="Arial" w:eastAsia="Arial" w:hAnsi="Arial"/>
                <w:sz w:val="18"/>
                <w:szCs w:val="18"/>
                <w:color w:val="auto"/>
              </w:rPr>
              <w:t>Date: August 11, 2021</w:t>
            </w:r>
          </w:p>
        </w:tc>
        <w:tc>
          <w:tcPr>
            <w:tcW w:w="5400" w:type="dxa"/>
            <w:vAlign w:val="bottom"/>
            <w:gridSpan w:val="2"/>
          </w:tcPr>
          <w:p>
            <w:pPr>
              <w:ind w:left="2080"/>
              <w:spacing w:after="0"/>
              <w:rPr>
                <w:sz w:val="20"/>
                <w:szCs w:val="20"/>
                <w:color w:val="auto"/>
              </w:rPr>
            </w:pPr>
            <w:r>
              <w:rPr>
                <w:rFonts w:ascii="Arial" w:cs="Arial" w:eastAsia="Arial" w:hAnsi="Arial"/>
                <w:sz w:val="18"/>
                <w:szCs w:val="18"/>
                <w:color w:val="auto"/>
              </w:rPr>
              <w:t>By: /s/ Charles C. Bracher</w:t>
            </w:r>
          </w:p>
        </w:tc>
      </w:tr>
      <w:tr>
        <w:trPr>
          <w:trHeight w:val="222"/>
        </w:trPr>
        <w:tc>
          <w:tcPr>
            <w:tcW w:w="368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30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Charles C. Bracher</w:t>
            </w:r>
          </w:p>
        </w:tc>
      </w:tr>
      <w:tr>
        <w:trPr>
          <w:trHeight w:val="229"/>
        </w:trPr>
        <w:tc>
          <w:tcPr>
            <w:tcW w:w="368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304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30"/>
        </w:trPr>
        <w:tc>
          <w:tcPr>
            <w:tcW w:w="368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304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r>
    </w:tbl>
    <w:p>
      <w:pPr>
        <w:spacing w:after="0" w:line="1" w:lineRule="exact"/>
        <w:rPr>
          <w:sz w:val="20"/>
          <w:szCs w:val="20"/>
          <w:color w:val="auto"/>
        </w:rPr>
      </w:pPr>
    </w:p>
    <w:sectPr>
      <w:pgSz w:w="11900" w:h="16838" w:orient="portrait"/>
      <w:cols w:equalWidth="0" w:num="1">
        <w:col w:w="11240"/>
      </w:cols>
      <w:pgMar w:left="32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1)"/>
      <w:numFmt w:val="decimal"/>
      <w:start w:val="1"/>
    </w:lvl>
  </w:abstractNum>
  <w:abstractNum w:abstractNumId="3">
    <w:nsid w:val="140E0F76"/>
    <w:multiLevelType w:val="hybridMultilevel"/>
    <w:lvl w:ilvl="0">
      <w:lvlJc w:val="left"/>
      <w:lvlText w:val="(%1)"/>
      <w:numFmt w:val="decimal"/>
      <w:start w:val="1"/>
    </w:lvl>
  </w:abstractNum>
  <w:abstractNum w:abstractNumId="4">
    <w:nsid w:val="3352255A"/>
    <w:multiLevelType w:val="hybridMultilevel"/>
    <w:lvl w:ilvl="0">
      <w:lvlJc w:val="left"/>
      <w:lvlText w:val="•"/>
      <w:numFmt w:val="bullet"/>
      <w:start w:val="1"/>
    </w:lvl>
  </w:abstractNum>
  <w:abstractNum w:abstractNumId="5">
    <w:nsid w:val="109CF92E"/>
    <w:multiLevelType w:val="hybridMultilevel"/>
    <w:lvl w:ilvl="0">
      <w:lvlJc w:val="left"/>
      <w:lvlText w:val="(%1)"/>
      <w:numFmt w:val="decimal"/>
      <w:start w:val="1"/>
    </w:lvl>
  </w:abstractNum>
  <w:abstractNum w:abstractNumId="6">
    <w:nsid w:val="DED7263"/>
    <w:multiLevelType w:val="hybridMultilevel"/>
    <w:lvl w:ilvl="0">
      <w:lvlJc w:val="left"/>
      <w:lvlText w:val="(%1)"/>
      <w:numFmt w:val="decimal"/>
      <w:start w:val="1"/>
    </w:lvl>
  </w:abstractNum>
  <w:abstractNum w:abstractNumId="7">
    <w:nsid w:val="7FDCC233"/>
    <w:multiLevelType w:val="hybridMultilevel"/>
    <w:lvl w:ilvl="0">
      <w:lvlJc w:val="left"/>
      <w:lvlText w:val="(%1)"/>
      <w:numFmt w:val="decimal"/>
      <w:start w:val="1"/>
    </w:lvl>
  </w:abstractNum>
  <w:abstractNum w:abstractNumId="8">
    <w:nsid w:val="1BEFD79F"/>
    <w:multiLevelType w:val="hybridMultilevel"/>
    <w:lvl w:ilvl="0">
      <w:lvlJc w:val="left"/>
      <w:lvlText w:val="•"/>
      <w:numFmt w:val="bullet"/>
      <w:start w:val="1"/>
    </w:lvl>
  </w:abstractNum>
  <w:abstractNum w:abstractNumId="9">
    <w:nsid w:val="41A7C4C9"/>
    <w:multiLevelType w:val="hybridMultilevel"/>
    <w:lvl w:ilvl="0">
      <w:lvlJc w:val="left"/>
      <w:lvlText w:val="(%1)"/>
      <w:numFmt w:val="decimal"/>
      <w:start w:val="1"/>
    </w:lvl>
  </w:abstractNum>
  <w:abstractNum w:abstractNumId="10">
    <w:nsid w:val="6B68079A"/>
    <w:multiLevelType w:val="hybridMultilevel"/>
    <w:lvl w:ilvl="0">
      <w:lvlJc w:val="left"/>
      <w:lvlText w:val="(%1)"/>
      <w:numFmt w:val="decimal"/>
      <w:start w:val="1"/>
    </w:lvl>
  </w:abstractNum>
  <w:abstractNum w:abstractNumId="11">
    <w:nsid w:val="4E6AFB66"/>
    <w:multiLevelType w:val="hybridMultilevel"/>
    <w:lvl w:ilvl="0">
      <w:lvlJc w:val="left"/>
      <w:lvlText w:val="(%1)"/>
      <w:numFmt w:val="decimal"/>
      <w:start w:val="1"/>
    </w:lvl>
  </w:abstractNum>
  <w:abstractNum w:abstractNumId="12">
    <w:nsid w:val="25E45D32"/>
    <w:multiLevelType w:val="hybridMultilevel"/>
    <w:lvl w:ilvl="0">
      <w:lvlJc w:val="left"/>
      <w:lvlText w:val="(%1)"/>
      <w:numFmt w:val="decimal"/>
      <w:start w:val="1"/>
    </w:lvl>
  </w:abstractNum>
  <w:abstractNum w:abstractNumId="13">
    <w:nsid w:val="519B500D"/>
    <w:multiLevelType w:val="hybridMultilevel"/>
    <w:lvl w:ilvl="0">
      <w:lvlJc w:val="left"/>
      <w:lvlText w:val="(%1)"/>
      <w:numFmt w:val="decimal"/>
      <w:start w:val="3"/>
    </w:lvl>
  </w:abstractNum>
  <w:abstractNum w:abstractNumId="14">
    <w:nsid w:val="431BD7B7"/>
    <w:multiLevelType w:val="hybridMultilevel"/>
    <w:lvl w:ilvl="0">
      <w:lvlJc w:val="left"/>
      <w:lvlText w:val="%1"/>
      <w:numFmt w:val="decimal"/>
      <w:start w:val="104"/>
    </w:lvl>
  </w:abstractNum>
  <w:abstractNum w:abstractNumId="15">
    <w:nsid w:val="3F2DBA31"/>
    <w:multiLevelType w:val="hybridMultilevel"/>
    <w:lvl w:ilvl="0">
      <w:lvlJc w:val="left"/>
      <w:lvlText w:val="*"/>
      <w:numFmt w:val="bullet"/>
      <w:start w:val="1"/>
    </w:lvl>
  </w:abstractNum>
  <w:abstractNum w:abstractNumId="16">
    <w:nsid w:val="7C83E458"/>
    <w:multiLevelType w:val="hybridMultilevel"/>
    <w:lvl w:ilvl="0">
      <w:lvlJc w:val="left"/>
      <w:lvlText w:val="**"/>
      <w:numFmt w:val="bullet"/>
      <w:start w:val="1"/>
    </w:lvl>
  </w:abstractNum>
  <w:abstractNum w:abstractNumId="17">
    <w:nsid w:val="257130A3"/>
    <w:multiLevelType w:val="hybridMultilevel"/>
    <w:lvl w:ilvl="0">
      <w:lvlJc w:val="left"/>
      <w:lvlText w:val="%1."/>
      <w:numFmt w:val="decimal"/>
      <w:start w:val="1"/>
    </w:lvl>
    <w:lvl w:ilvl="1">
      <w:lvlJc w:val="left"/>
      <w:lvlText w:val="%2."/>
      <w:numFmt w:val="lowerLetter"/>
      <w:start w:val="1"/>
    </w:lvl>
  </w:abstractNum>
  <w:abstractNum w:abstractNumId="18">
    <w:nsid w:val="62BBD95A"/>
    <w:multiLevelType w:val="hybridMultilevel"/>
    <w:lvl w:ilvl="0">
      <w:lvlJc w:val="left"/>
      <w:lvlText w:val="%1."/>
      <w:numFmt w:val="decimal"/>
      <w:start w:val="1"/>
    </w:lvl>
    <w:lvl w:ilvl="1">
      <w:lvlJc w:val="left"/>
      <w:lvlText w:val="%2."/>
      <w:numFmt w:val="lowerLetter"/>
      <w:start w:val="1"/>
    </w:lvl>
  </w:abstractNum>
  <w:abstractNum w:abstractNumId="19">
    <w:nsid w:val="436C6125"/>
    <w:multiLevelType w:val="hybridMultilevel"/>
    <w:lvl w:ilvl="0">
      <w:lvlJc w:val="left"/>
      <w:lvlText w:val="(%1)"/>
      <w:numFmt w:val="decimal"/>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4" Type="http://schemas.openxmlformats.org/officeDocument/2006/relationships/hyperlink" Target="http://www.sec.gov/Archives/edgar/data/1771515/000119312519180291/d729208dex41.htm" TargetMode="External"/><Relationship Id="rId55" Type="http://schemas.openxmlformats.org/officeDocument/2006/relationships/hyperlink" Target="http://www.sec.gov/Archives/edgar/data/1771515/000119312519180291/d729208dex4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2021-08-11T15:29:12Z</dcterms:created>
  <dcterms:modified xsi:type="dcterms:W3CDTF">2021-08-11T15:29:12Z</dcterms:modified>
</cp:coreProperties>
</file>