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Jaros Carey F.</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20"/>
        <w:spacing w:after="0" w:line="365" w:lineRule="auto"/>
        <w:rPr>
          <w:sz w:val="20"/>
          <w:szCs w:val="20"/>
          <w:color w:val="auto"/>
        </w:rPr>
      </w:pPr>
      <w:r>
        <w:rPr>
          <w:rFonts w:ascii="Times New Roman" w:cs="Times New Roman" w:eastAsia="Times New Roman" w:hAnsi="Times New Roman"/>
          <w:sz w:val="17"/>
          <w:szCs w:val="17"/>
          <w:color w:val="0000FF"/>
        </w:rPr>
        <w:t>C/O GROCERY OUTLET HOLDING CORP. 5650 HOLLIS STREET</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EMERYVILLE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94608</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Grocery Outlet Holding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GO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440" w:type="dxa"/>
            <w:vAlign w:val="bottom"/>
            <w:tcBorders>
              <w:bottom w:val="single" w:sz="8" w:color="0000EE"/>
            </w:tcBorders>
          </w:tcPr>
          <w:p>
            <w:pPr>
              <w:spacing w:after="0"/>
              <w:rPr>
                <w:sz w:val="3"/>
                <w:szCs w:val="3"/>
                <w:color w:val="auto"/>
              </w:rPr>
            </w:pPr>
          </w:p>
        </w:tc>
        <w:tc>
          <w:tcPr>
            <w:tcW w:w="1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44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6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06/01/2026</w:t>
            </w: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18,868</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94,934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18,868 restricted stock units ("RSUs") granted to the reporting person which are scheduled to vest on the earlier of (i) the date of the next annual meeting of stockholders following the date of grant; or (ii) June 1, 2027, subject to the continued service of the reporting person through such vesting date. The RSUs represent the annual equity retainer under the Issuer's non-employee director compensation policy.</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Luke D. Thompson, Luke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712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D. Thompson, Attorney-in-</w:t>
      </w:r>
      <w:r>
        <w:rPr>
          <w:sz w:val="20"/>
          <w:szCs w:val="20"/>
          <w:color w:val="auto"/>
        </w:rPr>
        <w:tab/>
      </w: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23561" TargetMode="External"/><Relationship Id="rId14" Type="http://schemas.openxmlformats.org/officeDocument/2006/relationships/hyperlink" Target="http://www.sec.gov/cgi-bin/browse-edgar?action=getcompany&amp;CIK=00017715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2026-06-02T19:19:18Z</dcterms:created>
  <dcterms:modified xsi:type="dcterms:W3CDTF">2026-06-02T19:19:18Z</dcterms:modified>
</cp:coreProperties>
</file>