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169545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189865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1943735</wp:posOffset>
            </wp:positionH>
            <wp:positionV relativeFrom="paragraph">
              <wp:posOffset>41275</wp:posOffset>
            </wp:positionV>
            <wp:extent cx="32880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8030" cy="698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1943735</wp:posOffset>
            </wp:positionH>
            <wp:positionV relativeFrom="paragraph">
              <wp:posOffset>154305</wp:posOffset>
            </wp:positionV>
            <wp:extent cx="32880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88030" cy="6985"/>
                    </a:xfrm>
                    <a:prstGeom prst="rect">
                      <a:avLst/>
                    </a:prstGeom>
                    <a:noFill/>
                  </pic:spPr>
                </pic:pic>
              </a:graphicData>
            </a:graphic>
          </wp:anchor>
        </w:drawing>
      </w: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2" w:lineRule="exact"/>
        <w:rPr>
          <w:sz w:val="24"/>
          <w:szCs w:val="24"/>
          <w:color w:val="auto"/>
        </w:rPr>
      </w:pPr>
    </w:p>
    <w:p>
      <w:pPr>
        <w:ind w:left="340" w:hanging="289"/>
        <w:spacing w:after="0"/>
        <w:tabs>
          <w:tab w:leader="none" w:pos="3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28, 2024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 w:lineRule="exact"/>
        <w:rPr>
          <w:sz w:val="24"/>
          <w:szCs w:val="24"/>
          <w:color w:val="auto"/>
        </w:rPr>
      </w:pPr>
    </w:p>
    <w:p>
      <w:pPr>
        <w:ind w:left="340" w:hanging="289"/>
        <w:spacing w:after="0"/>
        <w:tabs>
          <w:tab w:leader="none" w:pos="3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63" w:lineRule="exact"/>
        <w:rPr>
          <w:sz w:val="24"/>
          <w:szCs w:val="24"/>
          <w:color w:val="auto"/>
        </w:rPr>
      </w:pPr>
    </w:p>
    <w:p>
      <w:pPr>
        <w:ind w:left="4420"/>
        <w:spacing w:after="0"/>
        <w:tabs>
          <w:tab w:leader="none" w:pos="67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1943735</wp:posOffset>
            </wp:positionH>
            <wp:positionV relativeFrom="paragraph">
              <wp:posOffset>46355</wp:posOffset>
            </wp:positionV>
            <wp:extent cx="3288030" cy="727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88030" cy="7277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348"/>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0" w:type="dxa"/>
            <w:vAlign w:val="bottom"/>
            <w:gridSpan w:val="8"/>
          </w:tcPr>
          <w:p>
            <w:pPr>
              <w:jc w:val="center"/>
              <w:ind w:right="3593"/>
              <w:spacing w:after="0"/>
              <w:rPr>
                <w:sz w:val="20"/>
                <w:szCs w:val="20"/>
                <w:color w:val="auto"/>
              </w:rPr>
            </w:pPr>
            <w:r>
              <w:rPr>
                <w:rFonts w:ascii="Times New Roman" w:cs="Times New Roman" w:eastAsia="Times New Roman" w:hAnsi="Times New Roman"/>
                <w:sz w:val="28"/>
                <w:szCs w:val="28"/>
                <w:b w:val="1"/>
                <w:bCs w:val="1"/>
                <w:color w:val="auto"/>
              </w:rPr>
              <w:t>Grocery Outlet Holding Corp.</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0" w:type="dxa"/>
            <w:vAlign w:val="bottom"/>
            <w:gridSpan w:val="8"/>
          </w:tcPr>
          <w:p>
            <w:pPr>
              <w:jc w:val="center"/>
              <w:ind w:right="361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60" w:type="dxa"/>
            <w:vAlign w:val="bottom"/>
            <w:gridSpan w:val="2"/>
          </w:tcPr>
          <w:p>
            <w:pPr>
              <w:jc w:val="center"/>
              <w:ind w:left="85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70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47-1874201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jc w:val="center"/>
              <w:ind w:left="85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40" w:type="dxa"/>
            <w:vAlign w:val="bottom"/>
          </w:tcPr>
          <w:p>
            <w:pPr>
              <w:jc w:val="center"/>
              <w:ind w:left="39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gridSpan w:val="2"/>
          </w:tcPr>
          <w:p>
            <w:pPr>
              <w:jc w:val="center"/>
              <w:ind w:left="85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40" w:type="dxa"/>
            <w:vAlign w:val="bottom"/>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60" w:type="dxa"/>
            <w:vAlign w:val="bottom"/>
            <w:gridSpan w:val="2"/>
          </w:tcPr>
          <w:p>
            <w:pPr>
              <w:jc w:val="center"/>
              <w:ind w:left="852"/>
              <w:spacing w:after="0"/>
              <w:rPr>
                <w:sz w:val="20"/>
                <w:szCs w:val="20"/>
                <w:color w:val="auto"/>
              </w:rPr>
            </w:pPr>
            <w:r>
              <w:rPr>
                <w:rFonts w:ascii="Times New Roman" w:cs="Times New Roman" w:eastAsia="Times New Roman" w:hAnsi="Times New Roman"/>
                <w:sz w:val="14"/>
                <w:szCs w:val="14"/>
                <w:b w:val="1"/>
                <w:bCs w:val="1"/>
                <w:color w:val="auto"/>
              </w:rPr>
              <w:t>5650 Hollis Street, Emeryville, California</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00" w:type="dxa"/>
            <w:vAlign w:val="bottom"/>
            <w:gridSpan w:val="4"/>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94608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gridSpan w:val="2"/>
          </w:tcPr>
          <w:p>
            <w:pPr>
              <w:jc w:val="center"/>
              <w:ind w:left="852"/>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420" w:type="dxa"/>
            <w:vAlign w:val="bottom"/>
            <w:gridSpan w:val="3"/>
            <w:vMerge w:val="restart"/>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rPr>
              <w:t>(510) 845-1999</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40" w:type="dxa"/>
            <w:vAlign w:val="bottom"/>
          </w:tcPr>
          <w:p>
            <w:pPr>
              <w:ind w:left="146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2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0" w:type="dxa"/>
            <w:vAlign w:val="bottom"/>
            <w:gridSpan w:val="8"/>
          </w:tcPr>
          <w:p>
            <w:pPr>
              <w:jc w:val="center"/>
              <w:ind w:right="3613"/>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3"/>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3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0" w:type="dxa"/>
            <w:vAlign w:val="bottom"/>
            <w:gridSpan w:val="8"/>
          </w:tcPr>
          <w:p>
            <w:pPr>
              <w:jc w:val="center"/>
              <w:ind w:right="3593"/>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tcBorders>
              <w:bottom w:val="single" w:sz="8" w:color="auto"/>
            </w:tcBorders>
            <w:gridSpan w:val="2"/>
          </w:tcPr>
          <w:p>
            <w:pPr>
              <w:jc w:val="center"/>
              <w:ind w:left="512"/>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ind w:left="736"/>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60" w:type="dxa"/>
            <w:vAlign w:val="bottom"/>
            <w:gridSpan w:val="2"/>
          </w:tcPr>
          <w:p>
            <w:pPr>
              <w:jc w:val="center"/>
              <w:ind w:left="492"/>
              <w:spacing w:after="0"/>
              <w:rPr>
                <w:sz w:val="20"/>
                <w:szCs w:val="20"/>
                <w:color w:val="auto"/>
              </w:rPr>
            </w:pPr>
            <w:r>
              <w:rPr>
                <w:rFonts w:ascii="Times New Roman" w:cs="Times New Roman" w:eastAsia="Times New Roman" w:hAnsi="Times New Roman"/>
                <w:sz w:val="13"/>
                <w:szCs w:val="13"/>
                <w:color w:val="auto"/>
                <w:w w:val="98"/>
              </w:rPr>
              <w:t>Common Stock, par value $0.001 per share</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ind w:left="736"/>
              <w:spacing w:after="0"/>
              <w:rPr>
                <w:sz w:val="20"/>
                <w:szCs w:val="20"/>
                <w:color w:val="auto"/>
              </w:rPr>
            </w:pPr>
            <w:r>
              <w:rPr>
                <w:rFonts w:ascii="Times New Roman" w:cs="Times New Roman" w:eastAsia="Times New Roman" w:hAnsi="Times New Roman"/>
                <w:sz w:val="13"/>
                <w:szCs w:val="13"/>
                <w:color w:val="auto"/>
              </w:rPr>
              <w:t>GO</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40" w:type="dxa"/>
            <w:vAlign w:val="bottom"/>
          </w:tcPr>
          <w:p>
            <w:pPr>
              <w:jc w:val="center"/>
              <w:ind w:right="1153"/>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0" w:type="dxa"/>
            <w:vAlign w:val="bottom"/>
            <w:gridSpan w:val="8"/>
          </w:tcPr>
          <w:p>
            <w:pPr>
              <w:jc w:val="center"/>
              <w:ind w:right="3593"/>
              <w:spacing w:after="0"/>
              <w:rPr>
                <w:sz w:val="20"/>
                <w:szCs w:val="20"/>
                <w:color w:val="auto"/>
              </w:rPr>
            </w:pPr>
            <w:r>
              <w:rPr>
                <w:rFonts w:ascii="Times New Roman" w:cs="Times New Roman" w:eastAsia="Times New Roman" w:hAnsi="Times New Roman"/>
                <w:sz w:val="13"/>
                <w:szCs w:val="13"/>
                <w:color w:val="auto"/>
                <w:w w:val="98"/>
              </w:rPr>
              <w:t>Securities registered pursuant to Section 12(g) of the Act: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ind w:left="736"/>
              <w:spacing w:after="0"/>
              <w:rPr>
                <w:sz w:val="20"/>
                <w:szCs w:val="20"/>
                <w:color w:val="auto"/>
              </w:rPr>
            </w:pPr>
            <w:r>
              <w:rPr>
                <w:rFonts w:ascii="Times New Roman" w:cs="Times New Roman" w:eastAsia="Times New Roman" w:hAnsi="Times New Roman"/>
                <w:sz w:val="13"/>
                <w:szCs w:val="13"/>
                <w:color w:val="auto"/>
                <w:w w:val="99"/>
              </w:rPr>
              <w:t>None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6100" w:type="dxa"/>
            <w:vAlign w:val="bottom"/>
            <w:gridSpan w:val="6"/>
          </w:tcPr>
          <w:p>
            <w:pPr>
              <w:spacing w:after="0"/>
              <w:rPr>
                <w:sz w:val="20"/>
                <w:szCs w:val="20"/>
                <w:color w:val="auto"/>
              </w:rPr>
            </w:pPr>
            <w:r>
              <w:rPr>
                <w:rFonts w:ascii="Times New Roman" w:cs="Times New Roman" w:eastAsia="Times New Roman" w:hAnsi="Times New Roman"/>
                <w:sz w:val="13"/>
                <w:szCs w:val="13"/>
                <w:color w:val="auto"/>
                <w:w w:val="99"/>
              </w:rPr>
              <w:t>Indicate by check mark if the registrant is a well-known seasoned issuer, as defined in Rule 405 of the Securities Act.</w:t>
            </w:r>
          </w:p>
        </w:tc>
        <w:tc>
          <w:tcPr>
            <w:tcW w:w="48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700" w:type="dxa"/>
            <w:vAlign w:val="bottom"/>
            <w:gridSpan w:val="4"/>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55"/>
        </w:trPr>
        <w:tc>
          <w:tcPr>
            <w:tcW w:w="6100" w:type="dxa"/>
            <w:vAlign w:val="bottom"/>
            <w:gridSpan w:val="6"/>
          </w:tcPr>
          <w:p>
            <w:pPr>
              <w:spacing w:after="0"/>
              <w:rPr>
                <w:sz w:val="20"/>
                <w:szCs w:val="20"/>
                <w:color w:val="auto"/>
              </w:rPr>
            </w:pPr>
            <w:r>
              <w:rPr>
                <w:rFonts w:ascii="Times New Roman" w:cs="Times New Roman" w:eastAsia="Times New Roman" w:hAnsi="Times New Roman"/>
                <w:sz w:val="13"/>
                <w:szCs w:val="13"/>
                <w:color w:val="auto"/>
                <w:w w:val="97"/>
              </w:rPr>
              <w:t>Indicate by check mark if the registrant is not required to file reports pursuant to Section 13 or Section 15(d) of the Act.</w:t>
            </w:r>
          </w:p>
        </w:tc>
        <w:tc>
          <w:tcPr>
            <w:tcW w:w="480" w:type="dxa"/>
            <w:vAlign w:val="bottom"/>
          </w:tcPr>
          <w:p>
            <w:pPr>
              <w:ind w:left="120"/>
              <w:spacing w:after="0" w:line="150" w:lineRule="exact"/>
              <w:rPr>
                <w:sz w:val="20"/>
                <w:szCs w:val="20"/>
                <w:color w:val="auto"/>
              </w:rPr>
            </w:pPr>
            <w:r>
              <w:rPr>
                <w:rFonts w:ascii="Times New Roman" w:cs="Times New Roman" w:eastAsia="Times New Roman" w:hAnsi="Times New Roman"/>
                <w:sz w:val="13"/>
                <w:szCs w:val="13"/>
                <w:color w:val="auto"/>
                <w:w w:val="93"/>
              </w:rPr>
              <w:t xml:space="preserve">Yes </w:t>
            </w:r>
            <w:r>
              <w:rPr>
                <w:rFonts w:ascii="MS PGothic" w:cs="MS PGothic" w:eastAsia="MS PGothic" w:hAnsi="MS PGothic"/>
                <w:sz w:val="13"/>
                <w:szCs w:val="13"/>
                <w:color w:val="auto"/>
                <w:w w:val="93"/>
              </w:rPr>
              <w:t>☐</w:t>
            </w:r>
          </w:p>
        </w:tc>
        <w:tc>
          <w:tcPr>
            <w:tcW w:w="4700" w:type="dxa"/>
            <w:vAlign w:val="bottom"/>
            <w:gridSpan w:val="4"/>
          </w:tcPr>
          <w:p>
            <w:pPr>
              <w:ind w:left="14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48" w:lineRule="exact"/>
        <w:rPr>
          <w:sz w:val="24"/>
          <w:szCs w:val="24"/>
          <w:color w:val="auto"/>
        </w:rPr>
      </w:pPr>
    </w:p>
    <w:p>
      <w:pPr>
        <w:jc w:val="both"/>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large 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3"/>
          <w:szCs w:val="13"/>
          <w:color w:val="auto"/>
        </w:rPr>
        <w:t>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3"/>
          <w:szCs w:val="13"/>
          <w:color w:val="auto"/>
        </w:rPr>
        <w:t>smaller reporting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emerging growth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in Rule 12b-2 of the Exchange Act.</w:t>
      </w:r>
    </w:p>
    <w:p>
      <w:pPr>
        <w:spacing w:after="0" w:line="75"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ind w:left="1520"/>
              <w:spacing w:after="0"/>
              <w:rPr>
                <w:sz w:val="20"/>
                <w:szCs w:val="20"/>
                <w:color w:val="auto"/>
              </w:rPr>
            </w:pPr>
            <w:r>
              <w:rPr>
                <w:rFonts w:ascii="Times New Roman" w:cs="Times New Roman" w:eastAsia="Times New Roman" w:hAnsi="Times New Roman"/>
                <w:sz w:val="13"/>
                <w:szCs w:val="13"/>
                <w:color w:val="auto"/>
              </w:rPr>
              <w:t>Accelerated filer</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4"/>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ind w:left="1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4"/>
        </w:trPr>
        <w:tc>
          <w:tcPr>
            <w:tcW w:w="18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460" w:type="dxa"/>
            <w:vAlign w:val="bottom"/>
          </w:tcPr>
          <w:p>
            <w:pPr>
              <w:ind w:left="1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00" w:lineRule="exact"/>
        <w:rPr>
          <w:sz w:val="24"/>
          <w:szCs w:val="24"/>
          <w:color w:val="auto"/>
        </w:rPr>
      </w:pPr>
    </w:p>
    <w:p>
      <w:pPr>
        <w:spacing w:after="0" w:line="219"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9"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9"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9"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9" w:lineRule="exact"/>
        <w:rPr>
          <w:sz w:val="24"/>
          <w:szCs w:val="24"/>
          <w:color w:val="auto"/>
        </w:rPr>
      </w:pPr>
    </w:p>
    <w:p>
      <w:pPr>
        <w:spacing w:after="0" w:line="150" w:lineRule="exact"/>
        <w:tabs>
          <w:tab w:leader="none" w:pos="53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3"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stock of the registrant as of June 28, 2024, the last business day of the most recently completed second fiscal quarter (based on a closing price of $22.12 per share), held by non-affiliates was approximately $2.1 billion.</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20, 2025, the registrant had 97,357,942 shares of common stock outstanding.</w:t>
      </w:r>
    </w:p>
    <w:p>
      <w:pPr>
        <w:spacing w:after="0" w:line="159"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1900" w:h="16838" w:orient="portrait"/>
          <w:cols w:equalWidth="0" w:num="1">
            <w:col w:w="11280"/>
          </w:cols>
          <w:pgMar w:left="300" w:top="704" w:right="319" w:bottom="1440" w:gutter="0" w:footer="0" w:header="0"/>
        </w:sectPr>
      </w:pPr>
    </w:p>
    <w:p>
      <w:pPr>
        <w:spacing w:after="0" w:line="102"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Information required in response to Part III of Form 10-K (Items 10, 11, 12, 13, and 14) is hereby incorporated by reference to portions of the registrant's Proxy Statement for the Annual Meeting of Stockholders to be held in 2025. The Proxy Statement will be filed by the registrant with the Securities and Exchange Commission no later than 120 days after the end of the registrant's fiscal year ended December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627380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67310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87630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704"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1"/>
        </w:trPr>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60" w:type="dxa"/>
            <w:vAlign w:val="bottom"/>
            <w:gridSpan w:val="8"/>
          </w:tcPr>
          <w:p>
            <w:pPr>
              <w:jc w:val="center"/>
              <w:ind w:right="1940"/>
              <w:spacing w:after="0"/>
              <w:rPr>
                <w:sz w:val="20"/>
                <w:szCs w:val="20"/>
                <w:color w:val="auto"/>
              </w:rPr>
            </w:pPr>
            <w:r>
              <w:rPr>
                <w:rFonts w:ascii="Times New Roman" w:cs="Times New Roman" w:eastAsia="Times New Roman" w:hAnsi="Times New Roman"/>
                <w:sz w:val="16"/>
                <w:szCs w:val="16"/>
                <w:b w:val="1"/>
                <w:bCs w:val="1"/>
                <w:color w:val="auto"/>
                <w:w w:val="96"/>
              </w:rPr>
              <w:t>GROCERY OUTLET HOLDING CORP.</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20" w:type="dxa"/>
            <w:vAlign w:val="bottom"/>
            <w:gridSpan w:val="6"/>
          </w:tcPr>
          <w:p>
            <w:pPr>
              <w:jc w:val="center"/>
              <w:ind w:right="2580"/>
              <w:spacing w:after="0"/>
              <w:rPr>
                <w:sz w:val="20"/>
                <w:szCs w:val="20"/>
                <w:color w:val="auto"/>
              </w:rPr>
            </w:pPr>
            <w:r>
              <w:rPr>
                <w:rFonts w:ascii="Times New Roman" w:cs="Times New Roman" w:eastAsia="Times New Roman" w:hAnsi="Times New Roman"/>
                <w:sz w:val="16"/>
                <w:szCs w:val="16"/>
                <w:b w:val="1"/>
                <w:bCs w:val="1"/>
                <w:color w:val="auto"/>
                <w:w w:val="96"/>
              </w:rPr>
              <w:t>FORM 10-K</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50"/>
        </w:trPr>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gridSpan w:val="7"/>
          </w:tcPr>
          <w:p>
            <w:pPr>
              <w:jc w:val="center"/>
              <w:ind w:right="2080"/>
              <w:spacing w:after="0"/>
              <w:rPr>
                <w:sz w:val="20"/>
                <w:szCs w:val="20"/>
                <w:color w:val="auto"/>
              </w:rPr>
            </w:pPr>
            <w:r>
              <w:rPr>
                <w:rFonts w:ascii="Times New Roman" w:cs="Times New Roman" w:eastAsia="Times New Roman" w:hAnsi="Times New Roman"/>
                <w:sz w:val="16"/>
                <w:szCs w:val="16"/>
                <w:b w:val="1"/>
                <w:bCs w:val="1"/>
                <w:color w:val="auto"/>
                <w:w w:val="96"/>
              </w:rPr>
              <w:t>TABLE OF CONTENTS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0" w:type="dxa"/>
            <w:vAlign w:val="bottom"/>
            <w:gridSpan w:val="3"/>
          </w:tcPr>
          <w:p>
            <w:pPr>
              <w:ind w:left="1740"/>
              <w:spacing w:after="0"/>
              <w:rPr>
                <w:sz w:val="20"/>
                <w:szCs w:val="20"/>
                <w:color w:val="auto"/>
              </w:rPr>
            </w:pPr>
            <w:r>
              <w:rPr>
                <w:rFonts w:ascii="Times New Roman" w:cs="Times New Roman" w:eastAsia="Times New Roman" w:hAnsi="Times New Roman"/>
                <w:sz w:val="13"/>
                <w:szCs w:val="13"/>
                <w:b w:val="1"/>
                <w:bCs w:val="1"/>
                <w:color w:val="auto"/>
                <w:w w:val="89"/>
              </w:rPr>
              <w:t>Page</w:t>
            </w:r>
          </w:p>
        </w:tc>
      </w:tr>
      <w:tr>
        <w:trPr>
          <w:trHeight w:val="153"/>
        </w:trPr>
        <w:tc>
          <w:tcPr>
            <w:tcW w:w="9020" w:type="dxa"/>
            <w:vAlign w:val="bottom"/>
            <w:gridSpan w:val="23"/>
          </w:tcPr>
          <w:p>
            <w:pPr>
              <w:spacing w:after="0" w:line="153" w:lineRule="exact"/>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1940" w:type="dxa"/>
            <w:vAlign w:val="bottom"/>
            <w:gridSpan w:val="2"/>
          </w:tcPr>
          <w:p>
            <w:pPr>
              <w:jc w:val="center"/>
              <w:ind w:left="1730"/>
              <w:spacing w:after="0" w:line="153" w:lineRule="exact"/>
              <w:rPr>
                <w:sz w:val="20"/>
                <w:szCs w:val="20"/>
                <w:color w:val="auto"/>
              </w:rPr>
            </w:pPr>
            <w:r>
              <w:rPr>
                <w:rFonts w:ascii="Times New Roman" w:cs="Times New Roman" w:eastAsia="Times New Roman" w:hAnsi="Times New Roman"/>
                <w:sz w:val="14"/>
                <w:szCs w:val="14"/>
                <w:color w:val="3051F2"/>
                <w:w w:val="85"/>
              </w:rPr>
              <w:t>2</w:t>
            </w:r>
          </w:p>
        </w:tc>
        <w:tc>
          <w:tcPr>
            <w:tcW w:w="60" w:type="dxa"/>
            <w:vAlign w:val="bottom"/>
          </w:tcPr>
          <w:p>
            <w:pPr>
              <w:spacing w:after="0"/>
              <w:rPr>
                <w:sz w:val="13"/>
                <w:szCs w:val="13"/>
                <w:color w:val="auto"/>
              </w:rPr>
            </w:pPr>
          </w:p>
        </w:tc>
      </w:tr>
      <w:tr>
        <w:trPr>
          <w:trHeight w:val="404"/>
        </w:trPr>
        <w:tc>
          <w:tcPr>
            <w:tcW w:w="9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0" w:type="dxa"/>
            <w:vAlign w:val="bottom"/>
            <w:gridSpan w:val="5"/>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w w:val="97"/>
              </w:rPr>
              <w:t>PART I</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80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Business</w:t>
            </w: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85"/>
              </w:rPr>
              <w:t>3</w:t>
            </w:r>
          </w:p>
        </w:tc>
        <w:tc>
          <w:tcPr>
            <w:tcW w:w="6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360" w:type="dxa"/>
            <w:vAlign w:val="bottom"/>
            <w:gridSpan w:val="18"/>
          </w:tcPr>
          <w:p>
            <w:pPr>
              <w:spacing w:after="0"/>
              <w:rPr>
                <w:sz w:val="13"/>
                <w:szCs w:val="13"/>
                <w:color w:val="auto"/>
              </w:rPr>
            </w:pP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13</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6460" w:type="dxa"/>
            <w:vAlign w:val="bottom"/>
            <w:gridSpan w:val="13"/>
          </w:tcPr>
          <w:p>
            <w:pPr>
              <w:spacing w:after="0"/>
              <w:rPr>
                <w:sz w:val="13"/>
                <w:szCs w:val="13"/>
                <w:color w:val="auto"/>
              </w:rPr>
            </w:pP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36</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1C.</w:t>
            </w: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9"/>
              </w:rPr>
              <w:t>Cybersecurity</w:t>
            </w:r>
          </w:p>
        </w:tc>
        <w:tc>
          <w:tcPr>
            <w:tcW w:w="820" w:type="dxa"/>
            <w:vAlign w:val="bottom"/>
            <w:gridSpan w:val="4"/>
          </w:tcPr>
          <w:p>
            <w:pPr>
              <w:spacing w:after="0"/>
              <w:rPr>
                <w:sz w:val="13"/>
                <w:szCs w:val="13"/>
                <w:color w:val="auto"/>
              </w:rPr>
            </w:pPr>
          </w:p>
        </w:tc>
        <w:tc>
          <w:tcPr>
            <w:tcW w:w="6460" w:type="dxa"/>
            <w:vAlign w:val="bottom"/>
            <w:gridSpan w:val="13"/>
          </w:tcPr>
          <w:p>
            <w:pPr>
              <w:spacing w:after="0"/>
              <w:rPr>
                <w:sz w:val="13"/>
                <w:szCs w:val="13"/>
                <w:color w:val="auto"/>
              </w:rPr>
            </w:pP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37</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2.</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220" w:type="dxa"/>
            <w:vAlign w:val="bottom"/>
            <w:gridSpan w:val="3"/>
          </w:tcPr>
          <w:p>
            <w:pPr>
              <w:spacing w:after="0"/>
              <w:rPr>
                <w:sz w:val="13"/>
                <w:szCs w:val="13"/>
                <w:color w:val="auto"/>
              </w:rPr>
            </w:pPr>
          </w:p>
        </w:tc>
        <w:tc>
          <w:tcPr>
            <w:tcW w:w="7280" w:type="dxa"/>
            <w:vAlign w:val="bottom"/>
            <w:gridSpan w:val="17"/>
          </w:tcPr>
          <w:p>
            <w:pPr>
              <w:spacing w:after="0"/>
              <w:rPr>
                <w:sz w:val="13"/>
                <w:szCs w:val="13"/>
                <w:color w:val="auto"/>
              </w:rPr>
            </w:pP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38</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10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6"/>
              </w:rPr>
              <w:t>Legal Proceedings</w:t>
            </w:r>
          </w:p>
        </w:tc>
        <w:tc>
          <w:tcPr>
            <w:tcW w:w="7040" w:type="dxa"/>
            <w:vAlign w:val="bottom"/>
            <w:gridSpan w:val="16"/>
          </w:tcPr>
          <w:p>
            <w:pPr>
              <w:spacing w:after="0"/>
              <w:rPr>
                <w:sz w:val="13"/>
                <w:szCs w:val="13"/>
                <w:color w:val="auto"/>
              </w:rPr>
            </w:pP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39</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80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40</w:t>
            </w:r>
          </w:p>
        </w:tc>
        <w:tc>
          <w:tcPr>
            <w:tcW w:w="60" w:type="dxa"/>
            <w:vAlign w:val="bottom"/>
          </w:tcPr>
          <w:p>
            <w:pPr>
              <w:spacing w:after="0"/>
              <w:rPr>
                <w:sz w:val="13"/>
                <w:szCs w:val="13"/>
                <w:color w:val="auto"/>
              </w:rPr>
            </w:pPr>
          </w:p>
        </w:tc>
      </w:tr>
      <w:tr>
        <w:trPr>
          <w:trHeight w:val="404"/>
        </w:trPr>
        <w:tc>
          <w:tcPr>
            <w:tcW w:w="9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0" w:type="dxa"/>
            <w:vAlign w:val="bottom"/>
            <w:gridSpan w:val="5"/>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w w:val="98"/>
              </w:rPr>
              <w:t>PART II</w:t>
            </w:r>
          </w:p>
        </w:tc>
        <w:tc>
          <w:tcPr>
            <w:tcW w:w="1840" w:type="dxa"/>
            <w:vAlign w:val="bottom"/>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60" w:type="dxa"/>
            <w:vAlign w:val="bottom"/>
          </w:tcPr>
          <w:p>
            <w:pPr>
              <w:spacing w:after="0"/>
              <w:rPr>
                <w:sz w:val="24"/>
                <w:szCs w:val="24"/>
                <w:color w:val="auto"/>
              </w:rPr>
            </w:pPr>
          </w:p>
        </w:tc>
      </w:tr>
      <w:tr>
        <w:trPr>
          <w:trHeight w:val="36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5.</w:t>
            </w:r>
          </w:p>
        </w:tc>
        <w:tc>
          <w:tcPr>
            <w:tcW w:w="63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740" w:type="dxa"/>
            <w:vAlign w:val="bottom"/>
          </w:tcPr>
          <w:p>
            <w:pPr>
              <w:spacing w:after="0"/>
              <w:rPr>
                <w:sz w:val="24"/>
                <w:szCs w:val="24"/>
                <w:color w:val="auto"/>
              </w:rPr>
            </w:pP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41</w:t>
            </w:r>
          </w:p>
        </w:tc>
        <w:tc>
          <w:tcPr>
            <w:tcW w:w="6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6.</w:t>
            </w:r>
          </w:p>
        </w:tc>
        <w:tc>
          <w:tcPr>
            <w:tcW w:w="63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[Reserved]</w:t>
            </w:r>
          </w:p>
        </w:tc>
        <w:tc>
          <w:tcPr>
            <w:tcW w:w="1740" w:type="dxa"/>
            <w:vAlign w:val="bottom"/>
          </w:tcPr>
          <w:p>
            <w:pPr>
              <w:spacing w:after="0"/>
              <w:rPr>
                <w:sz w:val="13"/>
                <w:szCs w:val="13"/>
                <w:color w:val="auto"/>
              </w:rPr>
            </w:pP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43</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7.</w:t>
            </w:r>
          </w:p>
        </w:tc>
        <w:tc>
          <w:tcPr>
            <w:tcW w:w="80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44</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7A.</w:t>
            </w:r>
          </w:p>
        </w:tc>
        <w:tc>
          <w:tcPr>
            <w:tcW w:w="50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3020" w:type="dxa"/>
            <w:vAlign w:val="bottom"/>
            <w:gridSpan w:val="4"/>
          </w:tcPr>
          <w:p>
            <w:pPr>
              <w:spacing w:after="0"/>
              <w:rPr>
                <w:sz w:val="13"/>
                <w:szCs w:val="13"/>
                <w:color w:val="auto"/>
              </w:rPr>
            </w:pP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59</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8.</w:t>
            </w:r>
          </w:p>
        </w:tc>
        <w:tc>
          <w:tcPr>
            <w:tcW w:w="26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760" w:type="dxa"/>
            <w:vAlign w:val="bottom"/>
            <w:gridSpan w:val="2"/>
          </w:tcPr>
          <w:p>
            <w:pPr>
              <w:spacing w:after="0"/>
              <w:rPr>
                <w:sz w:val="13"/>
                <w:szCs w:val="13"/>
                <w:color w:val="auto"/>
              </w:rPr>
            </w:pPr>
          </w:p>
        </w:tc>
        <w:tc>
          <w:tcPr>
            <w:tcW w:w="4700" w:type="dxa"/>
            <w:vAlign w:val="bottom"/>
            <w:gridSpan w:val="7"/>
          </w:tcPr>
          <w:p>
            <w:pPr>
              <w:spacing w:after="0"/>
              <w:rPr>
                <w:sz w:val="13"/>
                <w:szCs w:val="13"/>
                <w:color w:val="auto"/>
              </w:rPr>
            </w:pP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60</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9.</w:t>
            </w:r>
          </w:p>
        </w:tc>
        <w:tc>
          <w:tcPr>
            <w:tcW w:w="510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980" w:type="dxa"/>
            <w:vAlign w:val="bottom"/>
            <w:gridSpan w:val="3"/>
          </w:tcPr>
          <w:p>
            <w:pPr>
              <w:spacing w:after="0"/>
              <w:rPr>
                <w:sz w:val="13"/>
                <w:szCs w:val="13"/>
                <w:color w:val="auto"/>
              </w:rPr>
            </w:pP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94</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w w:val="98"/>
              </w:rPr>
              <w:t>Controls and Procedures</w:t>
            </w:r>
          </w:p>
        </w:tc>
        <w:tc>
          <w:tcPr>
            <w:tcW w:w="3700" w:type="dxa"/>
            <w:vAlign w:val="bottom"/>
            <w:gridSpan w:val="11"/>
          </w:tcPr>
          <w:p>
            <w:pPr>
              <w:spacing w:after="0"/>
              <w:rPr>
                <w:sz w:val="13"/>
                <w:szCs w:val="13"/>
                <w:color w:val="auto"/>
              </w:rPr>
            </w:pPr>
          </w:p>
        </w:tc>
        <w:tc>
          <w:tcPr>
            <w:tcW w:w="2980" w:type="dxa"/>
            <w:vAlign w:val="bottom"/>
            <w:gridSpan w:val="3"/>
          </w:tcPr>
          <w:p>
            <w:pPr>
              <w:spacing w:after="0"/>
              <w:rPr>
                <w:sz w:val="13"/>
                <w:szCs w:val="13"/>
                <w:color w:val="auto"/>
              </w:rPr>
            </w:pP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95</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7"/>
              </w:rPr>
              <w:t>Other Information</w:t>
            </w:r>
          </w:p>
        </w:tc>
        <w:tc>
          <w:tcPr>
            <w:tcW w:w="360" w:type="dxa"/>
            <w:vAlign w:val="bottom"/>
            <w:gridSpan w:val="2"/>
          </w:tcPr>
          <w:p>
            <w:pPr>
              <w:spacing w:after="0"/>
              <w:rPr>
                <w:sz w:val="13"/>
                <w:szCs w:val="13"/>
                <w:color w:val="auto"/>
              </w:rPr>
            </w:pPr>
          </w:p>
        </w:tc>
        <w:tc>
          <w:tcPr>
            <w:tcW w:w="6680" w:type="dxa"/>
            <w:vAlign w:val="bottom"/>
            <w:gridSpan w:val="14"/>
          </w:tcPr>
          <w:p>
            <w:pPr>
              <w:spacing w:after="0"/>
              <w:rPr>
                <w:sz w:val="13"/>
                <w:szCs w:val="13"/>
                <w:color w:val="auto"/>
              </w:rPr>
            </w:pPr>
          </w:p>
        </w:tc>
        <w:tc>
          <w:tcPr>
            <w:tcW w:w="1940" w:type="dxa"/>
            <w:vAlign w:val="bottom"/>
            <w:gridSpan w:val="2"/>
          </w:tcPr>
          <w:p>
            <w:pPr>
              <w:jc w:val="center"/>
              <w:ind w:left="1730"/>
              <w:spacing w:after="0"/>
              <w:rPr>
                <w:sz w:val="20"/>
                <w:szCs w:val="20"/>
                <w:color w:val="auto"/>
              </w:rPr>
            </w:pPr>
            <w:r>
              <w:rPr>
                <w:rFonts w:ascii="Times New Roman" w:cs="Times New Roman" w:eastAsia="Times New Roman" w:hAnsi="Times New Roman"/>
                <w:sz w:val="14"/>
                <w:szCs w:val="14"/>
                <w:color w:val="3051F2"/>
                <w:w w:val="99"/>
              </w:rPr>
              <w:t>99</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9C.</w:t>
            </w:r>
          </w:p>
        </w:tc>
        <w:tc>
          <w:tcPr>
            <w:tcW w:w="80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940" w:type="dxa"/>
            <w:vAlign w:val="bottom"/>
            <w:gridSpan w:val="2"/>
          </w:tcPr>
          <w:p>
            <w:pPr>
              <w:jc w:val="center"/>
              <w:ind w:left="1650"/>
              <w:spacing w:after="0"/>
              <w:rPr>
                <w:sz w:val="20"/>
                <w:szCs w:val="20"/>
                <w:color w:val="auto"/>
              </w:rPr>
            </w:pPr>
            <w:r>
              <w:rPr>
                <w:rFonts w:ascii="Times New Roman" w:cs="Times New Roman" w:eastAsia="Times New Roman" w:hAnsi="Times New Roman"/>
                <w:sz w:val="14"/>
                <w:szCs w:val="14"/>
                <w:color w:val="3051F2"/>
              </w:rPr>
              <w:t>100</w:t>
            </w:r>
          </w:p>
        </w:tc>
        <w:tc>
          <w:tcPr>
            <w:tcW w:w="60" w:type="dxa"/>
            <w:vAlign w:val="bottom"/>
          </w:tcPr>
          <w:p>
            <w:pPr>
              <w:spacing w:after="0"/>
              <w:rPr>
                <w:sz w:val="13"/>
                <w:szCs w:val="13"/>
                <w:color w:val="auto"/>
              </w:rPr>
            </w:pPr>
          </w:p>
        </w:tc>
      </w:tr>
      <w:tr>
        <w:trPr>
          <w:trHeight w:val="404"/>
        </w:trPr>
        <w:tc>
          <w:tcPr>
            <w:tcW w:w="9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3800" w:type="dxa"/>
            <w:vAlign w:val="bottom"/>
            <w:gridSpan w:val="5"/>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w w:val="96"/>
              </w:rPr>
              <w:t>PART III</w:t>
            </w:r>
          </w:p>
        </w:tc>
        <w:tc>
          <w:tcPr>
            <w:tcW w:w="1840" w:type="dxa"/>
            <w:vAlign w:val="bottom"/>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60" w:type="dxa"/>
            <w:vAlign w:val="bottom"/>
          </w:tcPr>
          <w:p>
            <w:pPr>
              <w:spacing w:after="0"/>
              <w:rPr>
                <w:sz w:val="24"/>
                <w:szCs w:val="24"/>
                <w:color w:val="auto"/>
              </w:rPr>
            </w:pPr>
          </w:p>
        </w:tc>
      </w:tr>
      <w:tr>
        <w:trPr>
          <w:trHeight w:val="36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10.</w:t>
            </w:r>
          </w:p>
        </w:tc>
        <w:tc>
          <w:tcPr>
            <w:tcW w:w="80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940" w:type="dxa"/>
            <w:vAlign w:val="bottom"/>
            <w:gridSpan w:val="2"/>
          </w:tcPr>
          <w:p>
            <w:pPr>
              <w:jc w:val="center"/>
              <w:ind w:left="1650"/>
              <w:spacing w:after="0"/>
              <w:rPr>
                <w:sz w:val="20"/>
                <w:szCs w:val="20"/>
                <w:color w:val="auto"/>
              </w:rPr>
            </w:pPr>
            <w:r>
              <w:rPr>
                <w:rFonts w:ascii="Times New Roman" w:cs="Times New Roman" w:eastAsia="Times New Roman" w:hAnsi="Times New Roman"/>
                <w:sz w:val="14"/>
                <w:szCs w:val="14"/>
                <w:color w:val="3051F2"/>
              </w:rPr>
              <w:t>101</w:t>
            </w:r>
          </w:p>
        </w:tc>
        <w:tc>
          <w:tcPr>
            <w:tcW w:w="60" w:type="dxa"/>
            <w:vAlign w:val="bottom"/>
          </w:tcPr>
          <w:p>
            <w:pPr>
              <w:spacing w:after="0"/>
              <w:rPr>
                <w:sz w:val="24"/>
                <w:szCs w:val="24"/>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11.</w:t>
            </w:r>
          </w:p>
        </w:tc>
        <w:tc>
          <w:tcPr>
            <w:tcW w:w="32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4860" w:type="dxa"/>
            <w:vAlign w:val="bottom"/>
            <w:gridSpan w:val="8"/>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Borders>
              <w:top w:val="single" w:sz="8" w:color="3051F2"/>
            </w:tcBorders>
          </w:tcPr>
          <w:p>
            <w:pPr>
              <w:jc w:val="center"/>
              <w:spacing w:after="0"/>
              <w:rPr>
                <w:sz w:val="20"/>
                <w:szCs w:val="20"/>
                <w:color w:val="auto"/>
              </w:rPr>
            </w:pPr>
            <w:r>
              <w:rPr>
                <w:rFonts w:ascii="Times New Roman" w:cs="Times New Roman" w:eastAsia="Times New Roman" w:hAnsi="Times New Roman"/>
                <w:sz w:val="13"/>
                <w:szCs w:val="13"/>
                <w:color w:val="3051F2"/>
                <w:w w:val="71"/>
              </w:rPr>
              <w:t>101</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12.</w:t>
            </w:r>
          </w:p>
        </w:tc>
        <w:tc>
          <w:tcPr>
            <w:tcW w:w="57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340" w:type="dxa"/>
            <w:vAlign w:val="bottom"/>
            <w:gridSpan w:val="2"/>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3"/>
                <w:szCs w:val="13"/>
                <w:color w:val="3051F2"/>
                <w:w w:val="71"/>
              </w:rPr>
              <w:t>101</w:t>
            </w:r>
          </w:p>
        </w:tc>
        <w:tc>
          <w:tcPr>
            <w:tcW w:w="60" w:type="dxa"/>
            <w:vAlign w:val="bottom"/>
          </w:tcPr>
          <w:p>
            <w:pPr>
              <w:spacing w:after="0"/>
              <w:rPr>
                <w:sz w:val="13"/>
                <w:szCs w:val="13"/>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13.</w:t>
            </w:r>
          </w:p>
        </w:tc>
        <w:tc>
          <w:tcPr>
            <w:tcW w:w="80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940" w:type="dxa"/>
            <w:vAlign w:val="bottom"/>
            <w:gridSpan w:val="2"/>
          </w:tcPr>
          <w:p>
            <w:pPr>
              <w:jc w:val="center"/>
              <w:ind w:left="1650"/>
              <w:spacing w:after="0"/>
              <w:rPr>
                <w:sz w:val="20"/>
                <w:szCs w:val="20"/>
                <w:color w:val="auto"/>
              </w:rPr>
            </w:pPr>
            <w:r>
              <w:rPr>
                <w:rFonts w:ascii="Times New Roman" w:cs="Times New Roman" w:eastAsia="Times New Roman" w:hAnsi="Times New Roman"/>
                <w:sz w:val="14"/>
                <w:szCs w:val="14"/>
                <w:color w:val="3051F2"/>
              </w:rPr>
              <w:t>101</w:t>
            </w:r>
          </w:p>
        </w:tc>
        <w:tc>
          <w:tcPr>
            <w:tcW w:w="60" w:type="dxa"/>
            <w:vAlign w:val="bottom"/>
          </w:tcPr>
          <w:p>
            <w:pPr>
              <w:spacing w:after="0"/>
              <w:rPr>
                <w:sz w:val="13"/>
                <w:szCs w:val="13"/>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14.</w:t>
            </w:r>
          </w:p>
        </w:tc>
        <w:tc>
          <w:tcPr>
            <w:tcW w:w="42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3800" w:type="dxa"/>
            <w:vAlign w:val="bottom"/>
            <w:gridSpan w:val="5"/>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Borders>
              <w:top w:val="single" w:sz="8" w:color="3051F2"/>
            </w:tcBorders>
          </w:tcPr>
          <w:p>
            <w:pPr>
              <w:jc w:val="center"/>
              <w:spacing w:after="0"/>
              <w:rPr>
                <w:sz w:val="20"/>
                <w:szCs w:val="20"/>
                <w:color w:val="auto"/>
              </w:rPr>
            </w:pPr>
            <w:r>
              <w:rPr>
                <w:rFonts w:ascii="Times New Roman" w:cs="Times New Roman" w:eastAsia="Times New Roman" w:hAnsi="Times New Roman"/>
                <w:sz w:val="13"/>
                <w:szCs w:val="13"/>
                <w:color w:val="3051F2"/>
                <w:w w:val="71"/>
              </w:rPr>
              <w:t>101</w:t>
            </w:r>
          </w:p>
        </w:tc>
        <w:tc>
          <w:tcPr>
            <w:tcW w:w="60" w:type="dxa"/>
            <w:vAlign w:val="bottom"/>
          </w:tcPr>
          <w:p>
            <w:pPr>
              <w:spacing w:after="0"/>
              <w:rPr>
                <w:sz w:val="13"/>
                <w:szCs w:val="13"/>
                <w:color w:val="auto"/>
              </w:rPr>
            </w:pPr>
          </w:p>
        </w:tc>
      </w:tr>
      <w:tr>
        <w:trPr>
          <w:trHeight w:val="404"/>
        </w:trPr>
        <w:tc>
          <w:tcPr>
            <w:tcW w:w="9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0" w:type="dxa"/>
            <w:vAlign w:val="bottom"/>
            <w:gridSpan w:val="5"/>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w w:val="97"/>
              </w:rPr>
              <w:t>PART IV</w:t>
            </w:r>
          </w:p>
        </w:tc>
        <w:tc>
          <w:tcPr>
            <w:tcW w:w="1840" w:type="dxa"/>
            <w:vAlign w:val="bottom"/>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60" w:type="dxa"/>
            <w:vAlign w:val="bottom"/>
          </w:tcPr>
          <w:p>
            <w:pPr>
              <w:spacing w:after="0"/>
              <w:rPr>
                <w:sz w:val="24"/>
                <w:szCs w:val="24"/>
                <w:color w:val="auto"/>
              </w:rPr>
            </w:pPr>
          </w:p>
        </w:tc>
      </w:tr>
      <w:tr>
        <w:trPr>
          <w:trHeight w:val="361"/>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15.</w:t>
            </w:r>
          </w:p>
        </w:tc>
        <w:tc>
          <w:tcPr>
            <w:tcW w:w="808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940" w:type="dxa"/>
            <w:vAlign w:val="bottom"/>
            <w:gridSpan w:val="2"/>
          </w:tcPr>
          <w:p>
            <w:pPr>
              <w:jc w:val="center"/>
              <w:ind w:left="1650"/>
              <w:spacing w:after="0"/>
              <w:rPr>
                <w:sz w:val="20"/>
                <w:szCs w:val="20"/>
                <w:color w:val="auto"/>
              </w:rPr>
            </w:pPr>
            <w:r>
              <w:rPr>
                <w:rFonts w:ascii="Times New Roman" w:cs="Times New Roman" w:eastAsia="Times New Roman" w:hAnsi="Times New Roman"/>
                <w:sz w:val="14"/>
                <w:szCs w:val="14"/>
                <w:color w:val="3051F2"/>
              </w:rPr>
              <w:t>102</w:t>
            </w:r>
          </w:p>
        </w:tc>
        <w:tc>
          <w:tcPr>
            <w:tcW w:w="60" w:type="dxa"/>
            <w:vAlign w:val="bottom"/>
          </w:tcPr>
          <w:p>
            <w:pPr>
              <w:spacing w:after="0"/>
              <w:rPr>
                <w:sz w:val="24"/>
                <w:szCs w:val="24"/>
                <w:color w:val="auto"/>
              </w:rPr>
            </w:pPr>
          </w:p>
        </w:tc>
      </w:tr>
      <w:tr>
        <w:trPr>
          <w:trHeight w:val="160"/>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Item 16.</w:t>
            </w:r>
          </w:p>
        </w:tc>
        <w:tc>
          <w:tcPr>
            <w:tcW w:w="24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5600" w:type="dxa"/>
            <w:vAlign w:val="bottom"/>
            <w:gridSpan w:val="10"/>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Borders>
              <w:top w:val="single" w:sz="8" w:color="3051F2"/>
            </w:tcBorders>
          </w:tcPr>
          <w:p>
            <w:pPr>
              <w:jc w:val="center"/>
              <w:spacing w:after="0"/>
              <w:rPr>
                <w:sz w:val="20"/>
                <w:szCs w:val="20"/>
                <w:color w:val="auto"/>
              </w:rPr>
            </w:pPr>
            <w:r>
              <w:rPr>
                <w:rFonts w:ascii="Times New Roman" w:cs="Times New Roman" w:eastAsia="Times New Roman" w:hAnsi="Times New Roman"/>
                <w:sz w:val="13"/>
                <w:szCs w:val="13"/>
                <w:color w:val="3051F2"/>
                <w:w w:val="71"/>
              </w:rPr>
              <w:t>105</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3051F2"/>
            </w:tcBorders>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20" w:top="925"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9"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i w:val="1"/>
          <w:iCs w:val="1"/>
          <w:color w:val="231F20"/>
        </w:rPr>
        <w:t>Certain statements contained in this Annual Report on Form 10-K ("Form 10-K" or "report") and the documents incorporated by reference herein constitute "forward-looking statements" within the meaning of the Private Securities Litigation Reform Act of 1995. All statements contained in this report and the documents incorporated by reference herein other than statements of historical fact may constitute forward-looking statements, including statements regarding our future operating results and financial position, our business strategy and plans, the opening of new stores and new store growth, costs and benefits associated with the Restructuring Plan, the acquisition integration of United Grocery Outlet, our enterprise resource planning system project and impacts, the remediation plan of our material weakness, business and market trends, macroeconomic and geopolitical conditions, our private label program, our share of the excess inventory market, and the sufficiency of our cash balances, working capital and cash generated from operating, investing, and financing activities for our future liquidity and capital resource needs.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in this report or as described in other subsequent reports we file with the United States ("U.S.") Securities and Exchange Commission (the "SEC"). We encourage you to read this report and our other filings with the SEC carefully. Moreover, we operate in a very competitive and rapidly changing environment and new risks emerge from time to time.</w:t>
      </w:r>
    </w:p>
    <w:p>
      <w:pPr>
        <w:spacing w:after="0" w:line="63"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231F20"/>
        </w:rPr>
        <w:t>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These forward-looking statements are made as of the date of this report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spacing w:after="0" w:line="53"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231F20"/>
        </w:rPr>
        <w:t>As used in this report, references to "Grocery Outlet," "the Company," "registrant," "we," "us" and "our," refer to Grocery Outlet Holding Corp. and its consolidated subsidiaries unless otherwise indicated or the context requires otherwise.</w:t>
      </w:r>
    </w:p>
    <w:p>
      <w:pPr>
        <w:spacing w:after="0" w:line="3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231F20"/>
        </w:rPr>
        <w:t xml:space="preserve">Our fiscal year ends on the Saturday closest to December 31st each year. References to fiscal 2026, fiscal 2025, fiscal 2024, fiscal 2023, and fiscal 2022 refer to the fiscal years ended January 2, 2027, January 3, 2026, December 28, 2024, December 30, 2023 and December 31, 2022, respectively. </w:t>
      </w:r>
      <w:r>
        <w:rPr>
          <w:rFonts w:ascii="Times New Roman" w:cs="Times New Roman" w:eastAsia="Times New Roman" w:hAnsi="Times New Roman"/>
          <w:sz w:val="14"/>
          <w:szCs w:val="14"/>
          <w:i w:val="1"/>
          <w:iCs w:val="1"/>
          <w:color w:val="000000"/>
        </w:rPr>
        <w:t>Our</w:t>
      </w:r>
      <w:r>
        <w:rPr>
          <w:rFonts w:ascii="Times New Roman" w:cs="Times New Roman" w:eastAsia="Times New Roman" w:hAnsi="Times New Roman"/>
          <w:sz w:val="14"/>
          <w:szCs w:val="14"/>
          <w:i w:val="1"/>
          <w:iCs w:val="1"/>
          <w:color w:val="231F20"/>
        </w:rPr>
        <w:t xml:space="preserve"> 2024</w:t>
      </w:r>
      <w:r>
        <w:rPr>
          <w:rFonts w:ascii="Times New Roman" w:cs="Times New Roman" w:eastAsia="Times New Roman" w:hAnsi="Times New Roman"/>
          <w:sz w:val="14"/>
          <w:szCs w:val="14"/>
          <w:i w:val="1"/>
          <w:iCs w:val="1"/>
          <w:color w:val="000000"/>
        </w:rPr>
        <w:t>,</w:t>
      </w:r>
      <w:r>
        <w:rPr>
          <w:rFonts w:ascii="Times New Roman" w:cs="Times New Roman" w:eastAsia="Times New Roman" w:hAnsi="Times New Roman"/>
          <w:sz w:val="14"/>
          <w:szCs w:val="14"/>
          <w:i w:val="1"/>
          <w:iCs w:val="1"/>
          <w:color w:val="231F20"/>
        </w:rPr>
        <w:t xml:space="preserve"> 2023 </w:t>
      </w:r>
      <w:r>
        <w:rPr>
          <w:rFonts w:ascii="Times New Roman" w:cs="Times New Roman" w:eastAsia="Times New Roman" w:hAnsi="Times New Roman"/>
          <w:sz w:val="14"/>
          <w:szCs w:val="14"/>
          <w:i w:val="1"/>
          <w:iCs w:val="1"/>
          <w:color w:val="000000"/>
        </w:rPr>
        <w:t>and</w:t>
      </w:r>
      <w:r>
        <w:rPr>
          <w:rFonts w:ascii="Times New Roman" w:cs="Times New Roman" w:eastAsia="Times New Roman" w:hAnsi="Times New Roman"/>
          <w:sz w:val="14"/>
          <w:szCs w:val="14"/>
          <w:i w:val="1"/>
          <w:iCs w:val="1"/>
          <w:color w:val="231F20"/>
        </w:rPr>
        <w:t xml:space="preserve"> 2022 </w:t>
      </w:r>
      <w:r>
        <w:rPr>
          <w:rFonts w:ascii="Times New Roman" w:cs="Times New Roman" w:eastAsia="Times New Roman" w:hAnsi="Times New Roman"/>
          <w:sz w:val="14"/>
          <w:szCs w:val="14"/>
          <w:i w:val="1"/>
          <w:iCs w:val="1"/>
          <w:color w:val="000000"/>
        </w:rPr>
        <w:t>fiscal years all consisted of 52 weeks.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3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 xml:space="preserve">Grocery Outlet is a high-growth, extreme value retailer of quality, name-brand consumables and fresh products sold primarily through a network of independently operated stores. </w:t>
      </w:r>
      <w:r>
        <w:rPr>
          <w:rFonts w:ascii="Times New Roman" w:cs="Times New Roman" w:eastAsia="Times New Roman" w:hAnsi="Times New Roman"/>
          <w:sz w:val="14"/>
          <w:szCs w:val="14"/>
          <w:color w:val="000000"/>
        </w:rPr>
        <w:t>As of</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December 28, 2024, we had 533 stores in California, Washington, Oregon, Pennsylvania, Tennessee, Idaho, Maryland, Nevada, North Carolina, New Jersey, Georgia, Ohio, Alabama, Delaware, Kentucky and Virginia. Our headquarters is in Emeryville, California.</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231F20"/>
        </w:rPr>
        <w:t>Each of our stores offers a fun, treasure hunt shopping experience in an easy-to-navigate, small-box format. An ever-changing assortment of "WOW!" deals, complemented by everyday staple products, generates customer excitement and encourages frequent visits from bargain-minded shoppers. Our flexible buying model allows us to offer quality, name-brand opportunistic products at prices generally 40% to 70% below those of conventional retailers. Our Grocery Outlet stores are primarily run by entrepreneurial independent operators ("IOs") who create a neighborhood feel through personalized customer service and a localized product offering. This differentiated approach has driven consistent comparable store sales growth, and we have had positive comparable store sales for over 20 years, with the exception of fiscal 2021, due primarily to the heightened demand during the onset of the COVID-19 pandemic in 2020.</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231F20"/>
        </w:rPr>
        <w:t>Our differentiated model for buying and selling delivers a "WOW!" shopping experience, which generates customer excitement, inspires loyalty and supports profitable sales growth:</w:t>
      </w:r>
    </w:p>
    <w:p>
      <w:pPr>
        <w:spacing w:after="0" w:line="92" w:lineRule="exact"/>
        <w:rPr>
          <w:sz w:val="20"/>
          <w:szCs w:val="20"/>
          <w:color w:val="auto"/>
        </w:rPr>
      </w:pPr>
    </w:p>
    <w:p>
      <w:pPr>
        <w:jc w:val="both"/>
        <w:ind w:left="520" w:firstLine="58"/>
        <w:spacing w:after="0" w:line="260" w:lineRule="auto"/>
        <w:tabs>
          <w:tab w:leader="none" w:pos="102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231F20"/>
        </w:rPr>
        <w:t xml:space="preserve">How we buy: </w:t>
      </w:r>
      <w:r>
        <w:rPr>
          <w:rFonts w:ascii="Times New Roman" w:cs="Times New Roman" w:eastAsia="Times New Roman" w:hAnsi="Times New Roman"/>
          <w:sz w:val="14"/>
          <w:szCs w:val="14"/>
          <w:color w:val="231F20"/>
        </w:rPr>
        <w:t>We source quality, name-brand consumables and fresh products opportunistically through a centralized purchasing team that leverages long-standing and actively</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managed supplier relationships to acquire merchandise at significant discounts. Our speed and efficiency in responding to supplier needs, combined with our specialized supply chain capabilities and flexible merchandising strategy, enhance our access to discounted products and allow us to turn inventory quickly and profitably. Our buyers proactively source on-trend products based on changing consumer preferences, including a wide selection of Natural, Organic, Specialty or Healthy ("NOSH") products. We also source everyday staple products and have recently introduced our own private label products to complement our opportunistic offerings. Each store offers a curated and ever-changing assortment of items, creating a "buy now" sense of urgency that promotes return visits and fosters customer loyalty.</w:t>
      </w:r>
    </w:p>
    <w:p>
      <w:pPr>
        <w:spacing w:after="0" w:line="57" w:lineRule="exact"/>
        <w:rPr>
          <w:rFonts w:ascii="Times New Roman" w:cs="Times New Roman" w:eastAsia="Times New Roman" w:hAnsi="Times New Roman"/>
          <w:sz w:val="14"/>
          <w:szCs w:val="14"/>
          <w:color w:val="auto"/>
        </w:rPr>
      </w:pPr>
    </w:p>
    <w:p>
      <w:pPr>
        <w:jc w:val="both"/>
        <w:ind w:left="520" w:firstLine="58"/>
        <w:spacing w:after="0" w:line="260" w:lineRule="auto"/>
        <w:tabs>
          <w:tab w:leader="none" w:pos="1026" w:val="left"/>
        </w:tabs>
        <w:numPr>
          <w:ilvl w:val="0"/>
          <w:numId w:val="3"/>
        </w:numPr>
        <w:rPr>
          <w:rFonts w:ascii="Times New Roman" w:cs="Times New Roman" w:eastAsia="Times New Roman" w:hAnsi="Times New Roman"/>
          <w:sz w:val="14"/>
          <w:szCs w:val="14"/>
          <w:b w:val="1"/>
          <w:bCs w:val="1"/>
          <w:i w:val="1"/>
          <w:iCs w:val="1"/>
          <w:color w:val="231F20"/>
        </w:rPr>
      </w:pPr>
      <w:r>
        <w:rPr>
          <w:rFonts w:ascii="Times New Roman" w:cs="Times New Roman" w:eastAsia="Times New Roman" w:hAnsi="Times New Roman"/>
          <w:sz w:val="14"/>
          <w:szCs w:val="14"/>
          <w:b w:val="1"/>
          <w:bCs w:val="1"/>
          <w:i w:val="1"/>
          <w:iCs w:val="1"/>
          <w:color w:val="231F20"/>
        </w:rPr>
        <w:t xml:space="preserve">How we sell: </w:t>
      </w:r>
      <w:r>
        <w:rPr>
          <w:rFonts w:ascii="Times New Roman" w:cs="Times New Roman" w:eastAsia="Times New Roman" w:hAnsi="Times New Roman"/>
          <w:sz w:val="14"/>
          <w:szCs w:val="14"/>
          <w:color w:val="231F20"/>
        </w:rPr>
        <w:t>Our Grocery Outlet stores are independently operated by entrepreneurial IOs, who are small business owners that have a relentless focus on selecting the best products</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for their communities, providing personalized customer service and driving improved store performance. Unlike a store manager of a traditional retailer, IOs are independent businesses and are responsible for store operations, including ordering, merchandising and managing inventory, marketing locally and directly hiring, training and employing their store workers. IOs initially contribute capital to establish their business and generally share 50% of store-level gross profits with us. These factors both align our interests and incentivize IOs to grow their business profitably to realize financial upside. This combination of local decision-making supported by our purchasing scale and corporate resources results in a "small business at scale" model that we believe is difficult for competitors to replicate.</w:t>
      </w:r>
    </w:p>
    <w:p>
      <w:pPr>
        <w:spacing w:after="0" w:line="5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Our value proposition has broad appeal with bargain-minded customers across a broad range of income levels, demographics and geographies. We believe that our sustained focus on delivering ever-changing "WOW!" deals within a fun, treasure hunt shopping environment has generated strong customer loyalty and brand affinity. We believe that our broad customer appeal supports significant new store growth opportunities, and we plan to continue to expand our reach to additional customers and geographies across the United States.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Our stores generally have performed well across all economic cycles, and for the vast majority of our history, we have had positive comparative sales growth and healthy gross margin rates. Our model also is somewhat insulated from store labor-related variability because IOs directly employ their store workers. The result is a highly scalable business with lower corporate fixed costs, providing further protection in the event of an economic downturn and growth opportunities in a strong economy.</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On April 1, 2024, Grocery Outlet Inc., our wholly owned subsidiary, acquired The Bargain Barn, Inc., which does business as United Grocery Outlet ("United Grocery Outlet," or "UGO"), which included 40 stores in six adjacent states we did not operate in as of such date (Tennessee, North Carolina, Georgia, Alabama, Kentucky and Virginia) and a company-operated distribution center. See NOTE 15—Business Combination to our Consolidated Financial Statements for additional information. The acquisition provides us with the opportunity to scale in a new region and is a platform for potential future expansion in the Southeast.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Throughout this report, the discussion of our business, stores, operations and strategies generally refers to our IO-operated stores. As of December 28, 2024, 42 stores, including the 40 acquired United Grocery Outlet stores, were Company-operated stores. Unless otherwise specifically disclosed in this report, the impact of the United Grocery Outlet stores in aggregate were not material to our operations and our consolidated financial statements in fiscal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Our History</w:t>
      </w:r>
    </w:p>
    <w:p>
      <w:pPr>
        <w:spacing w:after="0" w:line="13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Our founder, Jim Read, pioneered our opportunistic buying model in 1946 and subsequently developed the IO selling approach, which harnesses individual entrepreneurship and local decision-making to better serve our customers. Underlying this differentiated model was a mission that still guides us today: "Touching Lives for the Better." Since 2006, the third generation of Read family leadership, Eric Lindberg, Jr., Chairman of our Board of Directors (the "Board") and former Chief Executive Officer, has continued to advance this mission.</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231F20"/>
        </w:rPr>
        <w:t>Grocery Outlet Holding Corp. was incorporated in Delaware on September 11, 2014. Our common stock has traded on the Nasdaq Global Select Market under the symbol "GO" since 2019.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Our Growth Strategies</w:t>
      </w:r>
    </w:p>
    <w:p>
      <w:pPr>
        <w:spacing w:after="0" w:line="13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We believe that our compelling WOW! shopping experience will continue to drive new and existing customers to shop our stores. Propelled by our strong business fundamentals, we believe we are well-positioned to expand our footprint and grow our customer base. We are executing a long-term growth strategy built on three primary pillars:</w:t>
      </w:r>
    </w:p>
    <w:p>
      <w:pPr>
        <w:spacing w:after="0" w:line="37" w:lineRule="exact"/>
        <w:rPr>
          <w:sz w:val="20"/>
          <w:szCs w:val="20"/>
          <w:color w:val="auto"/>
        </w:rPr>
      </w:pPr>
    </w:p>
    <w:p>
      <w:pPr>
        <w:jc w:val="both"/>
        <w:ind w:left="520" w:hanging="260"/>
        <w:spacing w:after="0" w:line="265" w:lineRule="auto"/>
        <w:tabs>
          <w:tab w:leader="none" w:pos="516"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b w:val="1"/>
          <w:bCs w:val="1"/>
          <w:i w:val="1"/>
          <w:iCs w:val="1"/>
          <w:color w:val="231F20"/>
        </w:rPr>
        <w:t>Strengthen our core business model</w:t>
      </w:r>
      <w:r>
        <w:rPr>
          <w:rFonts w:ascii="Times New Roman" w:cs="Times New Roman" w:eastAsia="Times New Roman" w:hAnsi="Times New Roman"/>
          <w:sz w:val="14"/>
          <w:szCs w:val="14"/>
          <w:b w:val="1"/>
          <w:bCs w:val="1"/>
          <w:color w:val="231F20"/>
        </w:rPr>
        <w:t>.</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Our unique buying and selling approach has always been and will continue to be the growth engine of this business. It differentiates us and provides a</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compelling value proposition to a wide range of customers. We remain focused on deepening our value, strengthening the treasure hunt shopping experience, elevating IO support, and increasing customer awareness, acquisition, and retention. We continually seek to strengthen supplier relationships and further develop opportunistic purchasing with new processes and investments.</w:t>
      </w:r>
    </w:p>
    <w:p>
      <w:pPr>
        <w:spacing w:after="0" w:line="52" w:lineRule="exact"/>
        <w:rPr>
          <w:rFonts w:ascii="Times New Roman" w:cs="Times New Roman" w:eastAsia="Times New Roman" w:hAnsi="Times New Roman"/>
          <w:sz w:val="14"/>
          <w:szCs w:val="14"/>
          <w:color w:val="231F20"/>
        </w:rPr>
      </w:pPr>
    </w:p>
    <w:p>
      <w:pPr>
        <w:ind w:left="520" w:hanging="260"/>
        <w:spacing w:after="0" w:line="290" w:lineRule="auto"/>
        <w:tabs>
          <w:tab w:leader="none" w:pos="516"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b w:val="1"/>
          <w:bCs w:val="1"/>
          <w:i w:val="1"/>
          <w:iCs w:val="1"/>
          <w:color w:val="231F20"/>
        </w:rPr>
        <w:t xml:space="preserve">Evolve our business. </w:t>
      </w:r>
      <w:r>
        <w:rPr>
          <w:rFonts w:ascii="Times New Roman" w:cs="Times New Roman" w:eastAsia="Times New Roman" w:hAnsi="Times New Roman"/>
          <w:sz w:val="14"/>
          <w:szCs w:val="14"/>
          <w:color w:val="231F20"/>
        </w:rPr>
        <w:t>We are focused on advancing our model through expanding our assortment and digitizing our business with more integrated end-to-end technology. We also continue to</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implement operational initiatives to support IOs in enhancing the customer experience.</w:t>
      </w:r>
    </w:p>
    <w:p>
      <w:pPr>
        <w:spacing w:after="0" w:line="35" w:lineRule="exact"/>
        <w:rPr>
          <w:rFonts w:ascii="Times New Roman" w:cs="Times New Roman" w:eastAsia="Times New Roman" w:hAnsi="Times New Roman"/>
          <w:sz w:val="14"/>
          <w:szCs w:val="14"/>
          <w:color w:val="231F20"/>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b w:val="1"/>
          <w:bCs w:val="1"/>
          <w:i w:val="1"/>
          <w:iCs w:val="1"/>
          <w:color w:val="231F20"/>
        </w:rPr>
        <w:t xml:space="preserve">Expand our footprint. </w:t>
      </w:r>
      <w:r>
        <w:rPr>
          <w:rFonts w:ascii="Times New Roman" w:cs="Times New Roman" w:eastAsia="Times New Roman" w:hAnsi="Times New Roman"/>
          <w:sz w:val="14"/>
          <w:szCs w:val="14"/>
          <w:color w:val="231F20"/>
        </w:rPr>
        <w:t>We believe that strategic new store growth remains a significant and critical driver of long-term stockholder value. We continue to believe the success of our stores</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across a broad range of geographies, population densities and demographic groups creates a significant opportunity to grow our profitability and increase returns for our stores in existing and new local regions and states. We intend to continue to expand our reach to additional customers and geographies across the United States.</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231F20"/>
        </w:rPr>
        <w:t>While we continue to believe in our long-term growth potential, we recently reviewed our strategic initiatives and priorities and have determined to simplify our near-term growth strategy in order to build a stronger foundation from which to scale in the future, and to drive sustainable and disciplined growth, profitability and return on invested capital. In particular, we reassessed our new store opening strategy for fiscal 2025 and fiscal 2026, the efficiency of certain supply chain investments and our general and administrative cost structure. As a result, during the fourth quarter of fiscal 2024, we began to initiate a restructuring plan that is intended to improve our profitability and cash flow generation, optimize the footprint of new store growth and lower our cost base (the “Restructuring Plan”). See “Management's Discussion and Analysis of Financial Condition and Results of Operations – Recent Trends and Developments – Restructuring Plan” for additional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Products and Pricing</w:t>
      </w:r>
    </w:p>
    <w:p>
      <w:pPr>
        <w:spacing w:after="0" w:line="13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Each store offers a curated and ever-changing assortment of products, consisting of on-trend, quality, name-brand consumables and fresh products. Our product offering includes a constant rotation of opportunistic products, complemented by an assortment of competitively priced everyday staples across grocery, produce, refrigerated and frozen foods, beer and wine, fresh meat and seafood, general merchandise and health and beauty care. We have continued to expand our product assortment to meet customer needs, including a wide selection of NOSH, fresh, ethnic and local products. In the third quarter of fiscal 2024, we introduced our own private label products and launched over 180 new private-label SKUs across grocery and deli categories.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A typical Grocery Outlet basket is priced approximately 40% lower than conventional grocers and approximately 20% lower than discount retailers. Opportunistically sourced products represent a substantial portion of our purchasing mix. We refer to our best opportunistic purchases as "WOW!" deals, which generally represent deep discounts of 40% to 70% relative to conventional retailers. These products encourage repeat shopper visits and typically sell quickly due to their compelling value, short duration and continually changing availability.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Procurement</w:t>
      </w:r>
    </w:p>
    <w:p>
      <w:pPr>
        <w:spacing w:after="0" w:line="13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231F20"/>
        </w:rPr>
        <w:t>Our flexible sourcing and supply chain model differentiates us from traditional retailers and allows us to provide customers with quality, name-brand consumables and fresh products at exceptional values. We take advantage of opportunities to acquire merchandise at substantial discounts that regularly arise from order cancellations, manufacturer overruns, packaging changes and approaching "sell-by" dates. As strong stewards of our suppliers' brands, we are a preferred partner of leading consumer packaged goods ("CPGs") with a reputation for making rapid decisions, purchasing in significant volumes and creatively solving their inventory challenges. Our buying strategy is deliberately flexible to allow us to react to constantly changing opportunities and customer preferences.</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Our centralized sourcing team, consisting of our purchasing and inventory planning groups, has deep experience and decades-long relationships with leading CPG companies. Our team is highly selective when evaluating opportunities available to us and maintains a disciplined yet solutions-oriented approach. We are always seeking out and developing new supplier relationships to acquire desirable products at discounts that excite our customers. Our inventory planning group collaborates with and supports our buyers to evaluate the appropriate type and quantity of products in order to maintain adequate inventory levels in key product categories.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We believe that we have a leading share of the large and growing excess inventory market. We also believe that the overall excess inventory market continues to grow due to increased manufacturing capacities and rapidly changing product assortments. As we grow, we expect to have even greater access to quality merchandise due to our increased scale, broader supplier awareness and expanded geographic presence. Additionally, we believe that changing consumer preferences will continue to support the proliferation of small and innovative CPG brands, and allow us to add new suppliers to our network.</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We supplement our opportunistic purchases with competitively priced everyday staples in order to provide a convenient shopping experience. We typically source these staple products (e.g., milk, eggs, sugar) from multiple suppliers to lower our costs and we generally avoid long-term supply commitments to maintain the flexibility to pursue opportunistic buys as they arise. We believe our recent introduction of our private label products in stores will provide better value and inventory consistency for our customers, as well as deliver better margins for us and our IOs.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Supply Chain and Distribution</w:t>
      </w:r>
    </w:p>
    <w:p>
      <w:pPr>
        <w:spacing w:after="0" w:line="13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231F20"/>
        </w:rPr>
        <w:t>Over time, we have honed our supply chain operations to support our opportunistic buying approach and to quickly and efficiently deliver products to our stores. We believe our supply chain flexibility enables us to solve suppliers' inventory challenges and, therefore, obtain significant discounts on purchases. After agreeing to purchase product from a supplier, we move quickly to receive, process and distribute the goods. Our systems, including our new store portal, are designed to provide IOs visibility to our current inventory, and the anticipated launch of our upgraded real-time order guide in fiscal 2025 is expected to significantly reduce time to shelf. IOs typically order multiple deliveries per week resulting in higher inventory turns, lower shrink (defined below) and a frequent assortment of new products on shelf. Since the implementation of system upgrades in August 2023, we and our IOs have experienced significant issues with ordering, inventory planning and management and payment processing. See “Business Technology” for additional information.</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We also have dedicated teams to handle unique situations in which products need to be reconditioned or relabeled for sale. These items may include products without a UPC label, goods labeled for another geography, or inventory with damaged packaging.</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We rely on our distribution and transportation network, including by means of truck, ocean and rail to provide goods to our distribution centers and stores in a timely and cost-effective manner. Deliveries to our stores occur from our distribution centers or directly from our suppliers. As of December 28, 2024, we distributed inventory through nine primary distribution centers, four of which we operate (for dry goods) and five of which are operated by third parties (for cold items, produce and dry goods). We have an in-house transportation fleet as well as a strong relationship with a third-party transportation partner that together provide consistent performance and timely deliveries to our stores.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We intend to continue to invest in our distribution and logistics infrastructure in order to support our anticipated store growth over the long term, including as we enter into new geographies. We are shifting our planned investments in our distribution infrastructure in fiscal 2025 and fiscal 2026 away from highly capital-intensive projects. We will instead invest in lower cost distribution centers for dry goods to enhance capacity and improve inventory management and overall execution. See “Management's Discussion and Analysis of Financial Condition and Results of Operations – Recent Trends and Developments – Restructuring Plan” for additional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Independent Operators</w:t>
      </w:r>
    </w:p>
    <w:p>
      <w:pPr>
        <w:spacing w:after="0" w:line="13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IOs are independent business entities owned by one or more entrepreneurially minded individuals who typically live in the same community as their store with a focus on ordering and merchandising the best products for their communities, providing personalized customer service and driving improved store performance. The vast majority of the IOs operate a single store, with most working as a two-person team to leverage complementary operator skill sets. We encourage the IOs to establish local roots and actively participate in their communities to foster strong personal connections with customers.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We generally share 50% of store-level gross profits with IOs, thereby incentivizing them to grow their business profitably to realize financial upside. The independent operator agreement (the "Operator Agreement") that we sign with each IO gives the IO broad responsibility over store-level decision-making, unlike a store manager of a traditional retailer. This decision-making includes merchandising, selecting a majority of products, managing inventory, marketing locally, directly hiring, training and employing their store workers and supervising store operations to carry out our brand's commitment to superior customer service. As a result, our IO model reduces our fixed costs, corporate overhead and exposure to wage inflation pressures and centralized labor negotiations.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IOs leverage our national purchasing network, sophisticated ordering and information systems and field support in order to operate more efficiently. We facilitate collaboration among IOs to share best practices through company-wide and regional meetings, our IO intranet and other online and informal communications.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The combination of local decision-making supported by our purchasing expertise and corporate resources results in a "small business at scale" model that we believe is difficult for competitors to replicate. Our collaborative relationship with the IOs creates a powerful selling model allowing us to deliver customers exceptional value with a local touch.</w:t>
      </w:r>
    </w:p>
    <w:p>
      <w:pPr>
        <w:spacing w:after="0" w:line="3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231F20"/>
        </w:rPr>
        <w:t>As of December 28, 2024, 491 of our 533 stores were operated by IOs, with the remaining 42 stores currently operated by us while we evaluate the timing to transition such stores to our IO model. Forty of such Company-operated stores are under the brand name United Grocery Outlet and two of such stores are under the brand name Grocery Outlet Bargain Market. We have entered into an Operator Agreement with each IO, which grants that IO a license to operate a particular Grocery Outlet Bargain Market retail store and to use our trademarks, service marks, trade names, brand names and logos under our brand standards. The Operator Agreement, along with our Best Business Practice Manual, defines our brand standards and sets forth the terms of the license granted to that IO. IOs have discretion to determine the manner and means for accomplishing their duties and implementing our brand standards. The success of this licensing arrangement depends upon mutual commitments by us and the IO to cooperate with each other and engage in practices that protect our brand standards and the reputation of our brand and enhance the sales, business and profit potential of the IO's store. The Operator Agreement provides that either the IO or we may terminate the Operator Agreement for any reason on 75 days' written notice, and that we may terminate the Operator Agreement immediately for cause.</w:t>
      </w:r>
    </w:p>
    <w:p>
      <w:pPr>
        <w:spacing w:after="0" w:line="6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IOs are responsible for operational decision-making for their store, including hiring, training and employing their own workers as well as ordering and merchandising products. The IO orders merchandise solely from us, which we, in turn, deliver to IOs on consignment. As a result, we retain ownership of all merchandise until the point in time that merchandise is sold to a customer. Under the Operator Agreement, IOs are given the right to select a majority of merchandise that is sold in their store. IOs choose merchandise from our order guide according to their knowledge and experience with local customer purchasing trends, preferences, historical sales and other related factors.</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231F20"/>
        </w:rPr>
        <w:t>IOs are able to uniquely display and merchandise products in order to appeal to their local customer base. IOs also have discretion to adjust pricing in response to local competition or product turns, provided that the overall outcome based on an average basket of items comports with our reputation for selling quality name-brand consumables and fresh products and other merchandise at significant discounts. IOs are expected to engage in local marketing efforts to promote their store and enhance the reputation and goodwill of the Grocery Outlet brand. To protect our brand and reputation, the Operator Agreement requires IOs to adhere to brand standards, including cleanliness, customer service, store appearance, conducting their business in compliance with all laws and observing requirements for storing, handling and selling merchandise.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231F20"/>
        </w:rPr>
        <w:t>As consignor of all merchandise, the aggregate sales proceeds belong to us. We, in turn, pay IOs a commission that is generally 50% of the store's gross profit in exchange for the IO's services in staffing and operating the store. Any spoiled, damaged or stolen merchandise, markdowns or price changes impact gross profit and therefore the IO's commission. We generally split these losses equally with IOs. As a result, IOs are exposed to the risk of loss of such merchandise and are incentivized to minimize any such losses. Our relationship with the IOs is an important part of our business. To alleviate the disruption caused by the system upgrades that we implemented in late August 2023 and as more fully described below under "Business Technology," we elected to provide commission support to IOs beginning in the third quarter of fiscal 2023 through fiscal 2024. We continue to provide minimal commission support to IOs for inventory shrinkage.</w:t>
      </w:r>
    </w:p>
    <w:p>
      <w:pPr>
        <w:spacing w:after="0" w:line="58"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231F20"/>
        </w:rPr>
        <w:t>We lease and build out each Grocery Outlet location. Under the Operator Agreement, we provide IOs with the right to occupy the store premises solely to operate the retail store on the terms set forth in the Operator Agreement. The Operator Agreement specifies the retail store that the IO is entitled to operate, but it does not grant the IO an exclusive territory, restrict us from opening stores nearby, or give the IO preference to relocate to another store as opportunities arise. As the store tenant, we fund the build-out of the store including racking, refrigeration and other equipment (which we maintain ownership of) and pay rent, common area maintenance and other lease charges. IOs must cover their own initial working capital requirements and acquire certain store and safety assets. IOs may fund their initial store investment from their existing capital, a third-party loan or, most commonly, through a loan from us (an "IO Note"). The IOs are required to hire, train and employ a properly trained workforce to enable the IO to fulfill its obligations under the Operator Agreement. IOs are responsible for expenses required for business operations, including all labor costs, utilities, credit card processing fees, supplies, taxes (i.e., withholding, contributions and payroll taxes and income taxes on commissions paid to them), fines, levies and other expenses attributable to their operations.</w:t>
      </w:r>
    </w:p>
    <w:p>
      <w:pPr>
        <w:spacing w:after="0" w:line="232"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231F20"/>
        </w:rPr>
        <w:t>In a typical year, we receive and filter thousands of leads for prospective new IOs in pursuit of smart and entrepreneurially minded retail leaders to support our continued growth. After a robust screening and interview process, we select the top candidates to enter a rigorous Aspiring Operator in Training ("AOT") program with the goal of potentially becoming an IO. AOTs receive on-the-job training as an employee of an experienced IO that applies to serve as a training store for us, which gives AOTs the chance to experience first-hand what running a Grocery Outlet and managing employees will require. We supplement on-the-job training with classes at our headquarters, when available, and through online tutorials. Upon successful completion of the training program, AOTs submit business plans to apply for new stores as they become available. Those business plans generally include a competitive analysis of the local market, operational strategy, marketing plan and projected financial performance. Based on the strength of that business plan, including an AOT's familiarity with the local market, we ultimately select an IO as new store opportunities open and facilitate the transition.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Our Stores and Expansion Opportunities</w:t>
      </w:r>
    </w:p>
    <w:p>
      <w:pPr>
        <w:spacing w:after="0" w:line="13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As of December 28, 2024, our 533 total stores averaged approximately 14,000 square feet on the sales floor. We lease substantially all of our store locations, with initial lease terms of generally ten years and options to renew for two or three successive five-year periods.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Our stores are convenient, neatly organized, well maintained and easy to navigate with wide aisles and clear signage to guide the customer through our various departments such as produce, beer and wine and fresh meat and seafood. The stores require neither membership fees nor bulk purchases for customers to save money and have a high level of customer service. Upon entering a store, customers are greeted by signage introducing the IOs, a tailored selection of fresh produce and other perishables, followed by a "Power Wall" displaying some of our most compelling offerings. We continue to operate and integrate acquired United Grocery Outlet stores to our standards as we evaluate the timing to transition such stores to our IO model.</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Stores are assorted and merchandised uniquely by IOs providing a "WOW!" treasure hunt shopping experience. A majority of the assortment in each Grocery Outlet store is selected by IOs based on local preference and shopping history while the remaining assortment is delivered to stores to support marketing circulars and manage "sell-by" dates. We have several customized systems and tools in place, including our ordering system that is designed to provide IOs visibility to our current inventory and ordering suggestions based on local store characteristics.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We continue to implement operational initiatives to support IOs in enhancing the customer experience. We develop and improve tools that provide IOs with actionable insights on sales, margin and customer behavior, enabling them to further grow their business. We seek to continuously improve our inventory planning tools to help IOs make better local assortment decisions while reducing out-of-stock items and losses related to product markdowns, throwaways and theft ("shrink"). We also regularly deploy updated fixtures, signage and enhanced in-store marketing to further improve the shopping experience, which we believe results in higher customer traffic and average basket sizes.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We believe that strategic new store growth remains a significant and critical driver of long-term stockholder value. Additionally, we further believe our white space remains vast with the potential to operate over 4,000 stores across the United States, demonstrated by the success of our stores across a broad range of geographies, population densities and demographic groups. Our new store growth efforts remain focused on organic growth that align with our long-term geographic expansion and store growth strategies. Complementary growth opportunities include expanding strategic relationships with large property owners, evaluating opportunistic real estate lists, and exploring strategic regional acquisitions.</w:t>
      </w:r>
    </w:p>
    <w:p>
      <w:pPr>
        <w:spacing w:after="0" w:line="56"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231F20"/>
        </w:rPr>
        <w:t xml:space="preserve">We deploy a store model that is designed to generate robust store-level financial results, strong cash flow and attractive return. We have a dedicated real estate team that utilizes a rigorous site selection process in order to source new store locations that generate strong overall returns and generally targets new stores of between 15,000 and 20,000 total square feet with an average of 4,000 square feet of non-selling space. In fiscal 2024 in addition to the United Grocery Outlet stores we acquired, we opened </w:t>
      </w:r>
      <w:r>
        <w:rPr>
          <w:rFonts w:ascii="Times New Roman" w:cs="Times New Roman" w:eastAsia="Times New Roman" w:hAnsi="Times New Roman"/>
          <w:sz w:val="14"/>
          <w:szCs w:val="14"/>
          <w:color w:val="000000"/>
        </w:rPr>
        <w:t>27</w:t>
      </w:r>
      <w:r>
        <w:rPr>
          <w:rFonts w:ascii="Times New Roman" w:cs="Times New Roman" w:eastAsia="Times New Roman" w:hAnsi="Times New Roman"/>
          <w:sz w:val="14"/>
          <w:szCs w:val="14"/>
          <w:color w:val="231F20"/>
        </w:rPr>
        <w:t xml:space="preserve"> new stores in California (8), Maryland (4), Pennsylvania (4), New Jersey</w:t>
      </w:r>
    </w:p>
    <w:p>
      <w:pPr>
        <w:jc w:val="both"/>
        <w:spacing w:after="0" w:line="266" w:lineRule="auto"/>
        <w:rPr>
          <w:sz w:val="20"/>
          <w:szCs w:val="20"/>
          <w:color w:val="auto"/>
        </w:rPr>
      </w:pPr>
      <w:r>
        <w:rPr>
          <w:rFonts w:ascii="Times New Roman" w:cs="Times New Roman" w:eastAsia="Times New Roman" w:hAnsi="Times New Roman"/>
          <w:sz w:val="14"/>
          <w:szCs w:val="14"/>
          <w:color w:val="231F20"/>
        </w:rPr>
        <w:t>(3), Idaho (2), Ohio (2), Washington (2), Delaware (1) and Tennessee (1), and closed two stores during the year. On April 1, 2024, we acquired 40 United Grocery Outlet stores in six adjacent states we did not operate in as of such date, including Tennessee (24), North Carolina (9), Georgia (4), Alabama (1), Kentucky (1) and Virginia (1).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Marketing</w:t>
      </w:r>
    </w:p>
    <w:p>
      <w:pPr>
        <w:spacing w:after="0" w:line="13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Our ability to consistently deliver "WOW!" deals that generate customer excitement is our strongest marketing tool. We believe our value proposition has broad appeal with bargain-minded consumers. We promote brand awareness and drive customers to shop through centralized marketing initiatives along with local IO marketing efforts. As a result of this approach and local marketing campaigns funded by IOs, our marketing expense as a percent of sales is relatively low.</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231F20"/>
        </w:rPr>
        <w:t>We focus our centralized marketing efforts to build brand awareness and communicate specific in-store deals to drive customer traffic, primarily through digital ads, emailed "WOW! Alerts," social media, television and radio commercials and in-store and outdoor signage. We have increased our usage of digital advertising, allowing us to more quickly develop, deploy and target marketing communications based on our changing inventories and store-specific deals. We also market via television, streaming television platforms and radio (terrestrial and digital) to specific markets to build brand awareness and highlight the value we provide. We reinforce these efforts with in-store price and item signage as well as outdoor marketing via billboards and truck wraps. In fiscal 2023, we launched a mobile personalization app, which was fully deployed across all Grocery Outlet stores in fiscal 2024. The app allows customers to track their savings and provides new, trending and top selling items as well as curated product recommendations based on user preferences. Further, the app provides us with critical data analytics to make our marketing efforts more effective and efficient.</w:t>
      </w:r>
    </w:p>
    <w:p>
      <w:pPr>
        <w:spacing w:after="0" w:line="23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IOs develop and fund their local marketing plan to drive customer engagement. IO efforts include community outreach such as partnering with food banks, sponsoring youth athletic programs and offering discounts to veterans. In addition, IOs develop and manage their own social media marketing platforms, posting creative and compelling content.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Competition</w:t>
      </w:r>
    </w:p>
    <w:p>
      <w:pPr>
        <w:spacing w:after="0" w:line="13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We compete for consumer spend with a diverse group of retailers, including mass, discount, conventional grocery, department, drug, convenience, hardware, variety, online and other specialty stores. These businesses compete with us on the basis of price, selection, quality, customer service, convenience, location, store format, shopping experience, or any combination of these or other factors. They may also compete with us for products and locations. During fiscal 2024, we observed an increase in promotional and pricing activities from key competitors, which led to our increased efforts to actively negotiate costs and adjust prices to sharpen our value proposition. We also face internally generated competition when we open new stores in markets we already serve.</w:t>
      </w:r>
    </w:p>
    <w:p>
      <w:pPr>
        <w:spacing w:after="0" w:line="9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The competitive landscape is highly fragmented and localized; however, our customers most often cite Walmart and Safeway as retailers where they also shop for consumables. We see discount retailers of consumable products, which include Costco, WinCo, Target, Trader Joe's, Aldi and Lidl, as competitors given their broad product offerings at low prices relative to conventional grocery stores. We compete with both conventional grocery stores and discounters by offering an ever-changing selection of name-brand products in a fun, treasure hunt shopping environment at a significant discount.</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Many competitors and a number of pure online retailers are attempting to attract customers by offering various forms of e-commerce. We have entered into partnerships with these third party grocery delivery companies to provide online shopping at our stores and we have embraced online and digital marketing, including with our mobile personalization app.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231F20"/>
        </w:rPr>
        <w:t>Beyond competition for consumers, we compete against a fragmented landscape of opportunistic purchasers, including retailers and wholesalers to acquire excess merchandise for sale in our stores. Our established relationships with most of our suppliers along with our distribution scale, buying power, financial credibility and responsiveness often makes us the first call for available deals.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Business Technology</w:t>
      </w:r>
    </w:p>
    <w:p>
      <w:pPr>
        <w:spacing w:after="0" w:line="13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Our information systems provide a broad range of business process assistance and real-time data to support our purchasing and planning approach, merchandising team and strategy, multiple distribution center management, store and operational insight and financial reporting. We selected and developed these technologies to provide the flexibility and functionality to support our unique buying and selling model as well as to identify and respond to merchandising and operating trends in our business.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The modernization, enhancement and maintenance of our information systems have allowed us to support the growth in our business and store base. We have added several systems that provide us additional functionality and scalability in order to better support operational decision-making, including enhanced point of sale, warehouse management, human resource planning, business intelligence, vendor tracking and lead management, store communications, real estate lease management and financial planning and analysis systems.</w:t>
      </w:r>
    </w:p>
    <w:p>
      <w:pPr>
        <w:spacing w:after="0" w:line="5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231F20"/>
        </w:rPr>
        <w:t>We modify, update and replace our systems and infrastructure from time to time, including by adding new hardware, software and applications; maintaining, updating or replacing legacy programs; converting to enhanced systems; integrating new service providers; and adding enhanced new functionality, such as cloud computing technologies. In addition, we have a customized enterprise resource planning system, components of which have been replaced over the past several years, including our financial ledger, inventory management platform and product data warehouse system, which were replaced in late August 2023. As previously disclosed, t</w:t>
      </w:r>
      <w:r>
        <w:rPr>
          <w:rFonts w:ascii="Times New Roman" w:cs="Times New Roman" w:eastAsia="Times New Roman" w:hAnsi="Times New Roman"/>
          <w:sz w:val="14"/>
          <w:szCs w:val="14"/>
          <w:color w:val="000000"/>
        </w:rPr>
        <w:t>he implementation of these system upgrades resulted in significant disruption to our business operations, including</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ordering and inventory disruptions, as well as payment processing, which adversely impacted our results of operations for the fiscal months of September through December of 2023 as well as during fiscal 2024. In connection with addressing these issues, we have invested and are continuing to invest in enhancements and additional resources to improve visibility into our operating data to function at the speed and efficiency necessary for optimal execution of our business. </w:t>
      </w:r>
      <w:r>
        <w:rPr>
          <w:rFonts w:ascii="Times New Roman" w:cs="Times New Roman" w:eastAsia="Times New Roman" w:hAnsi="Times New Roman"/>
          <w:sz w:val="14"/>
          <w:szCs w:val="14"/>
          <w:color w:val="231F20"/>
        </w:rPr>
        <w:t>We also continue to identify and implement productivity improvements through both operational initiatives and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system enhancements, such as category assortment optimization, improved inventory management tools, greater purchasing specialization and back-office processing efficiencies.</w:t>
      </w:r>
    </w:p>
    <w:p>
      <w:pPr>
        <w:spacing w:after="0" w:line="6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Further, we have built a series of tools that empower IOs to make intelligent decisions to grow their business from improving product ordering, reducing shrink, and gaining intelligence into their store performance and profitability. We believe these investments, once optimized, will result in valuable business insights and operational improvements.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Trademarks and Other Intellectual Property</w:t>
      </w:r>
    </w:p>
    <w:p>
      <w:pPr>
        <w:spacing w:after="0" w:line="13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We own federally registered trademarks related to our Grocery Outlet Bargain Market brand, including "GROCERY OUTLET BARGAIN MARKET," "WOW!," "NOSH" and "BARGAIN BLISS." In addition, we maintain trademarks for the images of certain logos that we use, including the "GROCERY OUTLET BARGAIN MARKET" logo, the "NOSH" logo and the "WOW!" logo. We are also in the process of pursuing several other trademarks to further identify our services. We have disclaimed the terms "GROCERY OUTLET" and "MARKET" with respect to our "GROCERY OUTLET BARGAIN MARKET" trademarks, among other disclaimed terms with respect to our registered trademarks and trademark applications.</w:t>
      </w:r>
    </w:p>
    <w:p>
      <w:pPr>
        <w:spacing w:after="0" w:line="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231F20"/>
        </w:rPr>
        <w:t>We also own federally registered trademarks utilized by United Grocery Outlet, including “1st Stop For Extreme Value,” “Shop G.O. 1st,” and “GO GROCERY OUTLET.”</w:t>
      </w:r>
    </w:p>
    <w:p>
      <w:pPr>
        <w:spacing w:after="0" w:line="9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231F20"/>
        </w:rPr>
        <w:t>Our trademark registrations have various expiration dates; however, assuming that the trademark registrations are properly renewed, they have a perpetual duration. We also own several domain names, including www.groceryoutlet.com and www.ownagroceryoutlet.com, and registered and unregistered copyrights in our website content. Our Operator Agreement grants the IOs a limited, non-exclusive license to use our Grocery Outlet Bargain Market brand trademarks solely in connection with the operation and promotion of their store and not in connection with other activities. To maintain quality of use of our trademarks, we exercise actual control over the IO's use of our trademarks and IOs are not permitted to sublicense our trademarks to others. We attempt to obtain registration of our trademarks as practical and pursue infringement of those marks when appropriate. We rely on trademark and copyright laws, trade-secret protection and confidentiality, license and other agreements with the IOs, suppliers, employees and others to protect our intellectual property.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Regulations</w:t>
      </w:r>
    </w:p>
    <w:p>
      <w:pPr>
        <w:spacing w:after="0" w:line="138"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231F20"/>
        </w:rPr>
        <w:t>We and the IOs are subject to regulation by various federal agencies, including the Food and Drug Administration (the "FDA"), the Federal Trade Commission (the "FTC"), the U.S. Department of Agriculture (the "USDA") the Consumer Product Safety Commission and the Environmental Protection Agency. We and the IOs are also subject to various federal, state and local laws and regulations, including those governing labor and employment, including minimum wage requirements and employee safety, advertising, privacy, safety and environmental protection and consumer protection regulations, including those that regulate retailers and/or govern product standards, the importation, transportation, promotion and sale of merchandise, packaging material safety and recycling, waste reduction and the operation of stores and warehouse facilities. In addition, we and the IOs must comply with provisions regulating health and sanitation standards, food labeling, non-food labeling and licensing for the sale of food and alcoholic beverages. We actively monitor changes in these laws. In addition, we and the IOs are subject to environmental laws, including but not limited to hazardous waste laws, and regulations related to refrigeration and stormwater, pursuant to which we and/or the IOs could be strictly and jointly and severally liable, regardless of our knowledge or responsibility.</w:t>
      </w:r>
    </w:p>
    <w:p>
      <w:pPr>
        <w:spacing w:after="0" w:line="62"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231F20"/>
        </w:rPr>
        <w:t>Food and Dietary Supplements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The FDA regulates the safety of certain food and food ingredients, as well as dietary supplements under the federal Food, Drug, and Cosmetic Act (the</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"FDCA"). Similarly, the USDA's Food Safety Inspection Service ensures that the country's commercial supply of meat, poultry, catfish and certain egg products is safe, wholesome and correctly labeled and packaged.</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231F20"/>
        </w:rPr>
        <w:t>For our stores that process, handle and package meat and meat products, we are subject to regulation, registration and regular inspections under the USDA Food Safety and Inspection Service.</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The Food Safety Modernization Act amended the FDCA in 2011 and expanded the FDA's regulatory oversight of all supply chain participants. Most of the FDA's promulgated regulations are now in effect and mandate that risk-based preventive controls be observed by the majority of food producers. This authority applies to all domestic food facilities and, by way of imported food supplier verification requirements, to all foreign facilities that supply food products.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231F20"/>
        </w:rPr>
        <w:t>The FDA also exercises broad jurisdiction over the labeling and promotion of food. Under certain circumstances, this jurisdiction extends even to product-related claims and representations made on a company's website or similar printed or graphic media. All foods, including dietary supplements, must bear labeling that provides consumers with essential information with respect to standards of identity, net quantity, nutrition facts, ingredient statements and allergen disclosures. The FDA also regulates the use of structure/function claims, health claims, nutrient content claims and the disclosure of calories and other nutrient information for frequently sold items. In addition, compliance dates on various nutrition initiatives that impacted supply chain participants, such as in relation to partially hydrogenated oils, went into effect in 2021.</w:t>
      </w:r>
    </w:p>
    <w:p>
      <w:pPr>
        <w:spacing w:after="0" w:line="58"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231F20"/>
        </w:rPr>
        <w:t>The FDA has comprehensive authority to regulate the safety, ingredients, labeling and good manufacturing practices for dietary supplements. The Dietary Supplement Health and Education Act (the "DSHEA") amended the FDCA in 1994 and expanded the FDA's regulatory authority over dietary supplements. Through DSHEA, dietary supplements became a regulated commodity while also allowing structure/function claims on products. However, no statement on a dietary supplement may expressly or implicitly represent that it will diagnose, cure, mitigate, treat or prevent a disease.</w:t>
      </w:r>
    </w:p>
    <w:p>
      <w:pPr>
        <w:spacing w:after="0" w:line="22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EBT Payments</w:t>
      </w:r>
      <w:r>
        <w:rPr>
          <w:rFonts w:ascii="Times New Roman" w:cs="Times New Roman" w:eastAsia="Times New Roman" w:hAnsi="Times New Roman"/>
          <w:sz w:val="14"/>
          <w:szCs w:val="14"/>
          <w:color w:val="auto"/>
        </w:rPr>
        <w:t>—Approximately 9% of our net sales in fiscal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31F20"/>
        </w:rPr>
        <w:t>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were in the form of Electronic Benefits Transfer ("EBT") payments and a substantial portion of these payments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related to benefits associated with the Supplemental Nutritional Assistance Program ("SNAP"). The U.S. Department of Agriculture regulates these programs and their eligibility requirements. The registration and ongoing compliance requirements for SNAP participation are fairly complex and each of the IOs holds their registration under the name of their business entity and is responsible to ensure that their employees consistently comply with all SNAP rules.</w:t>
      </w:r>
    </w:p>
    <w:p>
      <w:pPr>
        <w:spacing w:after="0" w:line="53"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231F20"/>
        </w:rPr>
        <w:t>Food and Dietary Supplement Advertising</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The FTC exercises jurisdiction over the advertising of foods and dietary supplements. The FTC has the power to impose monetary sanctions,</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consent decrees and/or other penalties that can severely limit a company's business practices. In recent years, the FTC has instituted numerous enforcement actions against companies carrying dietary supplements for failure to have adequate substantiation for claims made in advertising or for the use of false or misleading advertising claims.</w:t>
      </w:r>
    </w:p>
    <w:p>
      <w:pPr>
        <w:spacing w:after="0" w:line="49"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231F20"/>
        </w:rPr>
        <w:t>Compliance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As is common in the retail industry, we rely on our suppliers and manufacturers to ensure that the products they manufacture and sell to us comply with all applicable regulatory</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and legislative requirements. In general, our purchase orders require that suppliers be compliant and represent and warrant to compliance with laws and require indemnification and/or insurance from our suppliers and manufacturers.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However, even with adequate insurance and indemnification, any claims of non-compliance could significantly damage our reputation and consumer confidence in the products we sell. In addition, the failure of such products to comply with applicable regulatory and legislative requirements could prevent us from marketing the products or require us to recall or remove such products from our stores. In order to comply with applicable statutes and regulations, our suppliers and manufacturers have from time to time reformulated, eliminated or relabeled certain of their products.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We also source a portion of our products from outside the United States. The U.S. Foreign Corrupt Practices Act and other similar anti-bribery and anti-kickback laws and regulations generally prohibit companies and their intermediaries from making improper payments to non-U.S. officials for the purpose of obtaining or retaining business. Our policies and our supplier compliance agreements mandate compliance with applicable law, including these laws and regulations.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Seasonality</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231F20"/>
        </w:rPr>
        <w:t>Our business is impacted by mild seasonality, as our average weekly sales per store fluctuate throughout the year, with sales typically higher during major U.S. holidays or events.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136"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 xml:space="preserve">Our mission is to </w:t>
      </w:r>
      <w:r>
        <w:rPr>
          <w:rFonts w:ascii="Times New Roman" w:cs="Times New Roman" w:eastAsia="Times New Roman" w:hAnsi="Times New Roman"/>
          <w:sz w:val="14"/>
          <w:szCs w:val="14"/>
          <w:i w:val="1"/>
          <w:iCs w:val="1"/>
          <w:color w:val="auto"/>
        </w:rPr>
        <w:t>Touch Lives for the Better</w:t>
      </w:r>
      <w:r>
        <w:rPr>
          <w:rFonts w:ascii="Times New Roman" w:cs="Times New Roman" w:eastAsia="Times New Roman" w:hAnsi="Times New Roman"/>
          <w:sz w:val="14"/>
          <w:szCs w:val="14"/>
          <w:color w:val="auto"/>
        </w:rPr>
        <w:t>. To do this, we work together to foster a culture grounded in talented and passionate people who live our values: entrepreneurship, integrity, achievement, family, service to others, diversity and fun. Our values translate into our human capital offerings to recruit, engage, develop, reward and retain employees who believe in our mission and emulate our values.</w:t>
      </w:r>
    </w:p>
    <w:p>
      <w:pPr>
        <w:spacing w:after="0" w:line="4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i w:val="1"/>
          <w:iCs w:val="1"/>
          <w:color w:val="231F20"/>
        </w:rPr>
        <w:t>Employees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Our people are at the heart of who we are and what we do. They are key to achieving our business goals and growth strategy. Following the acquisition of United Grocery Outlet</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 xml:space="preserve">in fiscal 2024, our employee population doubled due to the UGO stores being company-operated. As of December 28, 2024, we had 2,307 employees, 1,692 of whom were full-time and 615 of whom were part-time. As of December 28, 2024, 632 of our employees worked in our corporate organization, 189 of which were classified as field employees, and our distribution centers employed 516 persons. The remaining employees were employees in our Company-operated stores. As of December 28, 2024, 139 of our employees were union employees, all of whom were employees at two Company-operated stores. We have experienced no material interruptions of operations due to disputes with our employees and consider our relations with our employees to be very good. In the first quarter of fiscal 2025, we implemented a reduction to our workforce by approximately 40 </w:t>
      </w:r>
      <w:r>
        <w:rPr>
          <w:rFonts w:ascii="Times New Roman" w:cs="Times New Roman" w:eastAsia="Times New Roman" w:hAnsi="Times New Roman"/>
          <w:sz w:val="14"/>
          <w:szCs w:val="14"/>
          <w:color w:val="000000"/>
        </w:rPr>
        <w:t>full-time employees. See “</w:t>
      </w:r>
      <w:r>
        <w:rPr>
          <w:rFonts w:ascii="Times New Roman" w:cs="Times New Roman" w:eastAsia="Times New Roman" w:hAnsi="Times New Roman"/>
          <w:sz w:val="14"/>
          <w:szCs w:val="14"/>
          <w:color w:val="231F20"/>
        </w:rPr>
        <w:t>Management's Discussion and Analysis of Financial Condition and Results of Operations – Recent Trends and Developments – Restructuring Plan” for additional information.</w:t>
      </w:r>
    </w:p>
    <w:p>
      <w:pPr>
        <w:spacing w:after="0" w:line="57"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Employee Development</w:t>
      </w:r>
      <w:r>
        <w:rPr>
          <w:rFonts w:ascii="Times New Roman" w:cs="Times New Roman" w:eastAsia="Times New Roman" w:hAnsi="Times New Roman"/>
          <w:sz w:val="14"/>
          <w:szCs w:val="14"/>
          <w:color w:val="auto"/>
        </w:rPr>
        <w:t>—We seek to grow leaders at every level of our organization by creating a culture of mentoring and coaching. As part of our succession planning, we prioritize growing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talent internally within our organization and invest resources to develop our employees' skill sets and career paths. Some of our offerings to our Grocery Outlet employees during </w:t>
      </w:r>
      <w:r>
        <w:rPr>
          <w:rFonts w:ascii="Times New Roman" w:cs="Times New Roman" w:eastAsia="Times New Roman" w:hAnsi="Times New Roman"/>
          <w:sz w:val="14"/>
          <w:szCs w:val="14"/>
          <w:color w:val="231F20"/>
        </w:rPr>
        <w:t>2024</w:t>
      </w:r>
      <w:r>
        <w:rPr>
          <w:rFonts w:ascii="Times New Roman" w:cs="Times New Roman" w:eastAsia="Times New Roman" w:hAnsi="Times New Roman"/>
          <w:sz w:val="14"/>
          <w:szCs w:val="14"/>
          <w:color w:val="auto"/>
        </w:rPr>
        <w:t xml:space="preserve"> (offered virtually and, in some cases, in person) included:</w:t>
      </w:r>
    </w:p>
    <w:p>
      <w:pPr>
        <w:spacing w:after="0" w:line="51"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Certification program opportunities, including offerings in personal growth and professional development;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Lunch and learn events, featuring a wide variety of personal development topics and industry speakers;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coaching for leadership development, and other leadership training for supervisors through Vice Presidents; and</w:t>
      </w:r>
    </w:p>
    <w:p>
      <w:pPr>
        <w:spacing w:after="0" w:line="93" w:lineRule="exact"/>
        <w:rPr>
          <w:rFonts w:ascii="Times New Roman" w:cs="Times New Roman" w:eastAsia="Times New Roman" w:hAnsi="Times New Roman"/>
          <w:sz w:val="14"/>
          <w:szCs w:val="14"/>
          <w:color w:val="auto"/>
        </w:rPr>
      </w:pPr>
    </w:p>
    <w:p>
      <w:pPr>
        <w:ind w:right="2520" w:firstLine="260"/>
        <w:spacing w:after="0" w:line="378" w:lineRule="auto"/>
        <w:tabs>
          <w:tab w:leader="none" w:pos="50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Virtual learning platform, including leadership development courses and specific hard skills training on project management and Microsoft Excel. We encourage internal promotions and hiring for open positions. During fiscal </w:t>
      </w:r>
      <w:r>
        <w:rPr>
          <w:rFonts w:ascii="Times New Roman" w:cs="Times New Roman" w:eastAsia="Times New Roman" w:hAnsi="Times New Roman"/>
          <w:sz w:val="14"/>
          <w:szCs w:val="14"/>
          <w:color w:val="231F20"/>
        </w:rPr>
        <w:t>2024</w:t>
      </w:r>
      <w:r>
        <w:rPr>
          <w:rFonts w:ascii="Times New Roman" w:cs="Times New Roman" w:eastAsia="Times New Roman" w:hAnsi="Times New Roman"/>
          <w:sz w:val="14"/>
          <w:szCs w:val="14"/>
          <w:color w:val="auto"/>
        </w:rPr>
        <w:t>, we promoted 141 corporate and field employees.</w:t>
      </w:r>
    </w:p>
    <w:p>
      <w:pPr>
        <w:jc w:val="both"/>
        <w:ind w:firstLine="382"/>
        <w:spacing w:after="0" w:line="262" w:lineRule="auto"/>
        <w:rPr>
          <w:sz w:val="20"/>
          <w:szCs w:val="20"/>
          <w:color w:val="auto"/>
        </w:rPr>
      </w:pPr>
      <w:r>
        <w:rPr>
          <w:rFonts w:ascii="Times New Roman" w:cs="Times New Roman" w:eastAsia="Times New Roman" w:hAnsi="Times New Roman"/>
          <w:sz w:val="14"/>
          <w:szCs w:val="14"/>
          <w:i w:val="1"/>
          <w:iCs w:val="1"/>
          <w:color w:val="auto"/>
        </w:rPr>
        <w:t>Employee Health and Safety</w:t>
      </w:r>
      <w:r>
        <w:rPr>
          <w:rFonts w:ascii="Times New Roman" w:cs="Times New Roman" w:eastAsia="Times New Roman" w:hAnsi="Times New Roman"/>
          <w:sz w:val="14"/>
          <w:szCs w:val="14"/>
          <w:color w:val="auto"/>
        </w:rPr>
        <w:t>—Providing a safe and compliant working environment and ensuring safety is critical to the Company. We have robust safety programs in place to prevent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workplace injury and illness. In recent years, we have refined and adopted additional safety training initiatives in a variety of areas, including among others, hazard communications, fire prevention, emergency action playbooks, blood borne pathogens, health illness avoidance, and active shooter. These refinements and initiatives are ongoing. We also maintain a Safety Committee for our distribution center employees and our Safety Department regularly provides new injury avoidance information at monthly distribution center employee-wide meetings. Additionally, we provide detailed health and safety resources to our independently operated stores, including specific information and requirements by state to support their adherence to compliance.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Employee Compensation and Benefits</w:t>
      </w:r>
      <w:r>
        <w:rPr>
          <w:rFonts w:ascii="Times New Roman" w:cs="Times New Roman" w:eastAsia="Times New Roman" w:hAnsi="Times New Roman"/>
          <w:sz w:val="14"/>
          <w:szCs w:val="14"/>
          <w:color w:val="auto"/>
        </w:rPr>
        <w:t>—We provide compensation and comprehensive benefits designed to recruit, reward and retain the talent necessary to advance our mission, meet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goals and execute our long-term growth strategy. Our compensation components vary by employee level and can include cash based compensation, cash bonuses, equity awards and a profit-sharing program. Additionally, we provide generous and highly competitive health and welfare benefits programs.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Equity, Diversity and Inclusion</w:t>
      </w:r>
      <w:r>
        <w:rPr>
          <w:rFonts w:ascii="Times New Roman" w:cs="Times New Roman" w:eastAsia="Times New Roman" w:hAnsi="Times New Roman"/>
          <w:sz w:val="14"/>
          <w:szCs w:val="14"/>
          <w:color w:val="auto"/>
        </w:rPr>
        <w:t>—We believe that a diverse and inclusive team is important to our long-term business success.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part of our commitment to transparency, we are committed to disclosing our workforce diversity data (by gender, race and ethnicity) that we include in our consolidated EEO-1 report filed with the U.S. Equal Employment Opportunity Commission, beginning with fiscal 2024 data to be included in our Impact Report that will be published in 2025.</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focus on genuine equal opportunity for all in hiring, retention and advancement, and cultivating an inclusive, merit-based and diverse corporate culture through continued education and development opportunities across our organization.</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strive to nurture and uphold an inclusive and diverse environment, free from discrimination of any kind, including sexual or other discriminatory/harassing behavior. We do this by setting an appropriate tone at the top with an open-door policy, having robust policies/procedures in our Code of Ethics and Whistleblower Policy as well as maintaining an internal audit function - all of which support compliance with regulations and ethical behavior.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Website Disclosure</w:t>
      </w:r>
    </w:p>
    <w:p>
      <w:pPr>
        <w:spacing w:after="0" w:line="13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use our website, https://investors.groceryoutlet.com,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 for our Annual Meeting of Stockholders are available, free of charge, on our website as soon as practicable after we file the reports with the SEC.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6"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231F20"/>
        </w:rPr>
        <w:t>The following risk factors are important to understanding various statements in this Form 10-K or elsewhere. The factors described below, individually or in the aggregate, could materially adversely affect our business, business prospects, financial condition, operating results, cash flows and stock price, and may cause actual results, performance or achievements in future periods to differ materially from those assumed, projected or contemplated. Moreover, we operate in a very competitive and rapidly changing environment, and new risks emerge from time to time.</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231F20"/>
        </w:rPr>
        <w:t>The following is a summary of the principal risks that could adversely affect our business, operations and financial results: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Operations</w:t>
      </w:r>
    </w:p>
    <w:p>
      <w:pPr>
        <w:spacing w:after="0" w:line="96"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suppliers to consistently supply us with opportunistic products at attractive pricing, which is generally not in our control;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successfully identify trends and maintain an appropriate level of opportunistic products or general inventory;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or increase comparable store sales;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disruption to our distribution network, the operations, technology and capacity of our distributions centers and our timely receipt of inventory;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newly opened stores;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our growth strategy, including opening, relocating or remodeling stores on schedule and on budget, as well as the revised near-term new store growth strategy as reflected in the Restructuring Plan;</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and operating impacts associated with our Restructuring Plan;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and other changes affecting the market prices of the products we sell;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our reputation and the value of our brand, including protecting our intellectual property;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remediate our material weakness in our internal control over financial reporting;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maintain sufficient levels of cash flow from our operations to fund our growth strategy;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leasing substantial amounts of space;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attract, train and retain highly qualified employees or the loss of executive officers or other key personnel;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successful implementation of marketing, advertising and promotions;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or man-made disasters, climate change, power outages, major health epidemics, pandemic outbreaks, terrorist acts, global political events or other serious catastrophic events and the concentration of our business operations;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costs and negative effects if we incur losses not covered by our insurance program;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associated with labor relations and shortages;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participate effectively in the growing online retail marketplace;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properly integrate or achieve the expected benefits of any acquired businesses;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Risks Related to Our Business Environment</w:t>
      </w:r>
    </w:p>
    <w:p>
      <w:pPr>
        <w:spacing w:after="0" w:line="96"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economic conditions;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retail food industry;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movement of consumer trends toward private labels and away from name-brand products, and risks associated with the continued deployment of our own private label brands;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Risks Related to Our IO Model</w:t>
      </w:r>
    </w:p>
    <w:p>
      <w:pPr>
        <w:spacing w:after="0" w:line="96"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attract and retain qualified IOs;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IOs to successfully manage their business;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IOs to repay notes outstanding to us;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our IOs to avoid excess inventory shrink;</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loss or changeover of an IO;</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proceedings initiated against our IOs;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challenges to the IO/independent contractor business model;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positive relationships with our IOs;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actions our IOs could take that could harm our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Information Technology Systems, Data Protection and Cybersecurity</w:t>
      </w:r>
    </w:p>
    <w:p>
      <w:pPr>
        <w:spacing w:after="0" w:line="96"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disruption to our information technology systems from our technology initiatives or third-party security breaches or other disruptions;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the security of information we hold relating to personal information or payment card data of our customers, employees and suppliers;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Risks Related to Legal and Regulatory Risks</w:t>
      </w:r>
    </w:p>
    <w:p>
      <w:pPr>
        <w:spacing w:after="0" w:line="96"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products we and our IOs sell;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laws and regulations generally applicable to retailers;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proceedings from customers, suppliers, employees, governments or competitors;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Risks Associated with our Indebtedness</w:t>
      </w:r>
    </w:p>
    <w:p>
      <w:pPr>
        <w:spacing w:after="0" w:line="96"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could affect our ability to operate our business, react to changes in the economy or industry or pay our debts and meet our obligations;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 in our debt agreements may restrict our ability to pursue our business strategies, and failure to comply with any of these restrictions could result in acceleration of our debt;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Risks Related to Accounting, Tax and Financial Statement Matters</w:t>
      </w:r>
    </w:p>
    <w:p>
      <w:pPr>
        <w:spacing w:after="0" w:line="96"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tax matters, including changes in tax laws;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and subjective assumptions, estimates and judgments by management related to complex accounting matters;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Risks Related to Our Common Stock</w:t>
      </w:r>
    </w:p>
    <w:p>
      <w:pPr>
        <w:spacing w:after="0" w:line="96"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operating results fluctuate and may fall short of prior periods, our projections or the expectations of securities analysts or investors;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or the perception of future sales, by us or our existing stockholders in the public market could cause the market price for our common stock to decline;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our organizational documents could delay or prevent a change of control;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our organizational documents that limit the forum for certain stockholder litigation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more complete discussion of the material risks facing our business, see below.</w:t>
      </w:r>
    </w:p>
    <w:p>
      <w:pPr>
        <w:spacing w:after="0" w:line="17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b w:val="1"/>
          <w:bCs w:val="1"/>
          <w:color w:val="231F20"/>
        </w:rPr>
        <w:t>Risks Related to Our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depend on suppliers to consistently supply us with opportunistic products at attractive pricing, which is generally not in our control.</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business is dependent on our ability to strategically source a sufficient volume and variety of opportunistic products at attractive pricing. While opportunistic buying, operating with appropriate inventory levels and frequent inventory turns are key elements of our business strategy, they subject us to risks related to the pricing, quantity, mix, quality and timing of inventory flowing to our stores. We do not have significant control over the supply, cost or availability of many of the opportunistic products offered for sale in our stores. Shortages or disruptions in the availability of quality products that excite our customers and drive customer traffic could have a material adverse effect on our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business, financial condition and results of operations, including our gross margin. As our store base continues to grow, our ability to secure opportunistic products in sufficient quantities may become more difficult.</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All of our inventory is acquired through purchase orders and we generally do not have long-term contractual agreements with our suppliers that obligate them to provide us with products exclusively or at specified quantities or prices, or at all. Any of our current suppliers may decide to sell products to our competitors and may not continue selling products to us. In order to retain our competitive advantage, we need to continue to develop and maintain relationships with qualified suppliers that can satisfy our standards for quality and our requirements for delivery of products in a timely and efficient manner at attractive prices. The need to grow existing relationships and develop new relationships with qualified suppliers is particularly important as we seek to continue to expand our operations and enhance our product offerings in the future.</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Manufacturers and distributors of name-brand, large volume products have become increasingly consolidated. Further consolidation of manufacturers or distributors could reduce our supply options and detrimentally impact the terms under which we purchase products. If one or more of our existing significant suppliers were to be unable or unwilling to continue providing products to us on attractive terms, or at all, we may have difficulty finding replacement suppliers on commercially reasonable terms or at all. The loss of one or more of our existing significant suppliers or our inability to develop relationships with new suppliers could reduce our competitiveness, slow our plans for further expansion and cause our net sales and operating results, including our gross margin, to be materially adversely affected.</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supply chain is subject to risks, including distribution and transportation, labor disputes or constraints, union organizing activities, financial liquidity, inclement weather, natural disasters, significant public health and safety events, supply constraints and general economic and political conditions that could limit our suppliers' ability to provide us with quality products. As discussed elsewhere in these risk factors, the occurrence of these risks have in the past delayed or precluded, and may in the future delay or preclude, delivery of product to us on a timely basis or at all.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be able to successfully identify trends to meet consumer demand and maintain an appropriate level of opportunistic products or general inventory.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depend on repeat visits by our customer base to drive sales, and we rely on desirable opportunistic products at discounts to excite our customers to make such repeat visits. Consumer preferences often change rapidly and without warning. We may not successfully address consumer trends or be able to acquire desirable opportunistic products, and we expect competition for customers to increase as online shopping by customers continues to expand.</w:t>
      </w:r>
    </w:p>
    <w:p>
      <w:pPr>
        <w:spacing w:after="0" w:line="51"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We generally make individual purchase decisions for products that become available, and these purchases may be for large quantities that we may not be able to sell on a timely or cost-effective basis. Some of our products are sourced from suppliers at significantly reduced prices for specific reasons, and we are not always able to purchase specific products on a recurring basis. To the extent that some of our suppliers are better able to manage their inventory levels and reduce the amount of their excess inventory, the amount of over-stock and short-dated products available to us could also be materially reduced, making it difficult to deliver products to our customers at attractive prices. Maintaining adequate inventory of quality, name-brand products requires significant attention and monitoring of market trends, local markets and developments with suppliers and our distribution network, and it is not certain that we or our IOs will be effective in inventory management.</w:t>
      </w:r>
    </w:p>
    <w:p>
      <w:pPr>
        <w:spacing w:after="0" w:line="23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base our purchases of inventory, in part, on our sales forecasts. Since the implementation of system upgrades in August 2023, we and our IOs have experienced significant issues with ordering, inventory planning and management and payment processing, including our ability to accurately forecast sales, which resulted in reduced net sales and gross margin during fiscal 2023 and fiscal 2024. If our sales forecasts overestimate customer demand or we do not have accurate real-time product and inventory levels, we may experience higher inventory levels and need to take markdowns on excess or slow-moving inventory, leading to decreased profit margins. Conversely, if our sales forecasts underestimate customer demand or we do not have accurate real-time product and inventory levels, we may have insufficient inventory to meet demand, leading to lost sales. Either of the foregoing challenges could materially adversely affect our financial performance. In addition, a majority of the assortment in each Grocery Outlet store is selected by IOs based on local preference and shopping history, and the inability of the IOs to successfully identify trends in the local market could materially adversely affect our financial performance.</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long-term success depends in part on our ability and the ability of the IOs to maintain or increase comparable store sales, and if we are unable to continue to achieve comparable store growth over the long-term, our profitability and performance could be materially adversely impacted.</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IOs are responsible for store operations. Our success depends on, among other things, increasing comparable store sales through our opportunistic purchasing strategy and the ability of the IOs to increase sales and profits. To increase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sales, and therefore comparable store sales growth and profits, we and the IOs focus on delivering value and generating customer excitement by strengthening opportunistic purchasing, providing an increasing number of everyday products, optimizing inventory management, maintaining strong store conditions and effectively marketing current products and new product offerings. Competition and pricing pressures from competitors and suppliers may also materially adversely impact our comparable sales if we lose customers as a result.</w:t>
      </w:r>
    </w:p>
    <w:p>
      <w:pPr>
        <w:spacing w:after="0" w:line="5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While we have had positive comparative sales growth for the vast majority of our history, we may not be able to maintain or improve our comparable store sales growth in future years for many reasons, many of which we do not significantly control, including general economic conditions that may not favor our model, operational performance (including by the IOs), price inflation or deflation, or changes in response to competitive factors, changes in our existing supplier relationships or our inability to develop new supplier relationships, industry competition (e-commerce), new competitive entrants near our stores, price changes in response to competitive factors, any comparison year or quarter having above-average net sales results, possible supply shortages or other operational disruptions, the number and dollar amount of customer transactions in our stores, our ability to provide product or service offerings that generate new and repeat visits to our stores and the level of customer engagement that we and the IOs provide in our stores. In addition, we may not accurately model cannibalization by our new stores when we open new stores in established markets, which could reduce comparable store sales.</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Significant disruption in our distribution network, our timely receipt of inventory, and adequate distribution center capacity and technology has had in recent years, and could continue to have, an adverse impact on our operating performance.</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rely on our distribution, transportation and technology network and systems to provide goods to our distribution centers and stores in a timely and cost-effective manner. Our stores are highly dependent on the successful operations of our distribution, transportation and technology networks, as IOs use these systems to order multiple deliveries per week and many of our products have a limited shelf life from the time of purchase, particularly opportunistic buys and fresh foods. Deliveries to our stores occur from our distribution centers or directly from our suppliers. We use four primary leased distribution centers that we operate and five primary distribution centers operated by third-parties. Any disruption, unanticipated or unusual expense or operational failure related to these processes and systems could affect store operations negatively. Our system upgrades during fiscal 2023 resulted in significant ordering and inventory disruptions during fiscal 2023 and fiscal 2024, which resulted in reduced net sales and gross margin. Please also see the risk factor below entitled: "Any material challenges or difficulties in maintaining or updating our existing technology, including developing or implementing new technology could have a material adverse effect on our business or results of operations."</w:t>
      </w:r>
    </w:p>
    <w:p>
      <w:pPr>
        <w:spacing w:after="0" w:line="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have also experienced ordering and inventory disruptions in recent years related to system issues at our third-party distribution centers. If similar circumstances were to occur and persist, they could have a material adverse impact on our operations and our ability to generate sales and earn profits.</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events beyond our control, such as disruptions in operations due to fire, adverse weather conditions or other catastrophic events or labor disagreements, may result in delays in the delivery of merchandise to our stores. While we maintain business interruption and cybersecurity insurance, in the event our distribution centers are shut down for any reason, such insurance may not be sufficient and any related insurance proceeds may not be timely paid to us, and our reputation and customer relationships could still be adversely impacted. Furthermore, there can be no guarantee that we will be able to renew the leases or third-party distribution and transportation contracts, as applicable, on our distribution centers on attractive terms or at all, which may increase our expenses and cause temporary disruptions in our distribution network.</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 xml:space="preserve">As we continue to implement our store growth strategy, our distribution centers have in the past and may continue to have insufficient capacity or technology to optimally support all of our stores and effectively managing our distribution network and distribution centers will become more complex. Our new store locations receiving shipments may be further away from our distribution centers, which may increase transportation costs and may create transportation scheduling strains, or may require us to add additional facilities to the network. We are simplifying our planned investments in our distribution infrastructure strategy in fiscal 2025 and fiscal 2026, which could hinder our ability to compete with companies that have invested in multi-temperature facilities or have a more efficient distribution model. See “Management's Discussion and Analysis of Financial Condition and Results of Operations – </w:t>
      </w:r>
      <w:r>
        <w:rPr>
          <w:rFonts w:ascii="Times New Roman" w:cs="Times New Roman" w:eastAsia="Times New Roman" w:hAnsi="Times New Roman"/>
          <w:sz w:val="14"/>
          <w:szCs w:val="14"/>
          <w:color w:val="231F20"/>
        </w:rPr>
        <w:t>Recent Trends and Developments</w:t>
      </w:r>
      <w:r>
        <w:rPr>
          <w:rFonts w:ascii="Times New Roman" w:cs="Times New Roman" w:eastAsia="Times New Roman" w:hAnsi="Times New Roman"/>
          <w:sz w:val="14"/>
          <w:szCs w:val="14"/>
          <w:color w:val="auto"/>
        </w:rPr>
        <w:t xml:space="preserve"> – Restructuring Plan” for additional information.</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newly opened stores may negatively impact our financial results in the short-term and/or may not achieve sales and operating levels consistent with our more mature stores on a timely basis or at all.</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have actively pursued new store growth, including in new markets, and plan to continue doing so strategically in the future. Our new store openings may not be successful or reach the sales and profitability levels of our existing stores,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particularly in new markets. These factors have in the past and may continue to impact our ability to attract and develop potential IOs. Some new stores may be located in areas with different competitive and market conditions as well as different customer discretionary spending patterns than our existing markets. Some new stores and future new store opportunities may be located in new geographic areas where we have limited or no meaningful experience or brand recognition. We may experience a higher cost of entry in those markets as we build brand awareness and drive customers to incorporate us into their shopping habits.</w:t>
      </w:r>
    </w:p>
    <w:p>
      <w:pPr>
        <w:spacing w:after="0" w:line="56"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New store openings may negatively impact our financial results due to the effect of store opening costs and lower sales and contribution to overall profitability during the initial period following opening. In recent years, our costs to build a new store have increased in the past two years and our planned efforts to engineer reduced costs to build will take time and resources, and we may not be successful in part or whole in reducing such costs. New stores, particularly those in new markets, build their sales volume, brand recognition and customer base over time and, as a result, for approximately four to five years, generally have lower margins and higher operating expenses as a percentage of sales than our more mature stores. New stores may not achieve sustained sales and operating levels consistent with our more mature store base on a timely basis or at all. This lack of performance may have a material adverse effect on our financial condition and operating results.</w:t>
      </w:r>
    </w:p>
    <w:p>
      <w:pPr>
        <w:spacing w:after="0" w:line="23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may not anticipate all of the challenges imposed by the expansion of our operations into new geographic markets. We may not manage our expansion effectively, and our failure to achieve or properly execute our expansion plans could limit our growth or have a material adverse effect on our business, financial condition and results of operations.</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growth strategy is highly dependent on our ability to identify and open future store locations and relocate or remodel existing store locations in new and existing markets, and we are revising our near-term new store growth strategy as reflected in our Restructuring Plan.</w:t>
      </w:r>
    </w:p>
    <w:p>
      <w:pPr>
        <w:spacing w:after="0" w:line="37"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 xml:space="preserve">We continue to believe that strategic new store growth remains a significant and critical driver of long-term stockholder value. However, while our long-term goal is to continue to expand our store base, we may not be able to, or determine it is prudent to, consistently achieve a high rate of new store growth on a year-over-year basis. As part of our Restructuring Plan, we are optimizing new store growth in fiscal 2025 and fiscal 2026 to increase efficiencies for distribution and optimize brand awareness and marketing. There can be no assurance that our revised new store growth strategy will be successful. See “Management's Discussion and Analysis of Financial Condition and Results of Operations – </w:t>
      </w:r>
      <w:r>
        <w:rPr>
          <w:rFonts w:ascii="Times New Roman" w:cs="Times New Roman" w:eastAsia="Times New Roman" w:hAnsi="Times New Roman"/>
          <w:sz w:val="14"/>
          <w:szCs w:val="14"/>
          <w:color w:val="231F20"/>
        </w:rPr>
        <w:t>Recent Trends and Developments</w:t>
      </w:r>
      <w:r>
        <w:rPr>
          <w:rFonts w:ascii="Times New Roman" w:cs="Times New Roman" w:eastAsia="Times New Roman" w:hAnsi="Times New Roman"/>
          <w:sz w:val="14"/>
          <w:szCs w:val="14"/>
          <w:color w:val="auto"/>
        </w:rPr>
        <w:t xml:space="preserve"> – Restructuring Plan” for additional information. In fiscal </w:t>
      </w:r>
      <w:r>
        <w:rPr>
          <w:rFonts w:ascii="Times New Roman" w:cs="Times New Roman" w:eastAsia="Times New Roman" w:hAnsi="Times New Roman"/>
          <w:sz w:val="14"/>
          <w:szCs w:val="14"/>
          <w:color w:val="231F20"/>
        </w:rPr>
        <w:t>2024</w:t>
      </w:r>
      <w:r>
        <w:rPr>
          <w:rFonts w:ascii="Times New Roman" w:cs="Times New Roman" w:eastAsia="Times New Roman" w:hAnsi="Times New Roman"/>
          <w:sz w:val="14"/>
          <w:szCs w:val="14"/>
          <w:color w:val="auto"/>
        </w:rPr>
        <w:t xml:space="preserve">, we opened 27 new stores </w:t>
      </w:r>
      <w:r>
        <w:rPr>
          <w:rFonts w:ascii="Times New Roman" w:cs="Times New Roman" w:eastAsia="Times New Roman" w:hAnsi="Times New Roman"/>
          <w:sz w:val="14"/>
          <w:szCs w:val="14"/>
          <w:color w:val="231F20"/>
        </w:rPr>
        <w:t>and also acquired 40 stores in connection with our acquisition of United Grocery Outlet</w:t>
      </w:r>
      <w:r>
        <w:rPr>
          <w:rFonts w:ascii="Times New Roman" w:cs="Times New Roman" w:eastAsia="Times New Roman" w:hAnsi="Times New Roman"/>
          <w:sz w:val="14"/>
          <w:szCs w:val="14"/>
          <w:color w:val="auto"/>
        </w:rPr>
        <w:t>.</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ability to open stores in a timely and successful manner depends in part on the following factors: the availability of attractive store locations (including stores that will not compete significantly with existing stores and that can be reasonably serviced by our distribution network) and rent prices; the costs of construction and the availability of construction labor and materials; the absence of entitlement processes or occupancy delays; the ability to negotiate acceptable lease and development terms; our relationships with current and prospective landlords; the ability to attract potential IOs who are strong entrepreneurs; the ability to secure and manage the inventory necessary for the launch and operation of new stores; the availability of capital funding for expansion; and general economic conditions. Any or all of these factors and conditions could materially adversely affect our growth and profitability.</w:t>
      </w:r>
    </w:p>
    <w:p>
      <w:pPr>
        <w:spacing w:after="0" w:line="58"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While our long-term goal is to continue to expand our store base, we cannot assure you that we will be able to consistently (on a year-over-year basis) achieve a high level of new store growth and attractive return on capital, and we are focusing our near-term new store growth strategy in an effort to ensure strong new store execution. Over the last few years, planned construction and opening of new stores have been, and may continue to be, negatively impacted due to labor and materials shortages as well as longer lead times in lease execution, site permitting and construction. These challenges impacted our organic new store growth in recent years. Additionally, we may expand into neighboring states and regions in the United States and/or engage in further acquisitions to meet our growth goals, and such expansion heightens the risks, challenges and uncertainties of development. We may not have the level of cash flow or financing necessary to support our growth strategy. Further, much of our new store growth is in new markets where we do not have the same brand recognition at this time. Our proposed expansion will place increased demands on our operational, managerial and administrative resources. These increased demands could cause us to operate our existing business less efficiently, which in turn could cause deterioration in the financial performance of our existing stores. If we experience a decline in performance, we may further slow or discontinue store openings, or we may decide to close stores that are unable to operate in a profitable manner.</w:t>
      </w:r>
    </w:p>
    <w:p>
      <w:pPr>
        <w:spacing w:after="0" w:line="23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If we fail to successfully implement our growth strategy, including our strategy in connection with the Restructuring Plan, by opening new stores on a timely basis and on budget, our operations, financial condition and operating results would be materially and adversely affected.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Restructuring Plan may have a material adverse impact on our results of operations and our estimated costs may differ substantially from actual costs incurred.</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 xml:space="preserve">During the fourth quarter of fiscal 2024, we began to initiate the Restructuring Plan that is intended to improve our profitability and cash flow generation, optimize the footprint of new store growth and lower our cost base. See “Management's Discussion and Analysis of Financial Condition and Results of Operations – </w:t>
      </w:r>
      <w:r>
        <w:rPr>
          <w:rFonts w:ascii="Times New Roman" w:cs="Times New Roman" w:eastAsia="Times New Roman" w:hAnsi="Times New Roman"/>
          <w:sz w:val="14"/>
          <w:szCs w:val="14"/>
          <w:color w:val="231F20"/>
        </w:rPr>
        <w:t>Recent Trends and Developments</w:t>
      </w:r>
      <w:r>
        <w:rPr>
          <w:rFonts w:ascii="Times New Roman" w:cs="Times New Roman" w:eastAsia="Times New Roman" w:hAnsi="Times New Roman"/>
          <w:sz w:val="14"/>
          <w:szCs w:val="14"/>
          <w:color w:val="auto"/>
        </w:rPr>
        <w:t xml:space="preserve"> – Restructuring Plan” for additional information. The costs associated with the Restructuring Plan adversely impacted our results of operations in the fourth quarter of fiscal 2024, and may have a material adverse impact on our results of operations for one or more quarters in fiscal 2025 and for fiscal 2025. In addition, we may fail to manage any disruptions to our operations or growth strategy from the Restructuring Plan. Further, the Restructuring Plan may harm our reputation with landlords, prospective employees and other stakeholders, may harm our retention of remaining employees, and may not generate the intended benefits to the extent or as quickly as anticipated, any of which could have an adverse effect on our business, financial condition and results of operations.</w:t>
      </w:r>
    </w:p>
    <w:p>
      <w:pPr>
        <w:spacing w:after="0" w:line="6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estimated costs of the Restructuring Plan are subject to a number of assumptions and risks and will be refined over time as more information becomes available, and therefore actual results may differ substantially from our estimates. In particular, the majority of expenses associated with the Restructuring Plan relate to lease terminations, and our estimated costs associated with certain planned lease terminations remain subject to various uncertainties. While we have reached agreement in the first quarter of fiscal 2025 regarding a number of planned lease terminations, our estimates of the costs of the Restructuring Plan assume that we will reach agreement with respect to each planned lease termination, which is uncertain. If we are unable to agree with a landlord on acceptable terms on which to terminate a lease or are otherwise unable to sublease or assign our interest in the lease to a third party, we may be required to continue to perform obligations under the lease, including paying rent and incurring other operating expenses during the lease term. If we assign or sublease a lease to a third party, we may still have to pay a portion of the rent and other expenses and we can remain liable for the lease obligations if the assignee or sublessee does not perform. In addition, if our efforts to terminate, sublease or assign a lease are unsuccessful and we do not perform our obligations under the lease, the landlord may contend that we are in default under the lease and initiate legal proceedings against us, which could increase the costs relating to the Restructuring Plan beyond what we currently anticipate.</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may also incur other material costs not currently contemplated due to events that may occur as a result of, or in connection with, our restructuring activities. If we incur unanticipated expenses, charges or liabilities or fail to manage any growth or any scaling back of our operations, then we may not be able to effectively realize the anticipated benefits and the Restructuring Plan could have an adverse effect on our business, financial condition and results of operations.</w:t>
      </w:r>
    </w:p>
    <w:p>
      <w:pPr>
        <w:spacing w:after="0" w:line="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Because we are an extreme value retailer and compete for customers to a substantial degree based on price, changes affecting the market prices of the products we sell, many of which we cannot control, including due to inflation or deflation, competition, supplier increases in freight, supply or other operating costs, including energy prices, or worsening economic conditions, could materially adversely affect our financial condition and operating results.</w:t>
      </w:r>
    </w:p>
    <w:p>
      <w:pPr>
        <w:spacing w:after="0" w:line="5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A critical differentiator of our business is our ability to offer value to our customers, including offering prices that are substantially below those offered by some of our competitors. We carefully monitor the market prices of our products in order to maintain our price advantage and reputation. In recent years, we have experienced varying levels of inflation, resulting in part from various supply disruptions, increased shipping and transportation costs, increased commodity costs, increased labor costs in the supply chain and other disruptions caused by the recent economic environment, which we have not been able to fully offset through price increases. Our IOs have experienced increased costs related to labor and utilities, among others. If costs of goods continue to increase and our suppliers seek price increases from us, we may not be able to mitigate such increases and have sometimes, and may continue to, increase our prices, which could deter customer traffic and reduce the number and average basket size of customer transactions. Some of our larger competitors are in a better position to absorb cost increases while maintaining price competitiveness. If our competitors are more competitive on pricing relative to our pricing, we may lose customers and/or need to mark down prices. Our gross margins and profitability also may be adversely impacted by higher supply costs that we cannot fully pass along or if we need to lower product prices due to competition. As a result of our low-price model, the foregoing competitive pressures may reduce our profitability and materially adversely affect our business, financial condition and results of operations.</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If we fail to maintain our reputation and the value of our brand, including protection of our intellectual property rights, our sales and operating results may decline and the carrying value of our goodwill and other intangible assets may be impaired.</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believe our continued success depends on our ability to maintain and grow the value of our brand. Brand value is based in large part on perceptions of subjective qualities. The reputation of our company and our brand may be damaged in all, one or some of the markets in which we do business, by adverse events at the corporate level or by an IO acting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outside of Grocery Outlet's brand standards, or by action (or inaction), by us or our IOs on issues like social policies, merchandising, compliance related to social, product, labor and environmental standards or other sensitive topics. Further, any perceived lack of transparency about such matters, could harm our reputation. The online dissemination of negative information about our brand through social media or other channels, including inaccurate information, could harm our reputation and our brand.</w:t>
      </w:r>
    </w:p>
    <w:p>
      <w:pPr>
        <w:spacing w:after="0" w:line="5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regard our intellectual property, including trademarks and service marks, as having significant value, and our brand is an important factor in the marketing of our stores. We monitor and protect against activities that might infringe, dilute or otherwise violate our trademarks and other intellectual property and rely on trademark and other laws of the United States, but we may not be able or willing to successfully enforce our trademarks or intellectual property rights against competitors or challenges by others. For example, we are aware of certain companies in jurisdictions where we do not currently operate using the term "GROCERY OUTLET." Moreover, we have disclaimed the terms "GROCERY OUTLET" and "MARKET" with respect to our "GROCERY OUTLET BARGAIN MARKET" trademarks, among other disclaimed terms with respect to our registered trademarks and trademark applications. If a third party uses such disclaimed terms in its trademarks, we cannot object to such use. Additionally, if we fail to protect our trademarks or other intellectual property rights, others may copy or use our trademarks or intellectual property without authorization, which may harm the value of our brand, reputation, competitive advantages and goodwill and adversely affect our financial condition, cash flows or results of operations. Actions we have taken to establish and protect our intellectual property rights may not be adequate.</w:t>
      </w:r>
    </w:p>
    <w:p>
      <w:pPr>
        <w:spacing w:after="0" w:line="6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There may in the future be opposition and cancellation proceedings from time to time with respect to some of our intellectual property rights. We have initiated, and may in the future initiate, oppositions and cancellation proceedings to thwart third party filings that encroach upon our intellectual property rights. In some cases, litigation may be necessary to protect or enforce our trademarks and other intellectual property rights. Furthermore, third parties may assert intellectual property claims against us, and we may be subject to liability, required to enter into costly license agreements, if available at all, required to rebrand our products and/or prevented from selling some of our products if third parties successfully oppose or challenge our trademarks or successfully claim that we infringe, misappropriate or otherwise violate their trademarks, copyrights, patents or other intellectual property rights. Bringing or defending any such claim, regardless of merit, and whether successful or unsuccessful, could be expensive and time-consuming and have a negative effect on our business, reputation, results of operations and financial condition.</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brand value and intellectual property represents a significant portion of our goodwill and intangible assets. Accounting rules require us to review the carrying value of our goodwill and other intangible assets for impairment annually or whenever events or changes in circumstances indicate that the carrying value of such assets may not be fully recoverable. If the testing performed indicates that impairment has occurred, we are required to record a non-cash impairment charge. The testing goodwill and intangible assets for impairment requires us to make estimates that are subject to significant assumptions. Changes in our estimates, or changes in actual performance compared with these estimates, may affect the fair value of goodwill or intangible assets, which also may result in a non-cash impairment charge. If a significant amount of our goodwill and other intangible assets were deemed to be impaired, our financial condition and results of operations could be materially adversely affected.</w:t>
      </w:r>
    </w:p>
    <w:p>
      <w:pPr>
        <w:spacing w:after="0" w:line="1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Difficulties associated with the replacement of components of our enterprise resource planning system caused a material weakness in our internal control over financial reporting and remediation is currently ongoing. If we are unable to remediate the existing material weakness in our internal control over financial reporting or if we experience other material weaknesses, it may negatively impact our ability to meet our reporting obligations and cause investors to lose confidence in our reported financial information, which in turn could cause the trading price of our common stock to decline.</w:t>
      </w:r>
    </w:p>
    <w:p>
      <w:pPr>
        <w:spacing w:after="0" w:line="5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connection with the preparation of financial statements for fiscal 2023, management determined that we had a material weakness in our internal control over financial reporting related to certain information technology general computer controls that were insufficient during the replacement of components of our enterprise resource planning system in late August 2023, which led to a significant increase in the volume of transactions across user access, program change management, and information technology operations for which our existing controls were not designed to address. Our remediation efforts have been ongoing since the fiscal quarter ended December 30, 2023, and we did not achieve our prior expectation to be able to remediate such material weakness by the end of fiscal 2024. The corrective controls were implemented during the fiscal year ending December 28, 2024, but need to continue operating effectively for a sufficient period of time to conclude the material weakness has been remediated. However, we cannot assure that the measures we have taken to date and may take in the future, will be sufficient to remediate the previously identified control deficiencies that led to our material weakness. We also cannot assure that we will be able to prevent or avoid material weaknesses in the future. See “Item 9A. Controls and Procedures” for additional information. Any weaknesses or deficiencies or any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failure to implement required new or improved controls, or difficulties encountered in the implementation or operation of these controls, could harm our operating results and cause us to fail to meet our financial reporting obligations, our obligations under our debt instruments or result in material omissions or misstatements in our financial statements. Any material weakness (including the material weakness referenced above) and our failure to remediate such material weakness could have a material adverse effect on our business and financial statements, as well as our reputation and reduce our stock price. Additionally, material weaknesses could result in litigation or regulatory actions by the SEC or other regulatory authorities or other disputes involving federal and state securities laws, loss of investor confidence, and diversion of financial and management resources from the operation of our business. If we are unable to remediate any material weakness, including the current material weakness, within a reasonable time period or not at all, the foregoing risks may be heightened.</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We will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cash flow from operations may not provide sufficient capital to support our expanding business and execute our growth strategy, including to pay our lease obligations, build out new stores and distribution centers, remodel our stores, purchase opportunistic inventory, pay employees competitive wages and provide benefits, continue the ongoing modernization, enhancement and maintenance of our information systems, make loans to IOs and further invest in the business. Further, our plans to grow our store base may create cash flow pressure if new locations do not perform as projected.</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may need to obtain additional funds through public or private financings, collaborative relationships or other arrangements. Any equity financing or convertible financing that we may pursue could result in additional dilution to our existing stockholders and would be subject to capital market conditions at the time of any offering. Debt financing, if available, would increase our leverage and may involve restrictive covenants that could affect our ability to raise additional capital or operate our business. Additional financing may not be available to us on attractive terms to us, if at all. The inability to obtain necessary or desired liquidity could impede our competitive position, business, financial condition and results of operations and we may need to delay, limit or eliminate planned store openings or operations or other elements of our growth strategy.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are subject to risks associated with leasing substantial amounts of space, including future increases in occupancy costs.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 xml:space="preserve">We currently lease substantially all of our store locations, primary distribution centers and administrative offices (including our headquarters in Emeryville, California), and a number of these leases expire or are up for renewal each year. Our operating leases typically have initial lease terms of </w:t>
      </w:r>
      <w:r>
        <w:rPr>
          <w:rFonts w:ascii="Times New Roman" w:cs="Times New Roman" w:eastAsia="Times New Roman" w:hAnsi="Times New Roman"/>
          <w:sz w:val="14"/>
          <w:szCs w:val="14"/>
          <w:color w:val="231F20"/>
        </w:rPr>
        <w:t>ten years with renewal options for two or three successive five-year periods at our discretion</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Typically, the largest portion of a store's operating expense that we bear is the cost associated with leasing the location. Our total lease payment obligations for all operating leases in existence as of December 28, 2024 was $146.3 million for fiscal 2025 and $1.5 billion in aggregate for fiscal years 2026 through 2043, and these obligations will increase as we open new stores that are leased. We are also generally responsible for property taxes, insurance and common area maintenance for our leased properties. If we are unable to make the required payments under our leases, the lenders or owners of the relevant leased properties, distribution centers or administrative offices may, among other things, repossess those assets, which could adversely affect our ability to conduct our operations. In addition, our failure to make payments under our operating leases could trigger defaults under other leases or under our 2023 Credit Agreement (defined below), which could cause the counterparties under those agreements to accelerate the obligations due thereunder.</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operating leases for our store locations, distribution centers and administrative offices expire at various dates through 2043. When the lease term for our stores expire, we may be unable to negotiate renewals, either on commercially reasonable terms or at all, which could cause us to close stores or to relocate stores within a market on less favorable terms. Any of these factors could cause us to close stores in desirable locations, which could have a material adverse impact on our results of operations.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 xml:space="preserve">Over time, current store locations may not continue to be desirable because of changes in our business strategy, demographics within the surrounding area or a decline in shopping traffic. While we have the right to terminate some of our leases under specified conditions, we may not be able to terminate a particular lease if or when we would like to do so or on commercially reasonable terms. We recently have determined to terminate an aggregate of 23 leases for unopened stores in fiscal 2025 and fiscal 2026. </w:t>
      </w:r>
      <w:r>
        <w:rPr>
          <w:rFonts w:ascii="Times New Roman" w:cs="Times New Roman" w:eastAsia="Times New Roman" w:hAnsi="Times New Roman"/>
          <w:sz w:val="14"/>
          <w:szCs w:val="14"/>
          <w:color w:val="231F20"/>
        </w:rPr>
        <w:t>See “Management's Discussion and Analysis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Condition and Results of Operations – Recent Trends and Developments – Restructuring Plan” for additional information about our Restructuring Plan. </w:t>
      </w:r>
      <w:r>
        <w:rPr>
          <w:rFonts w:ascii="Times New Roman" w:cs="Times New Roman" w:eastAsia="Times New Roman" w:hAnsi="Times New Roman"/>
          <w:sz w:val="14"/>
          <w:szCs w:val="14"/>
          <w:color w:val="000000"/>
        </w:rPr>
        <w:t>If we decide to close stores, we are generally</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required to continue to perform obligations under the applicable leases,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which generally include paying rent and operating expenses for the balance of the lease term. When we assign leases or sublease space to third parties, we may have to pay a portion of the rent and other expenses and we can remain liable on the lease obligations if the assignee or sublessee does not perform.</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If we or our IOs are unable to attract, train and retain qualified employees, our financial performance may be negatively affected. Additionally, our success depends in part on our executive officers and other key personnel.</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 xml:space="preserve">Our future growth, performance and positive customer experience depend on our and the IOs' ability to attract, train, retain and motivate qualified employees who understand and appreciate our culture and are able to represent our brand effectively and establish credibility with our business partners and customers. We and the IOs face intense competition for management personnel and hourly employees. If we and the IOs are unable to attract and retain adequate numbers of qualified employees, our operations, customer service levels and support functions could suffer. There is no assurance that we and the IOs will be able to attract or retain highly qualified employees to operate our business. In connection with the Restructuring Plan, we reduced headcount by </w:t>
      </w:r>
      <w:r>
        <w:rPr>
          <w:rFonts w:ascii="Times New Roman" w:cs="Times New Roman" w:eastAsia="Times New Roman" w:hAnsi="Times New Roman"/>
          <w:sz w:val="14"/>
          <w:szCs w:val="14"/>
          <w:color w:val="231F20"/>
        </w:rPr>
        <w:t>approximately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40 </w:t>
      </w:r>
      <w:r>
        <w:rPr>
          <w:rFonts w:ascii="Times New Roman" w:cs="Times New Roman" w:eastAsia="Times New Roman" w:hAnsi="Times New Roman"/>
          <w:sz w:val="14"/>
          <w:szCs w:val="14"/>
          <w:color w:val="000000"/>
        </w:rPr>
        <w:t>full-time employees in the first quarter of fiscal 2025. This part of the Restructuring Plan could negatively impact our or our IOs' reputation as an employer of choice and our or our IOs' ability to</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attract, train, and retain qualified employees in the future.</w:t>
      </w:r>
    </w:p>
    <w:p>
      <w:pPr>
        <w:spacing w:after="0" w:line="6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Additionally, we believe that our success depends to a significant extent on the skills, experience and efforts of our executive officers and other key personnel, and we do not maintain key person insurance on any of our key personnel. Due to the uniqueness of our model, the unexpected loss of services of any of our executive officers or other key personnel could have a material adverse effect on our business and operations. In fiscal 2024 and fiscal 2025, we completed thorough and external searches for a new Chief Financial Officer and a new President and Chief Executive Officer, respectively, following the departure of their predecessors. We utilized interim officers to serve in such capacities for a period of time as well. Competition for skilled and experienced management in our industry is intense, and we may not be successful in the future in attracting and retaining qualified personnel on a timely basis or at all. If we lose the services of our executive officers or other key personnel, or if we are unable to attract, train, assimilate, and retain the highly skilled and other personnel that we need on a timely basis or at all, our business, financial condition and results of operations could be adversely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success depends upon the successful implementation of our marketing, advertising and promotional efforts.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promote brand awareness and drive customers to shop through centralized marketing initiatives along with local IO marketing efforts. We and the IOs use marketing and promotional programs to attract customers into our stores and to encourage purchases. If we or the IOs are unable to develop and implement effective marketing, advertising and promotional strategies, we may be unable to achieve and maintain brand awareness and repeat store visits. We may not be able to advertise cost effectively in new or smaller markets in which we have fewer stores, which could slow growth at such stores. Changes in the amount and degree of promotional intensity or merchandising strategies by our competitors could cause us to have difficulties in retaining existing customers and attracting new customers. If the efficacy of our marketing or promotional activities declines or if such activities of our competitors are more effective than ours, it could have a material adverse effect on our business, financial condition and results of operations.</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While we have recently launched a mobile personalization app, which informs customers of new and top selling items, provides curated product recommendations and tracks savings, we do not maintain a traditional loyalty program for customers, and our competitors may be able to offer their customers promotions or loyalty program incentives that could result in fewer shopping trips to or purchases from our stores. If we are unable to retain the loyalty of our customers, our sales could decrease and we may not be able to grow our store base as planned, which could have a material adverse effect on our business, financial condition and results of operations. Certain of our competitors have established, long-standing mobile apps and personalized marketing. There can be no assurance that our investment in this area will be successful.</w:t>
      </w:r>
    </w:p>
    <w:p>
      <w:pPr>
        <w:spacing w:after="0" w:line="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Natural or man-made disasters, climate change, power outages, major health epidemics, pandemics, terrorist acts, global political events and other serious catastrophic events could disrupt our business, may expose us to unexpected costs and negatively affect our financial performance. The current concentration of our stores creates an exposure to local or regional impacts of such events and local economic downturns.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business has been and could in the future be severely impacted by natural or man-made disasters and unusual weather conditions (which may become more frequent due to climate change), power outages, major health epidemics, pandemics, terrorist acts, global political events and other serious catastrophic events beyond our control. In the event of a natural or man-made disaster, governments have and, in the future, may declare a state of emergency and impose regulations on business operations. These occurrences could adversely impact our business by causing direct asset or inventory losses or physical damage to our distribution centers or our stores, store closures, reduced customer traffic 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changed shopping behaviors, disruptions to production, supply and delivery of products to our stores, staffing shortages, increased costs or disruptions to our information systems and other systems.</w:t>
      </w:r>
    </w:p>
    <w:p>
      <w:pPr>
        <w:spacing w:after="0" w:line="94"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As of December 28, 2024, we operated 274 stores and distributed product from four distribution centers in California in addition to having our administrative offices in California, making California our largest market, representing 51% of our total stores. As a result, our business is currently more susceptible to any unforeseen events or circumstances of the types described above that negatively affect these areas as well as regional conditions, economic downturns or disruptions, such as changes in demographics, population and employee bases, wage increases, property tax increases, and changes in economic conditions, than the operations of more geographically diversified competitors. For example, there have been significant fires across the west coast of the United States over the last several years, causing a number of stores to be closed as well as suffer inventory losses related to power outages and evacuations. In 2018, our store in Paradise, California, burned down entirely. In early 2025, certain stores in Southern California were also impacted by fires. The frequency and severity of wildfires may increase in the future due to climate change and man-made catastrophes may increase in the future as well.</w:t>
      </w:r>
    </w:p>
    <w:p>
      <w:pPr>
        <w:spacing w:after="0" w:line="6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United States and other countries have experienced, and may experience in the future, major health epidemics and pandemics related to viruses or other pathogens. Epidemics or pandemics, or the perception that such epidemics or pandemics may occur, may cause people to avoid gathering in public places, which may adversely affect our customer traffic, our ability and that of our IOs to adequately staff our stores and operations, and our ability to transport product on a timely basis. Additionally, to the extent that a pathogen is, or is perceived to be, food-borne, the price and availability of certain food products may be impacted and could cause our customers to consume less of such product. In recent months, our gross margins have been adversely impacted by the unexpected rise in egg costs due to the Avian flu, and certain egg producers have experienced shortages, all of which we anticipate to continue in fiscal 2025.</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Furthermore, the long-term impacts of climate change are expected to be widespread and unpredictable. Climate change poses both physical risks (posed by extreme weather conditions, drought, and/or rising sea levels), and transition risks (posed by regulatory changes or reputational risks). These factors could, among other negative consequences, increase our energy costs, damage our stores or distribution centers, disrupt our supply chain, negatively impact our workforce or reputation, and increase compliance and technology costs. Any of these occurrences may disrupt our business and materially adversely affect our financial condition and results of operations and the occurrence of any of these events in a region where our stores or other operations are concentrated may increase the impact of such disruption and adverse effect.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incur losses not covered by our insurance or claims may differ from our estimates.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insurance coverage may not be sufficient, and any related insurance proceeds may not be timely paid to us. Our insurance coverage reflects deductibles, self-insured retentions, limits of liability and similar provisions that we believe are reasonable based on our operations. However, there are types of losses we may incur but against which we cannot be insured or which we believe are not economically reasonable to insure, such as losses due to acts of war, employee and certain other crime, certain wage and hour and other employment-related claims, including class actions, actions based on certain consumer protection laws and some natural and other disasters or similar events. If we incur these losses and they are material, our business could suffer. Further, injured parties with claims against our IOs may bring actions against us if our IOs failed to secure and retain adequate insurance.</w:t>
      </w:r>
    </w:p>
    <w:p>
      <w:pPr>
        <w:spacing w:after="0" w:line="58"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Certain types of events, such as earthquakes, wildfires or hurricanes, may result in sizable losses for the insurance industry and adversely impact the availability of adequate insurance coverage or result in excessive premium increases. Our retail stores located in California, and the inventory in those stores, are generally not currently insured against losses due to earthquakes. We have experienced significant challenges in renewing the insurance policies for our stores and insurers have incurred substantial losses related to property claims from fires, floods and other catastrophic events and are significantly increasing policy premiums, increasing their requirements around building engineering standards or cutting back capacity for coverage offerings to layered/quota share. For example, there have been significant fires across the west coast of the United States over the last several years. In 2018, our store in Paradise, California, burned down entirely and we have also suffered inventory losses related to power outages and evacuations due to fires. In early 2025, certain stores in Southern California were also impacted by fires. These risks may be exacerbated in the future due to climate change. To offset negative insurance market trends, we may elect to increase our self-insurance coverage, accept higher deductibles or reduce the amount of coverage.</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currently self-insure, or insure through captive insurance companies, a significant portion of expected losses under our workers' compensation, automobile liability and general liability insurance programs. Unanticipated changes in any applicable actuarial assumptions and management estimates, could result in materially different expenses than expected under these programs, which could have a material adverse effect on our results of operations and financial condition.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Labor relation difficulties could materially adversely affect our business.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Employees at two Company-operated stores are represented by the United Food and Commercial Workers Union. Our employees and those of the IOs have the right at any time to form or affiliate with a union. As we continue to grow, enter different regions and operate distribution centers, unions may attempt to organize the employees of our different IOs or our distribution centers within certain regions. If we determine to open more Company-operated stores, we may have additional employees represented by unions. We cannot predict the adverse effects that any future organizational activities will have on our business, financial condition and operating results. If we or the IOs were to become subject to work stoppages, we could experience disruption in our operations and increases in our labor costs, either of which could materially adversely affect our business, financial condition and operating results.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failure to participate effectively in the growing online retail marketplace may adversely affect our business.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During fiscal 2021 and fiscal 2022, we entered into partnerships with three third party grocery delivery companies to provide online shopping at our stores. Certain of our competitors and a number of pure online retailers have established robust online operations and significantly increased their online sales and presence in recent years.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Increased competition from online grocery retailers and our lack of a robust online retail presence may reduce our customers' desire to purchase products from us. If we decide to expand our online shopping business, we will be exposed to new risks and challenges. Furthermore, there can be no assurance that any investments that we make to expand our online shopping capabilities will result in a positive return on investment. These factors could have a material adverse effect on our business, financial condition and results of operations.</w:t>
      </w:r>
    </w:p>
    <w:p>
      <w:pPr>
        <w:spacing w:after="0" w:line="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We may, from time to time, pursue or consummate acquisitions and other transactions as part of our long-term business and real estate strategy. Any strategic acquisitions and other transactions may involve transaction and integration risks that could have a material adverse effect on our business, financial condition and results of operations, and we may not realize the anticipated benefits of any consummated transaction.</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From time to time, we may pursue or consummate acquisitions and other transactions, including material acquisitions, investments or joint venture transactions, as part of our business and real estate growth strategy to complement our current business by enhancing our customer base, geographic penetration and scale. For example, on April 1, 2024, we acquired United Grocery Outlet, which included 40 stores in six adjacent states where we did not then-operate and a distribution center.</w:t>
      </w:r>
    </w:p>
    <w:p>
      <w:pPr>
        <w:spacing w:after="0" w:line="5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Identifying, assessing, consummating and integrating a strategic acquisition or other transaction is a complex, costly and time-consuming process that is subject to significant uncertainties and risks, which may divert the attention of the management team and key personnel from our core business and adversely impact our business, financial condition and results of operations. Additionally, acquisitions and similar transactions may utilize significant liquidity and require additional equity or debt financing, and we may not have sufficient capital for our core business. The integration process also could result in: the loss of key employees; the disruption of our operations; complications in information technology and accounting systems, compliance standards, controls, and other procedures; difficulties in achieving anticipated cost savings, synergies, business opportunities and growth prospects from the acquisition; additional litigation, compliance or regulatory risks; and difficulties in the assimilation of employees and corporate cultures. Even if a target company is successfully integrated, an acquisition may fail to further our business strategy as anticipated, adversely impact our reputation, lead to impairment of our purchased goodwill and intangible assets, and expose us to additional liabilities and risks (particularly if entering into new markets or businesses where we have no or limited experience). The foregoing risks may be heightened due to our limited history in consummating strategic acquisitions and other transactions, which could have a material adverse effect on our business, financial condition and results of operations.</w:t>
      </w:r>
    </w:p>
    <w:p>
      <w:pPr>
        <w:spacing w:after="0" w:line="14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b w:val="1"/>
          <w:bCs w:val="1"/>
          <w:color w:val="231F20"/>
        </w:rPr>
        <w:t>Risks Related to Our Business Environment</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Economic conditions and other economic factors may materially adversely affect our financial performance and other aspects of our business by negatively impacting our customers' disposable income or discretionary spending, increasing our costs and expenses, affecting our ability to plan and execute our strategic initiatives, and materially adversely affecting our sales, results of operations and performance.</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General conditions in the United States and global economy that are beyond our control may materially adversely affect our business and financial performance. While we have not previously been materially adversely affected by periods of decreased consumer spending, any factor that could materially adversely affect the disposable income of our customers could decrease our customers' spending and number of trips to our stores, which could result in lower sales, increased markdowns on products, a reduction in profitability due to lower margins and may require increased selling and promotional expenses. These factors include but are not limited to unemployment, minimum wages, significant public</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health and safety events, inflation and deflation, tariffs (including those currently announced or threatened, or that may be in the future), the threat, outbreak or escalation of terrorism, military conflicts, or other hostilities and related international sanctions (such as the ongoing Russia-Ukraine or Middle East conflicts), trade wars and interest and tax rates.</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Many of the factors identified above also affect commodity rates, costs of transportation, leasing, labor, insurance and healthcare, the strength of the U.S. dollar, measures that create barriers to or increase the costs associated with international trade, changes in laws, regulations and policies and other economic factors, all of which may impact our cost of goods sold and our selling, general and administrative expenses, which could materially adversely affect our business, financial condition and results of operations. These factors could also materially adversely affect our ability to plan and execute our strategic initiatives, invest in and open new stores, prevent current stores from closing, and may have other material adverse consequences which we are unable to fully anticipate or control, all of which may materially adversely affect our sales, cash flow, results of operations and performance. We have limited or no ability to control many of these factors.</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Food retailers provide alternative options for consumers and compete aggressively to win those consumers; our failure to offer a compelling value proposition to consumers could limit our growth opportunities.</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retail food industry includes mass and discount retailers, warehouse membership clubs, online retailers, conventional grocery stores and specialty stores. These businesses provide alternative options for the consumers whom we aim to serve. Our success relative to these retailers is driven by a combination of factors, primarily product selection and quality, price, location, customer engagement and store format. Our success depends on our ability to differentiate ourselves and provide value to our customers, and our failure to do so may negatively impact our sales. To the extent that other food retailers lower prices or run promotions, our ability to maintain profit margins and sales levels may be negatively impacted. We and the IOs may have to increase marketing expense to attract customers, and may have to mark down prices to be competitive and not lose market share. This limitation may materially adversely affect our margins and financial performance. During fiscal 2024, we observed an increase in promotional and pricing activities from key competitors, which led to our increased efforts to actively negotiate costs and adjust prices to sharpen our value proposition.</w:t>
      </w:r>
    </w:p>
    <w:p>
      <w:pPr>
        <w:spacing w:after="0" w:line="6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Competition for customers has intensified as other discount food retailers, such as Aldi, Lidl and WinCo have moved into, or increased their presence in, our geographic and product markets. We expect this competition to continue to increase. In addition, we experience high levels of competition when we enter new markets. Some of the other food retailers may have been in the region longer and may benefit from enhanced brand recognition in such regions. Some food retailers may have greater financial or marketing resources than the IOs do and may be able to devote greater resources to sourcing, promoting and selling their products than the IOs. As competition in certain regions intensifies, or we move into new regions or other food retailers open stores in close proximity to our stores, we may experience a loss of sales, decrease in market share, reduction in margin from competitive price changes or greater operating costs.</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If consumer trends move toward private label and away from name-brand products, our competitive position in the market may weaken. Additionally, our private label brands may not be successful and may increase certain risks that we face.</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business model has traditionally relied on the sale of name-brand products at meaningful discounts to drive frequent store visits and net sales. Consumer acceptance of, and even preference for, private label products has been increasing, however, and a trend away from name-brand products could weaken our competitive position in the market. Private label products tend to be lower priced than name-brand products and, as a result, we may have more difficulty competing against private label products on the basis of price. We began to introduce private label products in our stores during the third quarter of fiscal 2024. While we continue to invest in developing and selling our own private labels, there can be no assurance that the performance of our private label products will be sufficient to offset the potential decreased sales of name-brand products. In addition, as we continue to invest in and deploy our private label products, we may become subject to various new risks and regulations including product liability claims, claims related to product labeling, claims related to rights of third parties and other risks associated with entities that source, sell and market exclusive private label offerings for retailers. Any failure to appropriately address some or all of these risks could have a material adverse effect on our sales, business, results of operations and financial condition.</w:t>
      </w:r>
    </w:p>
    <w:p>
      <w:pPr>
        <w:spacing w:after="0" w:line="14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231F20"/>
        </w:rPr>
        <w:t>Risks Related to Our IO Model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we are unable to attract and retain qualified IOs, our financial performance may be negatively affected.</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future growth and performance depend on our ability to attract, develop and retain qualified IOs who can effectively and efficiently run stores, understand and appreciate our culture and are able to represent our brand effectively,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in particular because the vast majority of our IOs operate a single store. A material decrease in profitability of the IOs may make it more difficult for us to attract and retain qualified IOs. </w:t>
      </w:r>
      <w:r>
        <w:rPr>
          <w:rFonts w:ascii="Times New Roman" w:cs="Times New Roman" w:eastAsia="Times New Roman" w:hAnsi="Times New Roman"/>
          <w:sz w:val="14"/>
          <w:szCs w:val="14"/>
          <w:color w:val="231F20"/>
        </w:rPr>
        <w:t>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relationship with the IOs is an important part of our business. To alleviate the significant disruption caused by our system upgrades, we elected to provide commission support to IOs beginning in the third quarter of fiscal 2023 and extending through fiscal 2024. We continue to provide minimal commission support to IOs for inventory shrink.</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While we use a variety of methods to attract and develop the IOs, including through our AOT program, there can be no assurance that we will continue to be able to recruit and retain a sufficient number of qualified AOTs and other candidates to open successful new locations in order to meet our growth targets. Our ability to maintain our current performance and achieve future growth additionally depends on the IOs' ability to meet their labor needs while controlling wage and labor-related costs. Stores in some of our markets are located in geographic areas where we have limited or no meaningful brand recognition, which can make store performance and IO recruitment more difficult.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the IOs are not successful in managing their business, our financial results and brand image could be negatively affected.</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financial health and operational effectiveness of the IOs is critical to their and our success. The IOs are business entities owned by entrepreneurs who generally live in the same community as the store that they operate as our independent contractor. IOs are responsible for operating their store consistent with our brand standards, hiring and supervising store-level employees, merchandising and selling products, conducting local marketing, connecting with their community and complying with applicable laws, and managing and paying the expenses associated with their business. Recently, the costs incurred for many IOs to run their businesses have increased, including insurance, utilities and labor costs.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Although we select IOs through a rigorous vetting and training process, and continue to help IOs develop their business skills after they enter into an Operator Agreement with us, it is difficult to predict in advance whether a particular IO will be successful. If an IO is unable to successfully establish, manage and operate the store, their store's performance and quality of service could be materially adversely affected. In addition, any poor performance could negatively affect our financial results and our brand reputation.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Failure of the IOs to repay IO Notes outstanding to us may materially adversely affect our financial performance.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extend financing to IOs for their initial startup costs in the form of IO Notes payable to us that bear interest at rates between 4.50% and 9.95%. There can be no assurance that any IO, will achieve long-term store volumes or profitability that will allow them to repay any amounts due under outstanding IO Notes, nor is there any assurance that any IO will be able to repay such amounts due through other means.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outstanding aggregate balance of notes receivable from IOs has increased over time as we have historically accelerated new store growth combined with increases to initial IO capital and working capital requirements. This balance may continue to increase as we open new stores. There were $46.9 million and $41.1 million of IO Notes outstanding as of December 28, 2024 and December 30, 2023, respectively, with allowances of $11.8 million and $11.2 million as of December 28, 2024 and December 30, 2023,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the IOs are unable to avoid excess inventory shrink, our business and results of operations may be adversely affected.</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IOs order merchandise solely from us, which we, in turn, deliver to IOs on a consignment basis. As a result, we retain ownership of all merchandise until the point in time that merchandise is sold to a customer. The IOs, however, are responsible for inventory management at their stores. Any spoiled, damaged or stolen merchandise, markdowns or price changes impact gross profit and, therefore, IO commission. We generally split these losses equally with IOs, however, excessive levels of shrink are deducted from commissions paid to IOs. Excessive shrink generally indicates poor inventory management and the IO's failure to use due care to secure their store against theft. If IOs were to not effectively control or manage inventory in their stores, they could experience higher rates of inventory shrink which could have a material adverse effect on their financial health, which in turn, may materially and adversely affect our business and results of operations.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Operator Agreements may be terminated by either party and upon short notice, and any loss or changeover of an IO may cause material business disruptions.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Each Operator Agreement is subject to termination by either party without cause upon 75 days' notice. We may also terminate immediately "for cause." The "for cause" termination triggers include, among other things, a failure to meet our brand standards, misuse of our trademarks and actions that in our reasonable business judgment threaten to harm our business reputation.</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If we or an IO terminates the Operator Agreement then we must approve a new IO for that store. Any IO changeover consumes substantial time and resources. Often, a changeover will involve more than one transition, as an IO may move from an existing store, thereby creating an opening at the IO's previous store. A failure to transition a store successfully to another IO can negatively impact the customer experience or compromise our brand standards. Termination of an Operator Agreement could therefore result in the reduction of our sales and operating cash flow, and may materially adversely affect our business, financial condition and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 initiated against the IOs could materially impact our business, reputation, financial condition, results of operations and cash flows.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and the IOs are subject to a variety of litigation risks, including, but not limited to, individual personal injury, product liability, intellectual property, employment-related actions, litigation with or involving our relationship with IOs and property disputes and other legal actions in the ordinary course of our respective businesses. If the IOs are unable to provide an adequate remedy in a legal action, the plaintiffs may attempt to hold us liable. We maintain that under current applicable laws and regulations we are not joint employers with the IOs, and should not be held liable for their actions. However, these types of claims may increase costs and affect the scope and terms of insurance or indemnifications we and the IOs may have.</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Operator Agreements require each IO to maintain certain insurance types and levels. Losses arising from certain extraordinary hazards, employment matters or other matters, however, may not be covered, and insurance may not be available (or may be available only at prohibitively expensive rates) with respect to many other risks, or IOs may fail to procure the required insurance. Moreover, any loss incurred could exceed policy limits and policy payments made to IOs may not be made on a timely basis.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Any legal actions against the IOs may negatively affect the reputation of our brand, which could result in a reduction of our sales and operating cash flow, which could be material and which could adversely affect our business, financial condition and results of operations.</w:t>
      </w:r>
    </w:p>
    <w:p>
      <w:pPr>
        <w:spacing w:after="0" w:line="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In the past, certain business models that use independent contractors to sell directly to customers have been subject to challenge under various laws, including laws relating to franchising, misclassification and joint employment. If our business model is determined to be a franchise, if IOs are found not to be independent contractors, but our employees, or if we are found to be a joint employer of an IO's employees, our business and operations could be materially adversely affected.</w:t>
      </w:r>
    </w:p>
    <w:p>
      <w:pPr>
        <w:spacing w:after="0" w:line="5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The IOs are independent contractors. Independent contractors and the companies that engage their services have come under increased legal and regulatory scrutiny in recent years as courts have adopted new standards for these classifications and federal legislators continue to introduce legislation concerning the classification of independent contractors as employees, including legislation that proposes to increase the tax and labor penalties against employers who intentionally or unintentionally misclassify employees as independent contractors and are found to have violated employees' overtime or wage requirements. Federal and state tax and other regulatory authorities and courts apply a variety of standards in their determination of independent contractor status. For example, the California state legislature enacted AB-5, which became effective in California on January 1, 2020. AB-5 codified a new test for determining worker classification that is much narrower than the traditional standard in defining the scope of who is classified as an independent contractor. There has been limited guidance to date regarding interpretation or enforcement, and there is a significant degree of uncertainty regarding its application. In addition, AB-5 has been the subject of widespread national discussion and it is possible that other jurisdictions may enact similar laws. There is a risk that a governmental agency or court could disagree with our assessment that IOs are independent contractors or that other laws and regulations could change. If any IOs were determined to be our employees, we would incur additional exposure under federal and state tax, workers' compensation, unemployment benefits, labor, employment, environmental and tort laws, which could potentially include prior periods, as well as potential liability for employee benefits and tax withholdings.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Even if IOs are properly classified as independent contractors, there is a risk that a governmental agency or court might disagree with our assessment that each IO is the sole employer of its workers and seek to hold us jointly and separately responsible as a co-employer of an IO's workers. In this case, we would incur additional exposure under federal and state tax, workers' compensation, unemployment benefits, labor, employment and tort laws, which could potentially include prior periods, as well as potential liability for employee benefits and tax withholdings since joint employers are each separately responsible for their co-employees' benefits. A misclassification ruling would mean that both IOs and IOs' employees are our employees.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continue to observe and monitor our compliance with current applicable laws and regulations, but we cannot predict whether laws and regulations adopted in the future, or standards adopted by the courts, regarding the classification of independent contractors will materially adversely affect our business or operations. Further, if we were to become subject to franchise laws or regulations, it would require us to provide additional disclosures, register with state franchise agencies, impact our ability to terminate our Operator Agreements and may increase the expense of, or adversely impact our recruitment of new IOs.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success depends on our ability to maintain positive relationships with the IOs and any failure to maintain our relationships on positive terms could materially adversely affect our business, reputation, financial condition and results of operations.</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IOs develop and operate their stores under terms set forth in our Operator Agreements. These agreements give rise to relationships that involve a complex set of mutual obligations and depend on mutual cooperation and trust. We have a standard Operator Agreement that we use with the IOs, which contributes to uniformity of brand standards. We generally have positive relationships with the IOs, based in part on our common understanding of our mutual rights and obligations under the Operator Agreement. However, we and the IOs may not always maintain a positive relationship or always interpret the Operator Agreement in the same way. Our failure to maintain positive relationships with the IOs could individually or in the aggregate cause us to change or limit our business practices, which may make our business model less attractive to the IOs or stockholders or more costly to operate. Active and/or potential disputes with IOs could damage our brand image and reputation.</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success of our business depends in large part on our ability to maintain IOs in profitable stores. If we fail to maintain our IO relationships on acceptable terms, or if one or more of the more profitable IOs were to terminate their Operator Agreements, become insolvent or otherwise fail to comply with brand standards, our business, reputation, financial condition and results of operations could be materially and adversely affected.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IOs could take actions that could harm our business.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IOs are contractually obligated to operate their stores in accordance with the brand standards set forth in the Operator Agreements. However, IOs are independent contractors whom we do not control. The IOs operate and oversee the daily operations of their stores and have sole control over all of their employees and other workforce decisions. As a result, IOs make decisions independent of us that bear directly on the ultimate success and performance of their store. Nevertheless, the nature of the brand license creates a symbiotic relationship between our outcome and each IO. Indeed, because we and each of the IOs associate our separate businesses with the Grocery Outlet name and brand reputation, the failure of any IO to comply with our brand standards could potentially have repercussions that extend beyond that IO's own market area and materially adversely affect not only our business, but the business of other IOs and the general brand image and reputation of the Grocery Outlet name. This, in turn, could materially and adversely affect our business and operating results. If any particular IO operates a store in a manner inconsistent with our brand standards, we cannot assure you that we will be able to terminate the Operator Agreement of that IO without disruptions to the operations and sales of that IO's store or other stores.</w:t>
      </w:r>
    </w:p>
    <w:p>
      <w:pPr>
        <w:spacing w:after="0" w:line="14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Risks Related to Our Information Technology Systems, Data Protection and Cybersecurity</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Any material challenges or difficulties in maintaining or updating our existing technology, including developing or implementing new technology could have a material adverse effect on our business or results of operations.</w:t>
      </w:r>
    </w:p>
    <w:p>
      <w:pPr>
        <w:spacing w:after="0" w:line="37"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modify, update and replace our systems and infrastructure from time to time, including by adding new hardware, software and applications; maintaining, updating or replacing legacy programs; converting to global systems; integrating new service providers; and adding enhanced or new functionality, such as cloud computing technologies. In late August 2023, we replaced components of our enterprise resource planning system, including our financial ledger, inventory management platform and product data warehouse system. The implementation of these system upgrades resulted in significant ordering and inventory disruptions during fiscal 2023 and fiscal 2024. These disruptions negatively impacted net sales and gross margin in fiscal 2023 and fiscal 2024. These implementation issues also contributed to our material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weakness in our internal control over financial reporting, as discussed in "Item 9A. Controls and Procedures" of this Form 10-K. If we experience ongoing disruptions with these updates and/or are unable to remediate our material weakness in the future, such events could have a material adverse effect on our business, prospects, results of operations, financial condition and/or cash flows.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Further, the time, staffing and other resources required to implement or optimize the benefits of new technology initiatives, or potential issues that arise in implementing such initiatives, could reduce the efficiency of our operations in the short term. The efficient operation and successful growth of our business depend upon our information systems, including our ability to operate, maintain and develop them effectively. A failure of those systems could disrupt our business, subject us to liability, damage our reputation, or otherwise impact our financial results.</w:t>
      </w:r>
    </w:p>
    <w:p>
      <w:pPr>
        <w:spacing w:after="0" w:line="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Any failure to maintain the security of information we hold relating to personal information or payment card data of our customers, employees and suppliers, whether as a result of cybersecurity attacks or otherwise, could subject us to litigation, government enforcement actions and costly response measures, and could materially disrupt our operations and harm our reputation and sales.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we and the IOs collect, store, process, use and transmit confidential business information and certain personal information relating to customers, employees and suppliers. All customer payment data is encrypted, and we do not store such data in our systems. We rely in part on commercially available systems, software, hardware, services, tools and monitoring to provide security for collection, storage, processing and transmission of personal and/or confidential information. It is possible that cyber attackers might compromise our security measures and obtain the personal and/or confidential information of the customers, employees and suppliers that we hold or our business information.</w:t>
      </w:r>
    </w:p>
    <w:p>
      <w:pPr>
        <w:spacing w:after="0" w:line="5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Moreover, an employee, contractor or third party with whom we work or to whom we outsource business operations may fail to monitor their or our systems effectively, may fail to maintain appropriate safeguards, may misuse the personal and/or confidential information to which they have access, may attempt to circumvent our security measures, may purposefully or inadvertently allow unauthorized access to our or their systems or to personal and/or confidential information or may otherwise disrupt our business operations. We and our customers could suffer harm if valuable business data or employee, customer and other proprietary information were corrupted, lost or accessed or misappropriated by third parties due to a security failure in our systems or those of our suppliers or service providers. It could require significant expenditures to remediate any such failure or breach, severely damage our reputation and our relationships with customers and suppliers, result in unwanted media attention and lost sales and expose us to risks of litigation and liability. In addition, as a result of recent security breaches and ransomware attacks at a number of prominent retailers, the media and public scrutiny of information security and privacy has become more intense and the regulatory environment has become increasingly uncertain, rigorous and complex. As with most companies, we have experienced cyber-attacks, attempts to breach our systems and other similar incidents, none of which were material in fiscal 2024. As a result, we have incurred significant costs and will continue to incur such costs to monitor and safeguard our systems. We may incur significant costs if there is an unauthorized disclosure of personal information and we may not be able to comply with new regulations.</w:t>
      </w:r>
    </w:p>
    <w:p>
      <w:pPr>
        <w:spacing w:after="0" w:line="65"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addition, various federal, state and foreign legislative and regulatory bodies, or self-regulatory organizations, may expand current laws or regulations, enact new laws or regulations or issue revised rules or guidance regarding privacy, data protection, information security and consumer protection. For example, the California Consumer Privacy Act ("CCPA"), which became effective on January 1, 2020, established a new privacy framework for covered businesses. In November 2021, California voters passed Proposition 24, also known as the California Privacy Rights Act ("CPRA"), which amends and expands the CCPA. The CCPA and CPRA provide new and enhanced data privacy rights to California residents, such as giving California consumers and employees the right to access and/or delete their personal information, affording consumers and employees the right to opt out of certain sales of personal information, as well as sharing for cross context behavioral advertising, and prohibiting covered businesses from discriminating against consumers (e.g., charging more for services) for exercising any of their CCPA/CPRA rights. The CPRA went into effect January 1, 2023 and added definitions for "sensitive information" as well as "contractors," and bolstered the requirements for agreements that cover the exchange of data. CPRA also established a California Privacy Protection Agency, which is responsible for enforcement activities, rulemaking, and public awareness related to privacy and data protection. Any failure to comply with the laws and regulations surrounding the protection of personal information, privacy and data security could subject us to legal and reputational risks and costs, including significant fines for non-compliance, any of which could have a negative impact on revenues and profits.</w:t>
      </w:r>
    </w:p>
    <w:p>
      <w:pPr>
        <w:spacing w:after="0" w:line="6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Because we and the IOs accept payments using a variety of methods, including cash and checks, credit and debit cards, EBT cards and gift cards, we may be subject to additional rules, regulations, compliance requirements and higher fraud losses. For certain payment methods, we or the IOs pay interchange and other related card acceptance fees, along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with additional transaction processing fees. We and the IOs rely on third parties to provide payment transaction processing services, including the processing of credit cards, debit cards, EBT cards and gift cards, and it could disrupt our business if these companies become unwilling or unable to provide these services to us, experience a data security incident or fail to comply with applicable laws, rules and industry standards.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are also subject to payment card association operating rules, including data security rules, certification requirements and rules governing electronic funds transfers, which could change over time. For example, we and the IOs are subject to Payment Card Industry Data Security Standards, which contain compliance guidelines and standards with regard to our security surrounding the physical and electronic storage, processing and transmission of individual cardholder data. In addition, if our internal systems are breached or compromised, we and the IOs may be liable for card re-issuance costs, subject to fines and higher transaction fees and lose our ability to accept credit and/or debit card payments from our customers, and our business and operating results could be materially adversely affected.</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Security breaches and other disruptions to our information technology networks and systems, including a disruption related to cybersecurity, could interfere with our operations and the operations of the IOs and our suppliers, any of which could have a material adverse effect on our business and financial performance.</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Cyber-attacks are rapidly evolving and becoming more frequent. Such threats and the means for obtaining access to information in digital and other storage media are becoming increasingly sophisticated and may not immediately produce signs of intrusion. A cyber-incident could be caused by malicious outsiders (including state-sponsored espionage or cyberwarfare) or insiders using sophisticated methods to circumvent firewalls, encryption and other security defenses. Because techniques used to obtain unauthorized access or to sabotage systems change frequently and generally are not recognized until they are launched against a target, we may be unable to anticipate these techniques or to implement adequate preventative measures. With more employees working remotely at times, there may be increased opportunities for unauthorized access and cyber-attacks. Further, the United States government has warned of the potential risk of Russian cyberattacks stemming from the ongoing Russian-Ukraine conflict.</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It is possible that cyber attackers might compromise our security measures and obtain the personal and/or confidential information of the customers, IOs, employees and suppliers that we hold or our business information. Moreover, such cyber-attacks may disrupt access to our and/or our suppliers' networks and systems. Such disruptions could result in delays or cancellations of customer orders or delays or interruptions in the shipment of orders. In addition, cyber-attacks may cause us to incur significant remediation costs, result in delays and disruptions to key business operations, and divert the attention of management and key information technology resources. These cyber-incidents could also subject us to liability, expose us to significant expense, and cause significant harm to our reputation and our business. Additionally, we are exposed to vulnerabilities with respect to our IO's information technology systems.</w:t>
      </w:r>
    </w:p>
    <w:p>
      <w:pPr>
        <w:spacing w:after="0" w:line="58"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rely on the integrity, security and consistent operation of a variety of information technology systems and back-up systems for the efficient functioning of our business, including point of sale, inventory management, purchasing, financials, logistics, accounts payable and human resources information systems. Such systems are subject to damage or interruption from power outages, facility damage, computer and telecommunications failures, computer viruses, cybersecurity breaches, cyber-attacks (including malicious codes, worms, phishing and denial of service attacks and ransomware), software upgrade failures or code defects, natural disasters and human error. Damage or interruption to, or defects of design related to, these systems or the integration of such systems may require a significant investment to fix or replace, and we may suffer disruptions in our operations in the interim, loss or corruption of critical data and negative publicity, all of which could have a material adverse effect on our business or results of operations. Although we have taken steps designed to reduce the risk of these events occurring, there can be no guarantee that we or a third party on which we rely will not suffer one of these events. While we maintain cyber risk insurance intended to provide coverage in the event of a breach or other data security incident, there can be no assurance that these policies will cover all incidents that might occur or that the coverage limits under such policies will be adequate for any incidents, claims or damages that we might experience.</w:t>
      </w:r>
    </w:p>
    <w:p>
      <w:pPr>
        <w:spacing w:after="0" w:line="14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Legal and Regulatory Risks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Real or perceived concerns that products we and the IOs sell could cause unexpected side effects, illness, injury or death could expose us to lawsuits and harm our reputation, which could result in unexpected costs.</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discussed under "Regulations" in "Item 1. Business," we and the IOs are subject to regulation by various federal agencies. If our products do not meet applicable safety standards or our customers' expectations regarding safety, we could experience lost sales, increased costs, litigation or reputational harm. Any lost confidence on the part of our customers would be difficult and costly to reestablish. Issues regarding the quality or safety of any food items sold by us, regardless of the cause, could have a substantial and adverse effect on our sales and operating results, as well as our reputation.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There is increasing governmental scrutiny, regulation of and public awareness of food safety. Unexpected side effects, illness, injury or death caused by products we and the IOs sell or involving suppliers that supply us with products could result in the discontinuance of sales of these products or our relationship with such suppliers or prevent us from achieving market acceptance of the affected products. We cannot be sure that consumption or use of our products will not cause side effects, illness, injury or death in the future, as product deficiencies might not be identified before we sell such products to our customers.</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also may be subject to claims, lawsuits or government investigations relating to such matters resulting in costly product recalls and other liabilities that could materially adversely affect our business and results of operations. Even if a product liability claim is unsuccessful or is not fully pursued, negative publicity could materially adversely affect our reputation with existing and potential customers and our corporate and brand image, and these effects could persist over the long term. Any claims brought against us may exceed our existing or future insurance policy coverage or limits. Any judgment against us that is in excess of our policy limits would have to be paid from our cash reserves, which would reduce our capital resources. Further, we may not have sufficient capital resources to pay a judgment, in which case our creditors could levy against our assets.</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We are subject to laws and regulations generally applicable to retailers. Compliance with, failure to comply with, or changes to such laws and regulations could have a material adverse effect on our business and financial performance.</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business is subject to numerous and frequently changing federal, state and local laws and regulations. We routinely incur significant costs in complying with these regulations. The complexity of the regulatory environment in which we and the IOs operate and the related cost of compliance are increasing due to additional legal and regulatory requirements, our expanding operation and increased enforcement efforts and the future application of certain of these legal requirements to our business may be uncertain. New or existing laws, regulations and policies, liabilities arising thereunder and the related interpretations and enforcement practices, particularly those dealing with environmental protection and compliance, climate change, wage and hour and other employment-related laws, taxation, zoning and land use, workplace safety, public health, community right-to-know, product safety or labeling, food safety, alcohol and beverage sales, vitamin and supplements, information security and privacy, among others, may result in significant added expenses or may require extensive system and operating changes that may be difficult to implement and/or could materially increase our cost of doing business. For example, we or the IOs have had to comply with recent new laws in many of the states or counties in which we operate regarding recycling, waste, minimum wages, sick time, vacation, plastic bag and straw bans and sugar taxes. In addition, we and the IOs are subject to environmental laws, including but not limited to hazardous waste laws, and regulations related to refrigeration and stormwater, pursuant to which we and/or the IOs could be strictly and jointly and severally liable, regardless of our knowledge of or responsibility.</w:t>
      </w:r>
    </w:p>
    <w:p>
      <w:pPr>
        <w:spacing w:after="0" w:line="23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 xml:space="preserve">Approximately 9% of sales in fiscal </w:t>
      </w:r>
      <w:r>
        <w:rPr>
          <w:rFonts w:ascii="Times New Roman" w:cs="Times New Roman" w:eastAsia="Times New Roman" w:hAnsi="Times New Roman"/>
          <w:sz w:val="14"/>
          <w:szCs w:val="14"/>
          <w:color w:val="231F20"/>
        </w:rPr>
        <w:t>2024</w:t>
      </w:r>
      <w:r>
        <w:rPr>
          <w:rFonts w:ascii="Times New Roman" w:cs="Times New Roman" w:eastAsia="Times New Roman" w:hAnsi="Times New Roman"/>
          <w:sz w:val="14"/>
          <w:szCs w:val="14"/>
          <w:color w:val="auto"/>
        </w:rPr>
        <w:t xml:space="preserve"> were in the form of EBT payments and a substantial portion of these payments may be related to benefits associated with the SNAP. Accordingly, changes in EBT regulations by the U.S. Department of Agriculture or in SNAP benefits by Congress could adversely affect our financial performance. The registration and ongoing compliance requirements for SNAP participation are fairly complex and each of the IOs holds their registration under the name of their business entity and is responsible for ensuring their employees consistently comply with all SNAP rules. Failure to comply can result in de-registration by USDA which, for stores located in areas with high percentages of SNAP customers, can have a significant negative financial impact.</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cannot assure you that we or the IOs will comply promptly and fully with all laws, regulations, policies and the related interpretations that apply to our stores. Untimely compliance or noncompliance with applicable regulations or untimely or incomplete execution of a required product recall, can result in the imposition of penalties (including loss of licenses, eligibility to accept certain government benefits such as SNAP or significant fines or monetary penalties), civil or criminal liability, damages, class action litigation or other litigation, in addition to reputational damage. Even with adequate insurance and indemnification, any claims of non-compliance could significantly damage our reputation and consumer confidence in the products we sell. In addition, the failure of such products to comply with applicable regulatory and legislative requirements could prevent us from marketing the products or require us to recall or remove such products from our stores.</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Legal proceedings from customers, suppliers, employees, governments or competitors could materially impact our business, reputation, financial condition, results of operations and cash flows.</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From time to time, we are subject to allegations, and may be party to legal claims and regulatory proceedings, relating to our business operations. Such allegations, claims and proceedings may be brought by third parties, including our customers, suppliers, employees, governmental or regulatory bodies or competitors, and may include class actions. In recent years, companies have experienced an increase in the number of significant discrimination and harassment and wage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and hour claims generally. The outcome of litigation, particularly class action lawsuits, is difficult to assess or quantify. Plaintiffs in these types of lawsuits may seek recovery of very large or indeterminate amounts, and the magnitude of the potential loss relating to such lawsuits may remain unknown for substantial periods of time. While our IOs and suppliers may indemnify us for certain adverse outcomes, we may still bear significant expenses related to such proceedings.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Risks Associated with Our Indebtedness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substantial indebtedness could materially adversely affect our financial condition and our ability to operate our business, react to changes in the economy or industry or pay our debts and meet our obligations under our debt and could divert our cash flow from operations for debt payments.</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entered into a Credit Agreement on February 21, 2023 with Bank of America, N.A. (the "2023 Credit Agreement") under which we have a significant amount of indebtedness. The 2023 Credit Agreement provides for senior secured credit facilities consisting of (i) a senior secured term loan facility of $300.0 million, of which $288.8 million was outstanding as of December 28, 2024, and (ii) a senior secured revolving credit facility of $400.0 million, of which $190.0 million was outstanding in aggregate as of December 28, 2024 and $205.5 million was available after giving effect to outstanding letters of credit.</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addition, subject to limited restrictions in our 2023 Credit Agreement, we may be able to incur substantial additional debt in the future.</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substantial debt could have important consequences to you, including the following:</w:t>
      </w:r>
    </w:p>
    <w:p>
      <w:pPr>
        <w:spacing w:after="0" w:line="50" w:lineRule="exact"/>
        <w:rPr>
          <w:sz w:val="20"/>
          <w:szCs w:val="20"/>
          <w:color w:val="auto"/>
        </w:rPr>
      </w:pPr>
    </w:p>
    <w:p>
      <w:pPr>
        <w:ind w:left="640" w:hanging="253"/>
        <w:spacing w:after="0"/>
        <w:tabs>
          <w:tab w:leader="none" w:pos="64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it may be difficult for us to satisfy our obligations, including debt service requirements under our outstanding debt, resulting in possible defaults on and acceleration of such indebtedness;</w:t>
      </w:r>
    </w:p>
    <w:p>
      <w:pPr>
        <w:spacing w:after="0" w:line="16" w:lineRule="exact"/>
        <w:rPr>
          <w:rFonts w:ascii="Arial" w:cs="Arial" w:eastAsia="Arial" w:hAnsi="Arial"/>
          <w:sz w:val="17"/>
          <w:szCs w:val="17"/>
          <w:color w:val="auto"/>
        </w:rPr>
      </w:pPr>
    </w:p>
    <w:p>
      <w:pPr>
        <w:ind w:left="640" w:hanging="253"/>
        <w:spacing w:after="0"/>
        <w:tabs>
          <w:tab w:leader="none" w:pos="64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we may be unable to obtain additional financing or refinance our existing debt on commercially reasonable terms, or at all;</w:t>
      </w:r>
    </w:p>
    <w:p>
      <w:pPr>
        <w:spacing w:after="0" w:line="28" w:lineRule="exact"/>
        <w:rPr>
          <w:rFonts w:ascii="Arial" w:cs="Arial" w:eastAsia="Arial" w:hAnsi="Arial"/>
          <w:sz w:val="17"/>
          <w:szCs w:val="17"/>
          <w:color w:val="auto"/>
        </w:rPr>
      </w:pPr>
    </w:p>
    <w:p>
      <w:pPr>
        <w:ind w:left="640" w:hanging="253"/>
        <w:spacing w:after="0" w:line="223" w:lineRule="auto"/>
        <w:tabs>
          <w:tab w:leader="none" w:pos="636"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a substantial portion of cash flow from operations may be dedicated to debt payments, reducing cash available to fund operations, capital expenditures, business opportunities, acquisitions and other purposes;</w:t>
      </w:r>
    </w:p>
    <w:p>
      <w:pPr>
        <w:spacing w:after="0" w:line="7" w:lineRule="exact"/>
        <w:rPr>
          <w:rFonts w:ascii="Arial" w:cs="Arial" w:eastAsia="Arial" w:hAnsi="Arial"/>
          <w:sz w:val="17"/>
          <w:szCs w:val="17"/>
          <w:color w:val="auto"/>
        </w:rPr>
      </w:pPr>
    </w:p>
    <w:p>
      <w:pPr>
        <w:ind w:left="640" w:hanging="253"/>
        <w:spacing w:after="0"/>
        <w:tabs>
          <w:tab w:leader="none" w:pos="64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we may need to refinance our debt, sell material assets or operations or raise additional debt or equity capital to service our debt and meet our other commitments;</w:t>
      </w:r>
    </w:p>
    <w:p>
      <w:pPr>
        <w:spacing w:after="0" w:line="16" w:lineRule="exact"/>
        <w:rPr>
          <w:rFonts w:ascii="Arial" w:cs="Arial" w:eastAsia="Arial" w:hAnsi="Arial"/>
          <w:sz w:val="17"/>
          <w:szCs w:val="17"/>
          <w:color w:val="auto"/>
        </w:rPr>
      </w:pPr>
    </w:p>
    <w:p>
      <w:pPr>
        <w:ind w:left="640" w:hanging="253"/>
        <w:spacing w:after="0"/>
        <w:tabs>
          <w:tab w:leader="none" w:pos="64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we are more vulnerable to economic downturns and adverse industry conditions and our flexibility to plan for, or react to, changes in our business or industry is more limited; and</w:t>
      </w:r>
    </w:p>
    <w:p>
      <w:pPr>
        <w:spacing w:after="0" w:line="16" w:lineRule="exact"/>
        <w:rPr>
          <w:rFonts w:ascii="Arial" w:cs="Arial" w:eastAsia="Arial" w:hAnsi="Arial"/>
          <w:sz w:val="17"/>
          <w:szCs w:val="17"/>
          <w:color w:val="auto"/>
        </w:rPr>
      </w:pPr>
    </w:p>
    <w:p>
      <w:pPr>
        <w:ind w:left="640" w:hanging="253"/>
        <w:spacing w:after="0"/>
        <w:tabs>
          <w:tab w:leader="none" w:pos="64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capitalize on business opportunities and to react to competitive pressures, as compared to our competitors, may be compromised.</w:t>
      </w:r>
    </w:p>
    <w:p>
      <w:pPr>
        <w:spacing w:after="0" w:line="6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ability to make payments on our debt and to fund planned capital expenditures depends on our ability to generate cash in the future, which to some extent is subject to general economic, financial, competitive, legislative, regulatory and other factors that are beyond our control. If we incur additional debt above the levels currently in effect, including utilizing the availability under our revolving credit facility, the risks associated with our leverage, including those described above, would increase.</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Furthermore, all of our debt under our 2023 Credit Agreement bears interest at variable rates. If these rates were to increase significantly, as they did in fiscal 2022, whether because of an increase in market interest rates or otherwise, our ability to borrow additional funds may be reduced and the risks related to our substantial debt would intensify.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Restrictive covenants in our 2023 Credit Agreement may restrict our ability to pursue our business strategies, and failure to comply with any of these restrictions could result in acceleration of our debt.</w:t>
      </w:r>
    </w:p>
    <w:p>
      <w:pPr>
        <w:spacing w:after="0" w:line="37"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operating and financial restrictions and covenants in our 2023 Credit Agreement may materially adversely affect our ability to finance future operations or capital needs or to engage in other business activities. Such restrictions and covenants limit our ability, among other things, to:</w:t>
      </w:r>
    </w:p>
    <w:p>
      <w:pPr>
        <w:spacing w:after="0" w:line="17" w:lineRule="exact"/>
        <w:rPr>
          <w:sz w:val="20"/>
          <w:szCs w:val="20"/>
          <w:color w:val="auto"/>
        </w:rPr>
      </w:pPr>
    </w:p>
    <w:p>
      <w:pPr>
        <w:ind w:left="640" w:hanging="253"/>
        <w:spacing w:after="0"/>
        <w:tabs>
          <w:tab w:leader="none" w:pos="64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incur additional debt or issue certain preferred shares;</w:t>
      </w:r>
    </w:p>
    <w:p>
      <w:pPr>
        <w:spacing w:after="0" w:line="48" w:lineRule="exact"/>
        <w:rPr>
          <w:rFonts w:ascii="Arial" w:cs="Arial" w:eastAsia="Arial" w:hAnsi="Arial"/>
          <w:sz w:val="17"/>
          <w:szCs w:val="17"/>
          <w:color w:val="auto"/>
        </w:rPr>
      </w:pPr>
    </w:p>
    <w:p>
      <w:pPr>
        <w:ind w:left="640" w:hanging="253"/>
        <w:spacing w:after="0"/>
        <w:tabs>
          <w:tab w:leader="none" w:pos="64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pay dividends on or make distributions in respect of our common stock or make other restricted payments;</w:t>
      </w:r>
    </w:p>
    <w:p>
      <w:pPr>
        <w:spacing w:after="0" w:line="48" w:lineRule="exact"/>
        <w:rPr>
          <w:rFonts w:ascii="Arial" w:cs="Arial" w:eastAsia="Arial" w:hAnsi="Arial"/>
          <w:sz w:val="17"/>
          <w:szCs w:val="17"/>
          <w:color w:val="auto"/>
        </w:rPr>
      </w:pPr>
    </w:p>
    <w:p>
      <w:pPr>
        <w:ind w:left="640" w:hanging="253"/>
        <w:spacing w:after="0"/>
        <w:tabs>
          <w:tab w:leader="none" w:pos="64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make certain investments;</w:t>
      </w:r>
    </w:p>
    <w:p>
      <w:pPr>
        <w:spacing w:after="0" w:line="59" w:lineRule="exact"/>
        <w:rPr>
          <w:rFonts w:ascii="Arial" w:cs="Arial" w:eastAsia="Arial" w:hAnsi="Arial"/>
          <w:sz w:val="17"/>
          <w:szCs w:val="17"/>
          <w:color w:val="auto"/>
        </w:rPr>
      </w:pPr>
    </w:p>
    <w:p>
      <w:pPr>
        <w:ind w:left="640" w:hanging="253"/>
        <w:spacing w:after="0"/>
        <w:tabs>
          <w:tab w:leader="none" w:pos="64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sell certain assets;</w:t>
      </w:r>
    </w:p>
    <w:p>
      <w:pPr>
        <w:spacing w:after="0" w:line="48" w:lineRule="exact"/>
        <w:rPr>
          <w:rFonts w:ascii="Arial" w:cs="Arial" w:eastAsia="Arial" w:hAnsi="Arial"/>
          <w:sz w:val="17"/>
          <w:szCs w:val="17"/>
          <w:color w:val="auto"/>
        </w:rPr>
      </w:pPr>
    </w:p>
    <w:p>
      <w:pPr>
        <w:ind w:left="640" w:hanging="253"/>
        <w:spacing w:after="0"/>
        <w:tabs>
          <w:tab w:leader="none" w:pos="64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create liens on certain assets to secure debt;</w:t>
      </w:r>
    </w:p>
    <w:p>
      <w:pPr>
        <w:spacing w:after="0" w:line="48" w:lineRule="exact"/>
        <w:rPr>
          <w:rFonts w:ascii="Arial" w:cs="Arial" w:eastAsia="Arial" w:hAnsi="Arial"/>
          <w:sz w:val="17"/>
          <w:szCs w:val="17"/>
          <w:color w:val="auto"/>
        </w:rPr>
      </w:pPr>
    </w:p>
    <w:p>
      <w:pPr>
        <w:ind w:left="640" w:hanging="253"/>
        <w:spacing w:after="0"/>
        <w:tabs>
          <w:tab w:leader="none" w:pos="64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consolidate, merge, sell or otherwise dispose of all or substantially all of our assets;</w:t>
      </w:r>
    </w:p>
    <w:p>
      <w:pPr>
        <w:spacing w:after="0" w:line="48" w:lineRule="exact"/>
        <w:rPr>
          <w:rFonts w:ascii="Arial" w:cs="Arial" w:eastAsia="Arial" w:hAnsi="Arial"/>
          <w:sz w:val="17"/>
          <w:szCs w:val="17"/>
          <w:color w:val="auto"/>
        </w:rPr>
      </w:pPr>
    </w:p>
    <w:p>
      <w:pPr>
        <w:ind w:left="640" w:hanging="253"/>
        <w:spacing w:after="0"/>
        <w:tabs>
          <w:tab w:leader="none" w:pos="64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make certain payments in respect of certain junior debt obligations;</w:t>
      </w:r>
    </w:p>
    <w:p>
      <w:pPr>
        <w:spacing w:after="0" w:line="48" w:lineRule="exact"/>
        <w:rPr>
          <w:rFonts w:ascii="Arial" w:cs="Arial" w:eastAsia="Arial" w:hAnsi="Arial"/>
          <w:sz w:val="17"/>
          <w:szCs w:val="17"/>
          <w:color w:val="auto"/>
        </w:rPr>
      </w:pPr>
    </w:p>
    <w:p>
      <w:pPr>
        <w:ind w:left="640" w:hanging="253"/>
        <w:spacing w:after="0"/>
        <w:tabs>
          <w:tab w:leader="none" w:pos="64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enter into certain transactions with our affiliates; and</w:t>
      </w:r>
    </w:p>
    <w:p>
      <w:pPr>
        <w:spacing w:after="0" w:line="59" w:lineRule="exact"/>
        <w:rPr>
          <w:rFonts w:ascii="Arial" w:cs="Arial" w:eastAsia="Arial" w:hAnsi="Arial"/>
          <w:sz w:val="17"/>
          <w:szCs w:val="17"/>
          <w:color w:val="auto"/>
        </w:rPr>
      </w:pPr>
    </w:p>
    <w:p>
      <w:pPr>
        <w:ind w:left="640" w:hanging="253"/>
        <w:spacing w:after="0"/>
        <w:tabs>
          <w:tab w:leader="none" w:pos="64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4"/>
          <w:szCs w:val="14"/>
          <w:color w:val="auto"/>
        </w:rPr>
        <w:t>designate one or more of our subsidiaries as an unrestricted subsidiary.</w:t>
      </w:r>
    </w:p>
    <w:p>
      <w:pPr>
        <w:spacing w:after="0" w:line="7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 breach of any of these covenants could result in a default under our 2023 Credit Agreement. Upon the occurrence of an event of default under our 2023 Credit Agreement, the lenders could elect to declare all amounts outstanding under our 2023 Credit Agreement to be immediately due and payable and terminate all commitments to extend further credit. If we were unable to repay those amounts, these lenders could proceed against the collateral granted to them to secure that indebtedness. We have pledged a significant portion of our assets as collateral to secure our 2023 Credit Agreement. Our future operating results may not be sufficient to enable compliance with the financial performance covenants in our 2023 Credit Agreement, and we may not have sufficient assets to repay amounts outstanding under our 2023 Credit Agreement. In addition, in the event of an acceleration of our debt upon a default, we may not have or be able to obtain sufficient funds to make any accelerated payments.</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Furthermore, the terms of any future indebtedness we may incur could have further additional restrictive covenants. We may not be able to maintain compliance with these covenants in the future, and in the event that we are not able to maintain compliance, we cannot assure you that we will be able to obtain waivers from the lenders or amend the covenants.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Risks Related to Accounting, Tax and Financial Statement Matters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Tax matters, including changes in tax laws, our ability to use deferred tax assets, and the impact of tax audits, could have a material adverse effect on our business, financial condition and results of operations.</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are subject to taxes in the United States under federal, state and local jurisdictions in which we operate. We compute our income tax provision based on enacted federal and state tax rates. The governing tax laws and applicable tax rates vary by jurisdiction and are subject to interpretation and macroeconomic, political and other factors. For example, the recent changes in the U.S. Presidential administration and Congress may lead to tax law changes. Further, the ultimate amount of tax payable in a given financial statement period may be impacted by sudden or unforeseen changes in tax laws, changes in the mix and level of earnings by taxing jurisdiction, or changes to existing accounting rules or regulations. Accordingly, the determination of our overall provision for income tax and other taxes is inherently uncertain as it requires significant judgement around complex transactions and calculations. As a result, fluctuations in our ultimate obligations may differ materially from amounts recorded in our financial statements and could adversely affect our business, financial condition and results of operations in the periods where such determination is made.</w:t>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addition, an increasing number of states and local jurisdictions are considering or have adopted laws that impose new tax measures, including revenue-based taxes and other tax measures.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Should similar tax measures succeed in other jurisdictions in which we operate, we expect that our operating expenses will increase.</w:t>
      </w:r>
    </w:p>
    <w:p>
      <w:pPr>
        <w:spacing w:after="0" w:line="7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As of December 28, 2024, we had tax-effected Federal and State net operating loss deferred tax assets of $25.1 million and $1.0 million, respectively. Our ability to use our deferred tax assets is dependent on our ability to generate future earnings within the operating loss carry-forward periods. The $25.1 million tax effected Federal deferred tax asset does not expire and will carryforward indefinitely. The tax effected State deferred tax assets of $1.0 million will expire beginning in 2034. Some or all of our deferred tax assets could expire unused if we are unable to generate taxable income in the future sufficient to utilize the deferred tax asset, or we enter into transactions that limit our right to use it. If a material portion of our deferred tax asset expires unused, it could have a material adverse effect on our future business,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results of operations, financial condition and the value of our common stock. Furthermore, we are required by accounting rules to periodically assess our deferred tax assets for a valuation allowance, if necessary. In performing these assessments, we use our historical financial performance to determine whether we have potential valuation allowance concerns and as evidence to support our assumptions about future financial performance. A significant decline in our financial performance could negatively affect the results of our assessments of the recoverability of our deferred tax assets. A valuation allowance against our deferred tax assets could be material and could have a material adverse impact on our financial condition and results of operations.</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may be subject to examinations in the future by federal, state and local authorities on income, employment, sales and other tax matters which may result in assessments of additional taxes. Various tax authorities may disagree with tax positions we take and if any such tax authorities were to successfully challenge one or more of our tax positions, the results could adversely affect our financial condition. We may engage in litigation regarding such matters, which may be time consuming and expensive and may not be successful. While we regularly assess the likelihood of adverse outcomes resulting from such examinations and the adequacy of our provision for taxes, there can be no assurance that such provision is sufficient and that a determination by a tax authority would not have an adverse effect on our business, financial condition and results of operations.</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Changes in accounting rules or interpretations thereof, changes to underlying legal agreements as well as other factors applicable to our analysis of the IO entities as variable interest entities could significantly impact our ability to issue our financial statements on a timely basis.</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 accordance with the variable interest entities sub-section of Accounting Standards Codification Topic 810, Consolidation, we assess during each of our reporting periods whether we are considered the primary beneficiary of a variable interest entity ("VIE") and therefore are required to consolidate the VIE in our financial statements. We have concluded that the IO entities represent VIEs. However, we have concluded we are not such VIE's primary beneficiary and, accordingly, we do not consolidate the IO entities' financial information. Changes in accounting rules or interpretations thereof, changes to the underlying Operator Agreements (as defined elsewhere in this report) as well as other factors that may impact the economic performance of the IO entities which may be relevant to our analysis of whether to consolidate the IO entities as VIEs could significantly impact our ability to issue our financial statements on a timely basis if, as a result, we are determined to be the primary beneficiary of the IO entities and should consolidate such entities. For example, collecting the requisite accounting data from certain of our IO entities in order to consolidate their financial information would involve substantial time, effort and cost.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Risks Related to Our Common Stock</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Our quarterly operating results fluctuate and may fall short of prior periods, our projections or the expectations of securities analysts or investors. The market price of our common stock has been volatile and may continue to fluctuate substantially, due to fluctuations in our operating results or otherwise, which could result in substantial losses for purchasers of our common stock.</w:t>
      </w:r>
    </w:p>
    <w:p>
      <w:pPr>
        <w:spacing w:after="0" w:line="51"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Our operating results have fluctuated from quarter to quarter at points in the past and they may do so in the future. Therefore, results of any one fiscal quarter are not a reliable indication of results to be expected for any other fiscal quarter or for any year. If we fail to control costs, appropriately adjust costs to actual results, increase our results over prior periods, achieve our projected results, or meet the expectations of securities analysts or investors, our stock price may decline, and the decrease in the stock price may be disproportionate to the shortfall in our financial performance.</w:t>
      </w:r>
    </w:p>
    <w:p>
      <w:pPr>
        <w:spacing w:after="0" w:line="22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 xml:space="preserve">During fiscal </w:t>
      </w:r>
      <w:r>
        <w:rPr>
          <w:rFonts w:ascii="Times New Roman" w:cs="Times New Roman" w:eastAsia="Times New Roman" w:hAnsi="Times New Roman"/>
          <w:sz w:val="14"/>
          <w:szCs w:val="14"/>
          <w:color w:val="231F20"/>
        </w:rPr>
        <w:t>2024,</w:t>
      </w:r>
      <w:r>
        <w:rPr>
          <w:rFonts w:ascii="Times New Roman" w:cs="Times New Roman" w:eastAsia="Times New Roman" w:hAnsi="Times New Roman"/>
          <w:sz w:val="14"/>
          <w:szCs w:val="14"/>
          <w:color w:val="auto"/>
        </w:rPr>
        <w:t xml:space="preserve"> our common stock has traded at prices as low as $13.60 and as high as $29.19. The market price volatility of our common stock may continue due to fluctuations in our quarterly operating results or in response to other factors (regardless of our actual operating performance) included in this Risk Factors section and due to the following:</w:t>
      </w:r>
    </w:p>
    <w:p>
      <w:pPr>
        <w:spacing w:after="0" w:line="71" w:lineRule="exact"/>
        <w:rPr>
          <w:sz w:val="20"/>
          <w:szCs w:val="20"/>
          <w:color w:val="auto"/>
        </w:rPr>
      </w:pPr>
    </w:p>
    <w:p>
      <w:pPr>
        <w:ind w:left="640" w:hanging="253"/>
        <w:spacing w:after="0" w:line="238" w:lineRule="auto"/>
        <w:tabs>
          <w:tab w:leader="none" w:pos="636"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expectations as to our future financial performance, including guidance, if any, that we provide to the public, any changes in this guidance or our failure to meet this guidance, investment recommendations by securities analysts and investors or if securities analysts do not publish research or reports about our business;</w:t>
      </w:r>
    </w:p>
    <w:p>
      <w:pPr>
        <w:spacing w:after="0" w:line="48" w:lineRule="exact"/>
        <w:rPr>
          <w:rFonts w:ascii="Arial" w:cs="Arial" w:eastAsia="Arial" w:hAnsi="Arial"/>
          <w:sz w:val="17"/>
          <w:szCs w:val="17"/>
          <w:color w:val="auto"/>
        </w:rPr>
      </w:pPr>
    </w:p>
    <w:p>
      <w:pPr>
        <w:ind w:left="640" w:hanging="253"/>
        <w:spacing w:after="0"/>
        <w:tabs>
          <w:tab w:leader="none" w:pos="64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declines in the market prices of stocks generally, changes in general economic or market conditions or trends in our industry or markets;</w:t>
      </w:r>
    </w:p>
    <w:p>
      <w:pPr>
        <w:spacing w:after="0" w:line="48" w:lineRule="exact"/>
        <w:rPr>
          <w:rFonts w:ascii="Arial" w:cs="Arial" w:eastAsia="Arial" w:hAnsi="Arial"/>
          <w:sz w:val="17"/>
          <w:szCs w:val="17"/>
          <w:color w:val="auto"/>
        </w:rPr>
      </w:pPr>
    </w:p>
    <w:p>
      <w:pPr>
        <w:ind w:left="640" w:hanging="253"/>
        <w:spacing w:after="0"/>
        <w:tabs>
          <w:tab w:leader="none" w:pos="64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strategic actions or announcements by us, our competitors or other third parties;</w:t>
      </w:r>
    </w:p>
    <w:p>
      <w:pPr>
        <w:spacing w:after="0" w:line="59" w:lineRule="exact"/>
        <w:rPr>
          <w:rFonts w:ascii="Arial" w:cs="Arial" w:eastAsia="Arial" w:hAnsi="Arial"/>
          <w:sz w:val="17"/>
          <w:szCs w:val="17"/>
          <w:color w:val="auto"/>
        </w:rPr>
      </w:pPr>
    </w:p>
    <w:p>
      <w:pPr>
        <w:ind w:left="640" w:hanging="253"/>
        <w:spacing w:after="0"/>
        <w:tabs>
          <w:tab w:leader="none" w:pos="64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business or regulatory conditions;</w:t>
      </w:r>
    </w:p>
    <w:p>
      <w:pPr>
        <w:spacing w:after="0" w:line="48" w:lineRule="exact"/>
        <w:rPr>
          <w:rFonts w:ascii="Arial" w:cs="Arial" w:eastAsia="Arial" w:hAnsi="Arial"/>
          <w:sz w:val="17"/>
          <w:szCs w:val="17"/>
          <w:color w:val="auto"/>
        </w:rPr>
      </w:pPr>
    </w:p>
    <w:p>
      <w:pPr>
        <w:ind w:left="640" w:hanging="253"/>
        <w:spacing w:after="0"/>
        <w:tabs>
          <w:tab w:leader="none" w:pos="64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additions or departures of key management personnel;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left="640" w:hanging="253"/>
        <w:spacing w:after="0"/>
        <w:tabs>
          <w:tab w:leader="none" w:pos="64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investor perceptions of the investment opportunity associated with our common stock relative to other investment alternatives; and</w:t>
      </w:r>
    </w:p>
    <w:p>
      <w:pPr>
        <w:spacing w:after="0" w:line="48" w:lineRule="exact"/>
        <w:rPr>
          <w:rFonts w:ascii="Arial" w:cs="Arial" w:eastAsia="Arial" w:hAnsi="Arial"/>
          <w:sz w:val="17"/>
          <w:szCs w:val="17"/>
          <w:color w:val="auto"/>
        </w:rPr>
      </w:pPr>
    </w:p>
    <w:p>
      <w:pPr>
        <w:ind w:left="640" w:hanging="253"/>
        <w:spacing w:after="0"/>
        <w:tabs>
          <w:tab w:leader="none" w:pos="64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the development and sustainability of an active trading market for our stock.</w:t>
      </w:r>
    </w:p>
    <w:p>
      <w:pPr>
        <w:spacing w:after="0" w:line="7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Price volatility may be greater if the public float and trading volume of our common stock are low. In the past, following periods of market volatility, stockholders have instituted securities class action litigation. If we are involved in securities litigation, it could have a substantial cost and divert resources and the attention of executive management from our business regardless of the outcome of such litigation.</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Furthermore, we currently do not expect to declare any dividends on our common stock in the foreseeable future. In addition, because we are a holding company, our ability to pay dividends on our common stock may be limited by restrictions on our ability to obtain sufficient funds through dividends from our subsidiaries, including restrictions under our Credit Agreement, and may be further restricted by the terms of any future debt or preferred securities. Your only opportunity to achieve a return on your investment currently is if the price of our common stock appreciates.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Future sales, or the perception of future sales, by us or our existing significant stockholders in the public market could cause the market price for our common stock to decline.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Future sales of shares of our common stock by our existing significant stockholders in the public market, or the perception that such sales could occur, could harm the prevailing market price of shares of our common stock and might make it more difficult for us to sell equity securities in the future at a time and at a price that we deem appropriate.</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Further, any issuance of additional equity securities by us may result in additional dilution to you.</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Provisions in our organizational documents could delay or prevent a change of control.</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Certain provisions of our amended and restated certificate of incorporation and amended and restated bylaws may have the effect of delaying or preventing a merger, acquisition, tender offer, takeover attempt or other change of control transaction that a stockholder might consider to be in its best interest, including attempts that might result in a premium over the market price of our common stock.</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These provisions provide for, among other things:</w:t>
      </w:r>
    </w:p>
    <w:p>
      <w:pPr>
        <w:spacing w:after="0" w:line="72" w:lineRule="exact"/>
        <w:rPr>
          <w:sz w:val="20"/>
          <w:szCs w:val="20"/>
          <w:color w:val="auto"/>
        </w:rPr>
      </w:pPr>
    </w:p>
    <w:p>
      <w:pPr>
        <w:ind w:left="640" w:hanging="253"/>
        <w:spacing w:after="0"/>
        <w:tabs>
          <w:tab w:leader="none" w:pos="64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the division of our Board into three classes (which provision sunsets in 2026);</w:t>
      </w:r>
    </w:p>
    <w:p>
      <w:pPr>
        <w:spacing w:after="0" w:line="49" w:lineRule="exact"/>
        <w:rPr>
          <w:rFonts w:ascii="Arial" w:cs="Arial" w:eastAsia="Arial" w:hAnsi="Arial"/>
          <w:sz w:val="17"/>
          <w:szCs w:val="17"/>
          <w:color w:val="auto"/>
        </w:rPr>
      </w:pPr>
    </w:p>
    <w:p>
      <w:pPr>
        <w:ind w:left="640" w:hanging="253"/>
        <w:spacing w:after="0" w:line="223" w:lineRule="auto"/>
        <w:tabs>
          <w:tab w:leader="none" w:pos="636"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the ability of our Board to issue one or more series of preferred stock with powers, preferences and rights that may be senior or on parity with our common stock, which may reduce its value and could have the effect of impeding the success of an attempt to acquire us or otherwise effect a change of control;</w:t>
      </w:r>
    </w:p>
    <w:p>
      <w:pPr>
        <w:spacing w:after="0" w:line="7" w:lineRule="exact"/>
        <w:rPr>
          <w:rFonts w:ascii="Arial" w:cs="Arial" w:eastAsia="Arial" w:hAnsi="Arial"/>
          <w:sz w:val="17"/>
          <w:szCs w:val="17"/>
          <w:color w:val="auto"/>
        </w:rPr>
      </w:pPr>
    </w:p>
    <w:p>
      <w:pPr>
        <w:ind w:left="640" w:hanging="253"/>
        <w:spacing w:after="0"/>
        <w:tabs>
          <w:tab w:leader="none" w:pos="64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advance notice for nominations of directors by stockholders and for stockholders to include matters to be considered at stockholder meetings; and</w:t>
      </w:r>
    </w:p>
    <w:p>
      <w:pPr>
        <w:spacing w:after="0" w:line="37" w:lineRule="exact"/>
        <w:rPr>
          <w:rFonts w:ascii="Arial" w:cs="Arial" w:eastAsia="Arial" w:hAnsi="Arial"/>
          <w:sz w:val="17"/>
          <w:szCs w:val="17"/>
          <w:color w:val="auto"/>
        </w:rPr>
      </w:pPr>
    </w:p>
    <w:p>
      <w:pPr>
        <w:ind w:left="640" w:hanging="253"/>
        <w:spacing w:after="0"/>
        <w:tabs>
          <w:tab w:leader="none" w:pos="64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certain limitations on convening special stockholder meetings.</w:t>
      </w:r>
    </w:p>
    <w:p>
      <w:pPr>
        <w:spacing w:after="0" w:line="71"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These provisions could make it more difficult for a third party to acquire us, even if the third-party's offer may be considered beneficial by many of our stockholders. As a result, our stockholders may be limited in their ability to obtain a premium for their shares.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Our amended and restated bylaws provide, subject to limited exceptions, that the Court of Chancery of the State of Delaware and, to the extent enforceable, the federal district courts of the United States of America will be the sole and exclusive forums for certain stockholder litigation matters, which could limit our stockholders' ability to obtain a favorable judicial forum for disputes with us or our directors, officers or employees.</w:t>
      </w:r>
    </w:p>
    <w:p>
      <w:pPr>
        <w:spacing w:after="0" w:line="5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amended and restated bylaws provide, subject to limited exceptions, that unless we consent in writing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of our company to the Company or our stockholders, (iii) action asserting a claim against the Company or any director, officer or other employee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officer or other employee of the Company governed by the internal affairs doctrine. These provisions shall not apply to suits brought to enforce a duty or liability created by the Securities Exchange Act of 1934, as amended (the "Exchange Act") or any other claim for which the federal courts have exclusive jurisdiction. Unless we consent in writing to the selections of an alternative forum, the federal district courts of the United States of America shall be the exclusive forum for the resolution of any complaint asserting a cause of action arising under the Securities Act of 1933, as amended (the "Securities Act"), subject to and contingent upon a final adjudication in the State of Delaware of the enforceability of such exclusive forum provision. Any person or entity purchasing or otherwise acquiring any interest in shares of our capital stock shall be deemed to have notice of and consented to the forum provisions in our amended and restated bylaws.</w:t>
      </w:r>
    </w:p>
    <w:p>
      <w:pPr>
        <w:spacing w:after="0" w:line="65"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These choice of forum provisions may limit a stockholder's ability to bring a claim in a different judicial forum, including one that it may find favorable or convenient for disputes with us or any of our directors, officers or other employees which may discourage lawsuits with respect to such claims. Alternatively, if a court were to find the choice of forum provisions that will be contained in our amended and restated bylaws to be inapplicable or unenforceable with respect to one or more of the specified types of actions or proceedings,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Assessing, identifying and managing data security, privacy and cybersecurity related risks are integrated into our overall enterprise risk management ("ERM") process, which considers all strategic, operational, compliance and financial risks across the organization. Our ERM process is conducted on an annual basis by our internal audit team through feedback from senior management, certain functional leaders and certain members of the Board. Risks are categorized as low, medium and high risks based on a quantitative and qualitative evaluation of how each risk could impact the Company's operations, current objectives and long-term strategies. Each high risk is assigned to a member of senior management as the risk owner and the Board or a Board Committee for oversight, with the risk owner developing a risk mitigation plan that is tracked to completion. Low and medium risks are subject to various levels of internal monitoring. The annual risk assessment is reviewed with the Audit and Risk Committee of the Board and the Board.</w:t>
      </w:r>
    </w:p>
    <w:p>
      <w:pPr>
        <w:spacing w:after="0" w:line="6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Audit and Risk Committee is responsible for the oversight of data security, privacy and cybersecurity related risks. Our Chief Information Officer ("CIO") has a PGDip in Computer Science, an MBA, a Master of Mathematics and over 20 years of experience in senior leadership information technology and cybersecurity oversight roles, including within the retail industry. Our CIO reports to our Chief Operations Officer who also has decades of information technology experience, including with retailers such as Walmart, Inc., Family Dollar Stores, Inc. and Gap, Inc. Under the direction of our information technology department, we have implemented policies and controls in line with the requirements of the International Organization for Standardization and have assessed our cybersecurity maturity levels against the National Institute of Standards and Technology framework to set appropriate standards and guidelines. We monitor and remediate threats through our managed detection and response, and our vulnerability management programs. We provide regular employee communications and mandatory training, periodically review our incident response and breach notification plan, and leverage third-party expertise for testing, assessments and improvements. We have an onboarding and periodic security review process of all third-party vendors who have or will have access to our confidential information. We also have established business continuity disaster recovery plans that are designed to limit downtime and data loss in the event of a security breach.</w:t>
      </w:r>
    </w:p>
    <w:p>
      <w:pPr>
        <w:spacing w:after="0" w:line="23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we have increased our remote workforce in recent years, the Audit and Risk Committee and management have focused on enhancing the security of remote access with trusted devices, endpoint security controls and infrastructure resiliency. As part of this process, we enhanced our security incident response procedures to address risks specific to remote working conditions. We continue to monitor and take reasonable actions intended to improve our security posture with process improvement, testing, simulation training and investments where necessary and appropriate for us.</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have a written incident response plan that is implemented by our cybersecurity incident response team, comprised of members of our information security, legal, human resources, finance and communications teams, and whose function is to respond to any such incident, define and seek to control the extent of the incident, assess and take reasonable actions intended to remediate any damage caused, and implement measures designed to prevent future reoccurrences. The materiality of any cybersecurity incident is evaluated by senior management, including the legal and finance departments, and, in certain circumstances by our third-party advisors. We periodically perform simulations (referred to as tabletop exercises) at a management level with external resources and advisors.</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face a number of cybersecurity risks in connection with our business. Although such risks have not materially affected us, including our results of operations or financial condition, in fiscal 2024 and recent years, we have, from time to time, experienced threats to and attempted breaches of our data and systems, including malware and computer virus attacks. In the future, we may not be successful in preventing or mitigating a cybersecurity incident that could ultimately have a material adverse effect on our business, operations and financial performance. We carry cyber risk insurance that we believe provides protection against a breach or other data security incident, but such insurance may not be sufficient, and any related insurance proceeds may not be timely paid to us. For more information about the cybersecurity risks we face, see the risk factors under the heading entitled "Risks Related to our Information Technology Systems, Data Protection and Cybersecurity" in "Item 1A. Risk Factors" of this Form 10-K.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231F20"/>
        </w:rPr>
        <w:t xml:space="preserve">As of December 28, 2024, we leased 532 of our 533 stores and each of our self-operated distribution centers and warehouse facilities. The one remaining store was owned by an IO. Our stores are located in </w:t>
      </w:r>
      <w:r>
        <w:rPr>
          <w:rFonts w:ascii="Times New Roman" w:cs="Times New Roman" w:eastAsia="Times New Roman" w:hAnsi="Times New Roman"/>
          <w:sz w:val="14"/>
          <w:szCs w:val="14"/>
          <w:color w:val="000000"/>
        </w:rPr>
        <w:t>California (274), Washington (74), Oregon (61), Pennsylvania (35), Tennessee (24), Idaho (15), Maryland (12), Nevada (11), North Carolina (9), New Jersey (7), Georgia (4), Ohio (3),</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Alabama (1), Delaware (1), Kentucky (1) and Virginia (1). </w:t>
      </w:r>
      <w:r>
        <w:rPr>
          <w:rFonts w:ascii="Times New Roman" w:cs="Times New Roman" w:eastAsia="Times New Roman" w:hAnsi="Times New Roman"/>
          <w:sz w:val="14"/>
          <w:szCs w:val="14"/>
          <w:color w:val="231F20"/>
        </w:rPr>
        <w:t>Our initial lease terms for store locations are typically ten years with options to renew for two or three successive five-year periods. As of</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December 28, 2024, our 533 total stores averaged approximately 14,000 square feet on the sales floor. Our corporate headquarters, located in Emeryville, California, is leased under an agreement that expires in 2028, with an option to renew for a five-year period. We self-operate four primary distribution centers, one of which we are in process of relocating to a new distribution center space with a lease commencement in February 2025. Including the relocated distribution center, our primary distribution centers range from approximately 100,000 square feet to approximately 700,000 square feet. Including options to renew, our primary distribution centers have leases expiring between 2025 and 2037.</w:t>
      </w:r>
    </w:p>
    <w:p>
      <w:pPr>
        <w:spacing w:after="0" w:line="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believe that our corporate and distribution center facilities are in good operating condition and adequate to support the current needs of our business. We intend to continue to invest in our distribution and logistics infrastructure in order to support our anticipated store growth over the long term, including as we enter new geographies.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 xml:space="preserve">From time to time, we may be party to legal proceedings that arise in the ordinary course of our business, some of which may be covered by insurance. Except as discussed below, management believes that we do not have any pending legal proceeding that, separately or in the aggregate, would have a material adverse effect on our results of operations, financial condition or cash flows. No material legal proceedings were terminated, settled or otherwise resolved during the 13 weeks ended </w:t>
      </w:r>
      <w:r>
        <w:rPr>
          <w:rFonts w:ascii="Times New Roman" w:cs="Times New Roman" w:eastAsia="Times New Roman" w:hAnsi="Times New Roman"/>
          <w:sz w:val="14"/>
          <w:szCs w:val="14"/>
          <w:color w:val="231F20"/>
        </w:rPr>
        <w:t>December 28, 2024.</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On January 30, 2025, a federal securities class action lawsuit was filed in the United States District Court in the Northern District of California against Grocery Outlet Holding Corp. and certain of its former officers purportedly on behalf of purchasers of our common stock between November 7, 2023 and May 7, 2024. The lawsuit alleges that the defendants violated federal securities laws by making materially false and misleading statements and/or failing to disclose material adverse facts regarding our transition to new and upgraded internal systems. The lawsuit seeks remedies under the Exchange Act, including an undisclosed amount of monetary damages, interest, fees and other costs. We intend to defend the lawsuit vigorously.</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In addition, SEC regulations require us to disclose information about certain environmental proceedings if we reasonably believe that such proceedings may result in monetary sanctions above a stated threshold. Pursuant to SEC regulations, we use a threshold of $1.0 million for purposes of determining whether disclosure of any such proceedings is required.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for Common Stock</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principal market on which our common stock is traded is the Nasdaq Global Select Market under the symbol "GO."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Equiniti Trust Company, LLC is the transfer agent and registrar for our common stock. As of February 20, 2025, there were 9 stockholders of record of our common stock. A substantially greater number of stockholders are "street name" or beneficial holders, whose shares are held of record by banks, brokers and other financial institutions.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currently do not expect to declare any dividends on our common stock in the foreseeable future. Instead, we anticipate that all of our earnings in the foreseeable future will be used to provide working capital, to support our operations, to finance our share repurchases and the growth and development of our business and to reduce our net debt. Any determination to declare dividends in the future will be at the discretion of our Board, subject to applicable laws, and will be dependent on a number of factors, including our earnings, capital requirements and overall financial condition. In addition, because we are a holding company, our ability to pay dividends on our common stock may be limited by restrictions on our ability to obtain sufficient funds through dividends from our subsidiaries. Further, our ability to pay dividends on our common stock is subject to restrictions under our 2023 Credit Agreement, and may be further restricted by the terms of any future debt or preferred securities. See NOTE 6— Long-term Debt to our Consolidated Financial Statements for additional information about our 2023 Credit Agreement.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graph shows a comparison of cumulative total return (equal to stock appreciation plus dividends) from December 28, 2019 through December 28, 2024 for:</w:t>
      </w:r>
    </w:p>
    <w:p>
      <w:pPr>
        <w:spacing w:after="0" w:line="94"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Grocery Outlet Holding Corp.</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Nasdaq Global Market Composite Index</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Nasdaq US Benchmark Retailers Index</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318135</wp:posOffset>
            </wp:positionV>
            <wp:extent cx="4210685" cy="256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10685"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12/28/2019</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1/2/2021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1/1/2022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12/30/2023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12/28/2024</w:t>
            </w:r>
          </w:p>
        </w:tc>
        <w:tc>
          <w:tcPr>
            <w:tcW w:w="0" w:type="dxa"/>
            <w:vAlign w:val="bottom"/>
          </w:tcPr>
          <w:p>
            <w:pPr>
              <w:spacing w:after="0"/>
              <w:rPr>
                <w:sz w:val="1"/>
                <w:szCs w:val="1"/>
                <w:color w:val="auto"/>
              </w:rPr>
            </w:pPr>
          </w:p>
        </w:tc>
      </w:tr>
      <w:tr>
        <w:trPr>
          <w:trHeight w:val="235"/>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Grocery Outlet Holding Corp.</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w:t>
            </w: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Nasdaq Global Market Composite</w:t>
            </w:r>
          </w:p>
        </w:tc>
        <w:tc>
          <w:tcPr>
            <w:tcW w:w="2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4"/>
                <w:szCs w:val="14"/>
                <w:color w:val="auto"/>
              </w:rPr>
            </w:pPr>
          </w:p>
        </w:tc>
        <w:tc>
          <w:tcPr>
            <w:tcW w:w="3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147.68</w:t>
            </w:r>
          </w:p>
        </w:tc>
        <w:tc>
          <w:tcPr>
            <w:tcW w:w="100" w:type="dxa"/>
            <w:vAlign w:val="bottom"/>
          </w:tcPr>
          <w:p>
            <w:pPr>
              <w:spacing w:after="0"/>
              <w:rPr>
                <w:sz w:val="14"/>
                <w:szCs w:val="14"/>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109.53</w:t>
            </w:r>
          </w:p>
        </w:tc>
        <w:tc>
          <w:tcPr>
            <w:tcW w:w="80" w:type="dxa"/>
            <w:vAlign w:val="bottom"/>
          </w:tcPr>
          <w:p>
            <w:pPr>
              <w:spacing w:after="0"/>
              <w:rPr>
                <w:sz w:val="14"/>
                <w:szCs w:val="14"/>
                <w:color w:val="auto"/>
              </w:rPr>
            </w:pPr>
          </w:p>
        </w:tc>
        <w:tc>
          <w:tcPr>
            <w:tcW w:w="2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80" w:type="dxa"/>
            <w:vAlign w:val="bottom"/>
          </w:tcPr>
          <w:p>
            <w:pPr>
              <w:spacing w:after="0"/>
              <w:rPr>
                <w:sz w:val="14"/>
                <w:szCs w:val="14"/>
                <w:color w:val="auto"/>
              </w:rPr>
            </w:pPr>
          </w:p>
        </w:tc>
        <w:tc>
          <w:tcPr>
            <w:tcW w:w="2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80" w:type="dxa"/>
            <w:vAlign w:val="bottom"/>
          </w:tcPr>
          <w:p>
            <w:pPr>
              <w:spacing w:after="0"/>
              <w:rPr>
                <w:sz w:val="14"/>
                <w:szCs w:val="14"/>
                <w:color w:val="auto"/>
              </w:rPr>
            </w:pPr>
          </w:p>
        </w:tc>
        <w:tc>
          <w:tcPr>
            <w:tcW w:w="2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51.65</w:t>
            </w: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Index</w:t>
            </w:r>
          </w:p>
        </w:tc>
        <w:tc>
          <w:tcPr>
            <w:tcW w:w="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Nasdaq US Benchmark Retailers</w:t>
            </w:r>
          </w:p>
        </w:tc>
        <w:tc>
          <w:tcPr>
            <w:tcW w:w="26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147.65</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172.04</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118.60</w:t>
            </w:r>
          </w:p>
        </w:tc>
        <w:tc>
          <w:tcPr>
            <w:tcW w:w="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136.50</w:t>
            </w:r>
          </w:p>
        </w:tc>
        <w:tc>
          <w:tcPr>
            <w:tcW w:w="8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156.59</w:t>
            </w:r>
          </w:p>
        </w:tc>
        <w:tc>
          <w:tcPr>
            <w:tcW w:w="0" w:type="dxa"/>
            <w:vAlign w:val="bottom"/>
          </w:tcPr>
          <w:p>
            <w:pPr>
              <w:spacing w:after="0"/>
              <w:rPr>
                <w:sz w:val="1"/>
                <w:szCs w:val="1"/>
                <w:color w:val="auto"/>
              </w:rPr>
            </w:pPr>
          </w:p>
        </w:tc>
      </w:tr>
      <w:tr>
        <w:trPr>
          <w:trHeight w:val="17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Index</w:t>
            </w:r>
          </w:p>
        </w:tc>
        <w:tc>
          <w:tcPr>
            <w:tcW w:w="26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required to provide a line-graph presentation comparing cumulative stockholder returns on an indexed basis with a broad equity market index and either a published industry index or an index of peer companies selected by us. We have selected the Nasdaq Global Market Composite Index for the broad equity market index and the Nasdaq US Benchmark Retailers Index as the published industry index.</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51"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initial investment of $100.00 at our closing stock price on December 28, 2019. Total return includes reinvestment of dividends.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accounting period end date ends on a day that is not a trading day, the preceding trading day is used.</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included under the heading "Stock Performance Graph" in Item 5 of this Form 10-K is "furnished" and not "filed" and shall not be deemed to be "soliciting material" or subject to Regulation 14A, shall not be deemed "filed" for purposes of Section 18 of the Exchange Act or otherwise subject to the limitations of that section, and shall not be deemed incorporated by reference into any of our filings under the Securities Act or the Exchange Act, whether made before or after the date of this report and irrespective of any general incorporation by reference language in any such filing.</w:t>
      </w:r>
    </w:p>
    <w:p>
      <w:pPr>
        <w:spacing w:after="0" w:line="1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price performance shown in the graph is not necessarily indicative of future price performance.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The following table sets forth information on our share repurchase program activity during the fourth quarter of fiscal </w:t>
      </w:r>
      <w:r>
        <w:rPr>
          <w:rFonts w:ascii="Times New Roman" w:cs="Times New Roman" w:eastAsia="Times New Roman" w:hAnsi="Times New Roman"/>
          <w:sz w:val="14"/>
          <w:szCs w:val="14"/>
          <w:color w:val="231F20"/>
        </w:rPr>
        <w:t>2024</w:t>
      </w:r>
      <w:r>
        <w:rPr>
          <w:rFonts w:ascii="Times New Roman" w:cs="Times New Roman" w:eastAsia="Times New Roman" w:hAnsi="Times New Roman"/>
          <w:sz w:val="14"/>
          <w:szCs w:val="14"/>
          <w:color w:val="auto"/>
        </w:rPr>
        <w:t xml:space="preserve"> (amounts in thousands, except share and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 Shares Purchased</w:t>
            </w:r>
          </w:p>
        </w:tc>
        <w:tc>
          <w:tcPr>
            <w:tcW w:w="80" w:type="dxa"/>
            <w:vAlign w:val="bottom"/>
          </w:tcPr>
          <w:p>
            <w:pPr>
              <w:spacing w:after="0"/>
              <w:rPr>
                <w:sz w:val="11"/>
                <w:szCs w:val="11"/>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Maximum Dollar Value of Shares</w:t>
            </w:r>
          </w:p>
        </w:tc>
        <w:tc>
          <w:tcPr>
            <w:tcW w:w="0" w:type="dxa"/>
            <w:vAlign w:val="bottom"/>
          </w:tcPr>
          <w:p>
            <w:pPr>
              <w:spacing w:after="0"/>
              <w:rPr>
                <w:sz w:val="1"/>
                <w:szCs w:val="1"/>
                <w:color w:val="auto"/>
              </w:rPr>
            </w:pPr>
          </w:p>
        </w:tc>
      </w:tr>
      <w:tr>
        <w:trPr>
          <w:trHeight w:val="115"/>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Number of Shares Purchased</w:t>
            </w:r>
          </w:p>
        </w:tc>
        <w:tc>
          <w:tcPr>
            <w:tcW w:w="100" w:type="dxa"/>
            <w:vAlign w:val="bottom"/>
          </w:tcPr>
          <w:p>
            <w:pPr>
              <w:spacing w:after="0"/>
              <w:rPr>
                <w:sz w:val="9"/>
                <w:szCs w:val="9"/>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 xml:space="preserve">Average Price Paid Per Share </w:t>
            </w:r>
            <w:r>
              <w:rPr>
                <w:rFonts w:ascii="Times New Roman" w:cs="Times New Roman" w:eastAsia="Times New Roman" w:hAnsi="Times New Roman"/>
                <w:sz w:val="14"/>
                <w:szCs w:val="14"/>
                <w:b w:val="1"/>
                <w:bCs w:val="1"/>
                <w:color w:val="auto"/>
                <w:vertAlign w:val="superscript"/>
              </w:rPr>
              <w:t>(1)</w:t>
            </w:r>
          </w:p>
        </w:tc>
        <w:tc>
          <w:tcPr>
            <w:tcW w:w="1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as Part of Publicly Announced</w:t>
            </w:r>
          </w:p>
        </w:tc>
        <w:tc>
          <w:tcPr>
            <w:tcW w:w="80" w:type="dxa"/>
            <w:vAlign w:val="bottom"/>
          </w:tcPr>
          <w:p>
            <w:pPr>
              <w:spacing w:after="0"/>
              <w:rPr>
                <w:sz w:val="9"/>
                <w:szCs w:val="9"/>
                <w:color w:val="auto"/>
              </w:rPr>
            </w:pPr>
          </w:p>
        </w:tc>
        <w:tc>
          <w:tcPr>
            <w:tcW w:w="176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that May Yet Be Purchased Under</w:t>
            </w:r>
          </w:p>
        </w:tc>
        <w:tc>
          <w:tcPr>
            <w:tcW w:w="0" w:type="dxa"/>
            <w:vAlign w:val="bottom"/>
          </w:tcPr>
          <w:p>
            <w:pPr>
              <w:spacing w:after="0"/>
              <w:rPr>
                <w:sz w:val="1"/>
                <w:szCs w:val="1"/>
                <w:color w:val="auto"/>
              </w:rPr>
            </w:pPr>
          </w:p>
        </w:tc>
      </w:tr>
      <w:tr>
        <w:trPr>
          <w:trHeight w:val="159"/>
        </w:trPr>
        <w:tc>
          <w:tcPr>
            <w:tcW w:w="4000" w:type="dxa"/>
            <w:vAlign w:val="bottom"/>
            <w:gridSpan w:val="2"/>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xml:space="preserve">Plans or Programs </w:t>
            </w:r>
            <w:r>
              <w:rPr>
                <w:rFonts w:ascii="Times New Roman" w:cs="Times New Roman" w:eastAsia="Times New Roman" w:hAnsi="Times New Roman"/>
                <w:sz w:val="7"/>
                <w:szCs w:val="7"/>
                <w:b w:val="1"/>
                <w:bCs w:val="1"/>
                <w:color w:val="auto"/>
              </w:rPr>
              <w:t>(2),(3)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ind w:right="75"/>
              <w:spacing w:after="0"/>
              <w:rPr>
                <w:sz w:val="20"/>
                <w:szCs w:val="20"/>
                <w:color w:val="auto"/>
              </w:rPr>
            </w:pPr>
            <w:r>
              <w:rPr>
                <w:rFonts w:ascii="Times New Roman" w:cs="Times New Roman" w:eastAsia="Times New Roman" w:hAnsi="Times New Roman"/>
                <w:sz w:val="11"/>
                <w:szCs w:val="11"/>
                <w:b w:val="1"/>
                <w:bCs w:val="1"/>
                <w:color w:val="auto"/>
              </w:rPr>
              <w:t xml:space="preserve">the Plans or Programs </w:t>
            </w:r>
            <w:r>
              <w:rPr>
                <w:rFonts w:ascii="Times New Roman" w:cs="Times New Roman" w:eastAsia="Times New Roman" w:hAnsi="Times New Roman"/>
                <w:sz w:val="7"/>
                <w:szCs w:val="7"/>
                <w:b w:val="1"/>
                <w:bCs w:val="1"/>
                <w:color w:val="auto"/>
              </w:rPr>
              <w:t>(2),(3)</w:t>
            </w:r>
          </w:p>
        </w:tc>
        <w:tc>
          <w:tcPr>
            <w:tcW w:w="0" w:type="dxa"/>
            <w:vAlign w:val="bottom"/>
          </w:tcPr>
          <w:p>
            <w:pPr>
              <w:spacing w:after="0"/>
              <w:rPr>
                <w:sz w:val="1"/>
                <w:szCs w:val="1"/>
                <w:color w:val="auto"/>
              </w:rPr>
            </w:pPr>
          </w:p>
        </w:tc>
      </w:tr>
      <w:tr>
        <w:trPr>
          <w:trHeight w:val="171"/>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September 29, 2024—October 26, 2024</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1,507,211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1,507,211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9,431,093</w:t>
            </w:r>
          </w:p>
        </w:tc>
        <w:tc>
          <w:tcPr>
            <w:tcW w:w="0" w:type="dxa"/>
            <w:vAlign w:val="bottom"/>
          </w:tcPr>
          <w:p>
            <w:pPr>
              <w:spacing w:after="0"/>
              <w:rPr>
                <w:sz w:val="1"/>
                <w:szCs w:val="1"/>
                <w:color w:val="auto"/>
              </w:rPr>
            </w:pPr>
          </w:p>
        </w:tc>
      </w:tr>
      <w:tr>
        <w:trPr>
          <w:trHeight w:val="177"/>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October 27, 2024—November 23, 2024</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100,000,000</w:t>
            </w:r>
          </w:p>
        </w:tc>
        <w:tc>
          <w:tcPr>
            <w:tcW w:w="0" w:type="dxa"/>
            <w:vAlign w:val="bottom"/>
          </w:tcPr>
          <w:p>
            <w:pPr>
              <w:spacing w:after="0"/>
              <w:rPr>
                <w:sz w:val="1"/>
                <w:szCs w:val="1"/>
                <w:color w:val="auto"/>
              </w:rPr>
            </w:pPr>
          </w:p>
        </w:tc>
      </w:tr>
      <w:tr>
        <w:trPr>
          <w:trHeight w:val="18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24, 2024—December 28, 2024</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100,000,000</w:t>
            </w:r>
          </w:p>
        </w:tc>
        <w:tc>
          <w:tcPr>
            <w:tcW w:w="0" w:type="dxa"/>
            <w:vAlign w:val="bottom"/>
          </w:tcPr>
          <w:p>
            <w:pPr>
              <w:spacing w:after="0"/>
              <w:rPr>
                <w:sz w:val="1"/>
                <w:szCs w:val="1"/>
                <w:color w:val="auto"/>
              </w:rPr>
            </w:pPr>
          </w:p>
        </w:tc>
      </w:tr>
      <w:tr>
        <w:trPr>
          <w:trHeight w:val="174"/>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fourth quarter</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1,507,211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16.62</w:t>
            </w:r>
          </w:p>
        </w:tc>
        <w:tc>
          <w:tcPr>
            <w:tcW w:w="80" w:type="dxa"/>
            <w:vAlign w:val="bottom"/>
          </w:tcPr>
          <w:p>
            <w:pPr>
              <w:spacing w:after="0"/>
              <w:rPr>
                <w:sz w:val="15"/>
                <w:szCs w:val="15"/>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1,507,211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w:t>
      </w:r>
    </w:p>
    <w:p>
      <w:pPr>
        <w:spacing w:after="0" w:line="55" w:lineRule="exact"/>
        <w:rPr>
          <w:sz w:val="20"/>
          <w:szCs w:val="20"/>
          <w:color w:val="auto"/>
        </w:rPr>
      </w:pPr>
    </w:p>
    <w:p>
      <w:pPr>
        <w:ind w:left="380" w:hanging="375"/>
        <w:spacing w:after="0"/>
        <w:tabs>
          <w:tab w:leader="none" w:pos="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commissions for the shares repurchased under a share repurchase program adopted in 2021 (the "2021 Share Repurchase Program").</w:t>
      </w:r>
    </w:p>
    <w:p>
      <w:pPr>
        <w:spacing w:after="0" w:line="41" w:lineRule="exact"/>
        <w:rPr>
          <w:rFonts w:ascii="Times New Roman" w:cs="Times New Roman" w:eastAsia="Times New Roman" w:hAnsi="Times New Roman"/>
          <w:sz w:val="13"/>
          <w:szCs w:val="13"/>
          <w:color w:val="auto"/>
        </w:rPr>
      </w:pPr>
    </w:p>
    <w:p>
      <w:pPr>
        <w:jc w:val="both"/>
        <w:ind w:left="380" w:hanging="375"/>
        <w:spacing w:after="0" w:line="253" w:lineRule="auto"/>
        <w:tabs>
          <w:tab w:leader="none" w:pos="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November 2021, our Board approved the 2021 Share Repurchase Program. This program, effective November 5, 2021 and without an expiration date, authorized us to repurchase, from time to time and at prices the Company deems appropriate, up to $100.0 million of our outstanding common stock utilizing a variety of methods including open market purchases, accelerated share repurchase programs, privately negotiated transactions, structured repurchase transactions and repurchases under a Rule 10b5-1 plan (which would permit shares to be repurchased when the Company might otherwise be precluded from doing so under securities laws). In addition to the Company's discretion, such repurchases were subject to, among other things, market conditions, applicable legal requirements and debt covenants. The shares purchased were made in open-market transactions pursuant to a Rule 10b5-1 plan.</w:t>
      </w:r>
    </w:p>
    <w:p>
      <w:pPr>
        <w:spacing w:after="0" w:line="18" w:lineRule="exact"/>
        <w:rPr>
          <w:rFonts w:ascii="Times New Roman" w:cs="Times New Roman" w:eastAsia="Times New Roman" w:hAnsi="Times New Roman"/>
          <w:sz w:val="13"/>
          <w:szCs w:val="13"/>
          <w:color w:val="auto"/>
        </w:rPr>
      </w:pPr>
    </w:p>
    <w:p>
      <w:pPr>
        <w:jc w:val="both"/>
        <w:ind w:left="380" w:hanging="375"/>
        <w:spacing w:after="0" w:line="252" w:lineRule="auto"/>
        <w:tabs>
          <w:tab w:leader="none" w:pos="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November 2024, the Board approved a new share repurchase program (the "2024 Share Repurchase Program"), which replaced the 2021 Share Repurchase Program, under which $9.4 million previously remained available for repurchase. The 2024 Share Repurchase Program, effective November 1, 2024 and without an expiration date, authorizes us to repurchase up to $100.0 million of our outstanding common stock (inclusive of fees and commissions) utilizing a variety of methods including open-market purchases, accelerated equity repurchase programs, privately negotiated transactions, block trades and under a Rule 10b5-1 plan. Any repurchased shares are constructively retired and returned to an unissued status.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36"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of our financial condition and results of operations in conjunction with the consolidated financial statements and related notes thereto included in "Item 8. Financial Statements and Supplementary Data." This discussion may contain forward-looking statements based upon current expectations that involve risks and uncertainties. Our actual results may differ materially from those anticipated in these forward-looking statements as a result of various factors, including those described in "Item 1A. Risk Factors" or set forth in other sections of this report.</w:t>
      </w:r>
    </w:p>
    <w:p>
      <w:pPr>
        <w:spacing w:after="0" w:line="53"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For discussion related to the results of operations and changes in financial condition for fiscal 2023 compared to fiscal 2022 refer to "Item 7. Management's Discussion and Analysis of Financial Condition and Results of Operations" in Part II of this Form 10-K for the fiscal year ended December 30, 2023.</w:t>
      </w:r>
    </w:p>
    <w:p>
      <w:pPr>
        <w:spacing w:after="0" w:line="3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We operate on a fiscal year that ends on the Saturday closest to December 31st each year. References to fiscal 2026, fiscal 2025, fiscal 2024, fiscal 2023, and fiscal 2022 refer to the fiscal years ended </w:t>
      </w:r>
      <w:r>
        <w:rPr>
          <w:rFonts w:ascii="Times New Roman" w:cs="Times New Roman" w:eastAsia="Times New Roman" w:hAnsi="Times New Roman"/>
          <w:sz w:val="14"/>
          <w:szCs w:val="14"/>
          <w:i w:val="1"/>
          <w:iCs w:val="1"/>
          <w:color w:val="231F20"/>
        </w:rPr>
        <w:t>January 2, 2027, January 3, 2026,</w:t>
      </w:r>
      <w:r>
        <w:rPr>
          <w:rFonts w:ascii="Times New Roman" w:cs="Times New Roman" w:eastAsia="Times New Roman" w:hAnsi="Times New Roman"/>
          <w:sz w:val="14"/>
          <w:szCs w:val="14"/>
          <w:i w:val="1"/>
          <w:iCs w:val="1"/>
          <w:color w:val="auto"/>
        </w:rPr>
        <w:t xml:space="preserve"> December 28, 2024, December 30, 2023, and December 31, 2022, respectively. Our 2024, 2023 and 2022 fiscal years all consisted of 52 weeks.</w:t>
      </w:r>
    </w:p>
    <w:p>
      <w:pPr>
        <w:spacing w:after="0" w:line="3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231F20"/>
        </w:rPr>
        <w:t>As used in this report, references to "Grocery Outlet," "the Company," "the registrant," "we," "us" and "our," refer to Grocery Outlet Holding Corp. and its consolidated subsidiaries unless otherwise indicated or the context requires otherwise.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a high-growth, extreme value retailer of quality, name-brand consumables and fresh products sold primarily through a network of independently operated stores. Our flexible buying model allows us to offer quality, name-brand opportunistic products at prices generally 40% to 70% below those of conventional retailers. Our Grocery Outlet stores are primarily run by entrepreneurial IOs who create a neighborhood feel through personalized customer service and a localized product offering. As of December 28, 2024, we had 533 stores in California, Washington, Oregon, Pennsylvania, Tennessee, Idaho, Maryland, Nevada, North Carolina, New Jersey, Georgia, Ohio, Alabama, Delaware, Kentucky and Virginia.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Recent Trends and Developments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231F20"/>
        </w:rPr>
        <w:t>The extent of the continuing impact of the factors set forth below on our operational and financial performance will depend on many factors, including certain factors outside of our control.</w:t>
      </w:r>
    </w:p>
    <w:p>
      <w:pPr>
        <w:spacing w:after="0" w:line="92"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Macroeconomic Conditions. </w:t>
      </w:r>
      <w:r>
        <w:rPr>
          <w:rFonts w:ascii="Times New Roman" w:cs="Times New Roman" w:eastAsia="Times New Roman" w:hAnsi="Times New Roman"/>
          <w:sz w:val="14"/>
          <w:szCs w:val="14"/>
          <w:color w:val="231F20"/>
        </w:rPr>
        <w:t>Over the past several years, and to a lesser extent recently, our business has been and continues to be impacted by macroeconomic conditions including supply</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chain and labor challenges, inflation and subsequent disinflation, and changes in consumer behavior, and our IOs have been impacted by staffing challenges and increased labor costs and utility costs within their businesses.</w:t>
      </w:r>
    </w:p>
    <w:p>
      <w:pPr>
        <w:spacing w:after="0" w:line="4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Pricing Competition. </w:t>
      </w:r>
      <w:r>
        <w:rPr>
          <w:rFonts w:ascii="Times New Roman" w:cs="Times New Roman" w:eastAsia="Times New Roman" w:hAnsi="Times New Roman"/>
          <w:sz w:val="14"/>
          <w:szCs w:val="14"/>
          <w:color w:val="231F20"/>
        </w:rPr>
        <w:t>During fiscal 2024 we have observed an increase in promotional and pricing activities from key competitors, putting further pressure on our relative value proposition,</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which in turn, has resulted in our increased efforts to actively negotiate costs and adjust prices to sharpen our value proposition.</w:t>
      </w:r>
    </w:p>
    <w:p>
      <w:pPr>
        <w:spacing w:after="0" w:line="35"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Restructuring Plan. </w:t>
      </w:r>
      <w:r>
        <w:rPr>
          <w:rFonts w:ascii="Times New Roman" w:cs="Times New Roman" w:eastAsia="Times New Roman" w:hAnsi="Times New Roman"/>
          <w:sz w:val="14"/>
          <w:szCs w:val="14"/>
          <w:color w:val="231F20"/>
        </w:rPr>
        <w:t>While we continue to believe in our long-term growth potential, we recently reviewed our strategic initiatives and priorities and have determined to simplify our near-term</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growth strategy in order to build a stronger foundation from which to scale in the future, and to drive sustainable and disciplined growth, profitability and return on invested capital. In particular, we reassessed our new store opening strategy for fiscal 2025 and fiscal 2026, the efficiency of certain supply chain investments and our general and administrative cost structure. As a result, during the fourth quarter of fiscal 2024, we began to initiate the Restructuring Plan that is intended to improve our long-term profitability and cash flow generation, optimize the footprint of new store growth and lower our cost base. As further discussed below, the Restructuring Plan provides for (i) the termination of leases for unopened stores in suboptimal locations, 15 of which we had planned to open in fiscal 2025 and eight of which we had planned to open in fiscal 2026 (the “Lease Terminations”), (ii) the cancellation of certain capital intensive warehouse projects and (iii) the implementation of a workforce reduction, pursuant to which we notified affected employees on February 18, 2025 (the “Workforce Reduction”). These actions under the Restructuring Plan are expected to be substantially completed by the first half of fiscal 2025.</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231F20"/>
        </w:rPr>
        <w:t xml:space="preserve">We currently estimate we will incur total costs under the Restructuring Plan of between </w:t>
      </w:r>
      <w:r>
        <w:rPr>
          <w:rFonts w:ascii="Times New Roman" w:cs="Times New Roman" w:eastAsia="Times New Roman" w:hAnsi="Times New Roman"/>
          <w:sz w:val="14"/>
          <w:szCs w:val="14"/>
          <w:color w:val="000000"/>
        </w:rPr>
        <w:t>$52 million</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$61 million</w:t>
      </w:r>
      <w:r>
        <w:rPr>
          <w:rFonts w:ascii="Times New Roman" w:cs="Times New Roman" w:eastAsia="Times New Roman" w:hAnsi="Times New Roman"/>
          <w:sz w:val="14"/>
          <w:szCs w:val="14"/>
          <w:color w:val="231F20"/>
        </w:rPr>
        <w:t xml:space="preserve">, of which between </w:t>
      </w:r>
      <w:r>
        <w:rPr>
          <w:rFonts w:ascii="Times New Roman" w:cs="Times New Roman" w:eastAsia="Times New Roman" w:hAnsi="Times New Roman"/>
          <w:sz w:val="14"/>
          <w:szCs w:val="14"/>
          <w:color w:val="000000"/>
        </w:rPr>
        <w:t>$36 million</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$45 million</w:t>
      </w:r>
      <w:r>
        <w:rPr>
          <w:rFonts w:ascii="Times New Roman" w:cs="Times New Roman" w:eastAsia="Times New Roman" w:hAnsi="Times New Roman"/>
          <w:sz w:val="14"/>
          <w:szCs w:val="14"/>
          <w:color w:val="231F20"/>
        </w:rPr>
        <w:t xml:space="preserve"> are expected to be cash expenditures. The Restructuring Plan includes the activities set forth below:</w:t>
      </w:r>
    </w:p>
    <w:p>
      <w:pPr>
        <w:spacing w:after="0" w:line="39" w:lineRule="exact"/>
        <w:rPr>
          <w:sz w:val="20"/>
          <w:szCs w:val="20"/>
          <w:color w:val="auto"/>
        </w:rPr>
      </w:pPr>
    </w:p>
    <w:p>
      <w:pPr>
        <w:jc w:val="both"/>
        <w:ind w:left="640" w:hanging="253"/>
        <w:spacing w:after="0" w:line="261" w:lineRule="auto"/>
        <w:tabs>
          <w:tab w:leader="none" w:pos="636"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 xml:space="preserve">We are optimizing new store growth in fiscal 2025 and fiscal 2026 to increase efficiencies for distribution and optimize brand awareness and marketing. Specifically, we are narrowing our focus in our future new store openings to target existing markets and a smaller set of high-priority adjacent new markets to improve new store sales productivity and return on invested capital. We plan to open </w:t>
      </w:r>
      <w:r>
        <w:rPr>
          <w:rFonts w:ascii="Times New Roman" w:cs="Times New Roman" w:eastAsia="Times New Roman" w:hAnsi="Times New Roman"/>
          <w:sz w:val="14"/>
          <w:szCs w:val="14"/>
          <w:color w:val="000000"/>
        </w:rPr>
        <w:t>33 to 35</w:t>
      </w:r>
      <w:r>
        <w:rPr>
          <w:rFonts w:ascii="Times New Roman" w:cs="Times New Roman" w:eastAsia="Times New Roman" w:hAnsi="Times New Roman"/>
          <w:sz w:val="14"/>
          <w:szCs w:val="14"/>
          <w:color w:val="231F20"/>
        </w:rPr>
        <w:t xml:space="preserve"> net new stores in fiscal 2025 in existing markets and a smaller set of high-priority adjacent new markets. We incurred $9.2 million of non-cash impairment of long-lived assets in the fourth quarter of fiscal 2024 related to the Lease Terminations, which is included in selling, general and administrative expenses. We estimate that we will incur between $30 million to $37 million of additional cash expense related to the Lease Terminations in the first half of fiscal 2025.</w:t>
      </w:r>
    </w:p>
    <w:p>
      <w:pPr>
        <w:spacing w:after="0" w:line="58" w:lineRule="exact"/>
        <w:rPr>
          <w:rFonts w:ascii="Times New Roman" w:cs="Times New Roman" w:eastAsia="Times New Roman" w:hAnsi="Times New Roman"/>
          <w:sz w:val="14"/>
          <w:szCs w:val="14"/>
          <w:color w:val="231F20"/>
        </w:rPr>
      </w:pPr>
    </w:p>
    <w:p>
      <w:pPr>
        <w:jc w:val="both"/>
        <w:ind w:left="640" w:hanging="253"/>
        <w:spacing w:after="0" w:line="270" w:lineRule="auto"/>
        <w:tabs>
          <w:tab w:leader="none" w:pos="636"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We are shifting our planned investments in our distribution infrastructure in fiscal 2025 and fiscal 2026 away from highly capital-intensive projects. We will instead invest in lower cost distribution centers for dry goods to enhance capacity and improve inventory management and overall execution. In connection with such strategy, we cancelled certain warehouse projects, resulting in $6.7 million of non-cash impairment of long-lived assets in the fourth quarter of fiscal 2024, which is included in selling, general and administrative expenses.</w:t>
      </w:r>
    </w:p>
    <w:p>
      <w:pPr>
        <w:spacing w:after="0" w:line="50" w:lineRule="exact"/>
        <w:rPr>
          <w:rFonts w:ascii="Times New Roman" w:cs="Times New Roman" w:eastAsia="Times New Roman" w:hAnsi="Times New Roman"/>
          <w:sz w:val="14"/>
          <w:szCs w:val="14"/>
          <w:color w:val="231F20"/>
        </w:rPr>
      </w:pPr>
    </w:p>
    <w:p>
      <w:pPr>
        <w:ind w:left="640" w:hanging="253"/>
        <w:spacing w:after="0" w:line="287" w:lineRule="auto"/>
        <w:tabs>
          <w:tab w:leader="none" w:pos="636"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We are building a more scalable cost structure through the implementation of the Workforce Reduction, which reduced headcount by approximately 40 full-time employees in the first quarter of fiscal 2025 with total cash cost incurred of $1.6 million, including employee severance, employee benefit and related costs.</w:t>
      </w:r>
    </w:p>
    <w:p>
      <w:pPr>
        <w:spacing w:after="0" w:line="39" w:lineRule="exact"/>
        <w:rPr>
          <w:rFonts w:ascii="Times New Roman" w:cs="Times New Roman" w:eastAsia="Times New Roman" w:hAnsi="Times New Roman"/>
          <w:sz w:val="14"/>
          <w:szCs w:val="14"/>
          <w:color w:val="231F20"/>
        </w:rPr>
      </w:pPr>
    </w:p>
    <w:p>
      <w:pPr>
        <w:ind w:left="640" w:hanging="253"/>
        <w:spacing w:after="0" w:line="287" w:lineRule="auto"/>
        <w:tabs>
          <w:tab w:leader="none" w:pos="636" w:val="left"/>
        </w:tabs>
        <w:numPr>
          <w:ilvl w:val="0"/>
          <w:numId w:val="2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 connection with the Restructuring Plan, we estimate that we will incur cash costs of between $4.5 million and $6.5 million in legal and other professional fees in the first half of fiscal 2025.</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New Store Growth. </w:t>
      </w:r>
      <w:r>
        <w:rPr>
          <w:rFonts w:ascii="Times New Roman" w:cs="Times New Roman" w:eastAsia="Times New Roman" w:hAnsi="Times New Roman"/>
          <w:sz w:val="14"/>
          <w:szCs w:val="14"/>
          <w:color w:val="231F20"/>
        </w:rPr>
        <w:t>Planned construction and opening of new stores has been, and may continue to be, negatively impacted due to both increased lead times to acquire materials, obtain permits</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 xml:space="preserve">and licenses, hook up utilities as well as higher construction and development related costs. Our new store growth efforts are focused on organic growth combined with complementary real estate opportunities that align with our long-term geographic expansion and store growth strategies. Complementary growth opportunities may include expanding strategic relationships with large property owners, evaluating acquisitions of opportunistic real estate that become available through consolidation in the retail sector, and exploring strategic regional acquisitions of operating businesses. </w:t>
      </w:r>
      <w:r>
        <w:rPr>
          <w:rFonts w:ascii="Times New Roman" w:cs="Times New Roman" w:eastAsia="Times New Roman" w:hAnsi="Times New Roman"/>
          <w:sz w:val="14"/>
          <w:szCs w:val="14"/>
          <w:color w:val="000000"/>
        </w:rPr>
        <w:t>On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April 1, 2024, we acquired United Grocery Outlet, which included 40 stores in six adjacent states we did not operate in as of such date (Tennessee, North Carolina, Georgia, Alabama, Kentucky and Virginia) and a company-operated distribution center. The acquisition provides us with the opportunity to scale in a new region and is a platform for potential future expansion in the Southeast. Excluding the United Grocery Outlet transaction, we opened 27 new stores and closed two stores during fiscal 2024. Our near-term integration focus is expanding the assortment, investing in store refreshes and new fixtures and introducing some of our marketing programs to the Southeast region. We plan to open 33 to 35 net new stores in fiscal 2025.</w:t>
      </w:r>
    </w:p>
    <w:p>
      <w:pPr>
        <w:spacing w:after="0" w:line="58"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Enterprise Resource Planning System Upgrades and Challenges</w:t>
      </w:r>
      <w:r>
        <w:rPr>
          <w:rFonts w:ascii="Times New Roman" w:cs="Times New Roman" w:eastAsia="Times New Roman" w:hAnsi="Times New Roman"/>
          <w:sz w:val="14"/>
          <w:szCs w:val="14"/>
          <w:b w:val="1"/>
          <w:bCs w:val="1"/>
          <w:i w:val="1"/>
          <w:iCs w:val="1"/>
          <w:color w:val="231F20"/>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231F20"/>
        </w:rPr>
        <w:t>In late August 2023, we replaced components of our enterprise resource planning system, including our financial ledger,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231F20"/>
        </w:rPr>
        <w:t>inventory management platform and product data warehouse system. The implementation of these system upgrades resulted in significant disruption to our business operations, including o</w:t>
      </w:r>
      <w:r>
        <w:rPr>
          <w:rFonts w:ascii="Times New Roman" w:cs="Times New Roman" w:eastAsia="Times New Roman" w:hAnsi="Times New Roman"/>
          <w:sz w:val="14"/>
          <w:szCs w:val="14"/>
          <w:color w:val="000000"/>
        </w:rPr>
        <w:t>rdering and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inventory disruptions, </w:t>
      </w:r>
      <w:r>
        <w:rPr>
          <w:rFonts w:ascii="Times New Roman" w:cs="Times New Roman" w:eastAsia="Times New Roman" w:hAnsi="Times New Roman"/>
          <w:sz w:val="14"/>
          <w:szCs w:val="14"/>
          <w:color w:val="231F20"/>
        </w:rPr>
        <w:t>as well as payment processing, which adversely impacted our results of operations during the remainder of fiscal 2023, as well as during fiscal 2024, as more fully described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below in “Comparison of fiscal 2024 to fiscal 2023." We have since improved the data visibility to help us manage and forecast the business and we continue to work to further improve visibility into additional operating data, and to increase the speed and efficiency of the tools that we and our IOs use to manage the business.</w:t>
      </w:r>
    </w:p>
    <w:p>
      <w:pPr>
        <w:spacing w:after="0" w:line="55"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Private Label Products. </w:t>
      </w:r>
      <w:r>
        <w:rPr>
          <w:rFonts w:ascii="Times New Roman" w:cs="Times New Roman" w:eastAsia="Times New Roman" w:hAnsi="Times New Roman"/>
          <w:sz w:val="14"/>
          <w:szCs w:val="14"/>
          <w:color w:val="231F20"/>
        </w:rPr>
        <w:t>In the third quarter of fiscal 2024, we began to introduce our private label products in stores. In addition to providing better value and inventory consistency for our</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customers, our private label products are expected to deliver better margins for us and our IOs. During fiscal 2024, we introduced over 180 new private-label SKUs across various grocery and deli categories.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and Measures We Use to Evaluate Our Business</w:t>
      </w:r>
    </w:p>
    <w:p>
      <w:pPr>
        <w:spacing w:after="0" w:line="13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consider a variety of financial and operating measures in assessing the performance of our business. The key financial measures we use in accordance with accounting principles generally accepted in the United States of America ("GAAP") are net sales, gross profit and gross margin, selling, general and administrative expenses ("SG&amp;A"), operating income, net income and comprehensive income and earnings per share. The key operational metrics and non-GAAP financial measures we use are number of new stores, comparable store sales, EBITDA, adjusted EBITDA, adjusted net income and adjusted earnings per share.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2024 Overview</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Key financial and operating performance results for our fiscal 2024 compared to our fiscal 2023 were as follows:</w:t>
      </w:r>
    </w:p>
    <w:p>
      <w:pPr>
        <w:spacing w:after="0" w:line="94" w:lineRule="exact"/>
        <w:rPr>
          <w:sz w:val="20"/>
          <w:szCs w:val="20"/>
          <w:color w:val="auto"/>
        </w:rPr>
      </w:pPr>
    </w:p>
    <w:p>
      <w:pPr>
        <w:ind w:left="640" w:hanging="253"/>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sales increased 10.1% to $4.37 billion for fiscal 2024 from $3.97 billion for fiscal 2023.</w:t>
      </w:r>
    </w:p>
    <w:p>
      <w:pPr>
        <w:spacing w:after="0" w:line="9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Comparable store sales increased by 2.7% in fiscal 2024, driven by a 4.2% increase in the number of transactions partially offset by a 1.4% decrease in average transaction size.</w:t>
      </w:r>
    </w:p>
    <w:p>
      <w:pPr>
        <w:spacing w:after="0" w:line="9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margin decreased by 110 basis points to 30.2%, compared to gross margin of 31.3% for fiscal 2023.</w:t>
      </w:r>
    </w:p>
    <w:p>
      <w:pPr>
        <w:spacing w:after="0" w:line="9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added 67 new stores, including 40 stores from the acquisition of United Grocery Outlet, and closed two, ending fiscal 2024 with 533 stores in 16 states.</w:t>
      </w:r>
    </w:p>
    <w:p>
      <w:pPr>
        <w:spacing w:after="0" w:line="9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SG&amp;A increased 11.4% to $1.24 billion, or 28.4% of net sales.</w:t>
      </w:r>
    </w:p>
    <w:p>
      <w:pPr>
        <w:spacing w:after="0" w:line="9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was $39.5 million, or $0.40 per diluted share for fiscal 2024, compared to net income of $79.4 million, or $0.79 per diluted share, for fiscal 2023.</w:t>
      </w:r>
    </w:p>
    <w:p>
      <w:pPr>
        <w:spacing w:after="0" w:line="90"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decreased 6.3% to $236.8 million for fiscal 2024 compared to $252.6 million for fiscal 2023.</w:t>
      </w:r>
    </w:p>
    <w:p>
      <w:pPr>
        <w:spacing w:after="0" w:line="47"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was $76.3 million, or $0.77 per adjusted diluted share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for fiscal 2024 compared to $108.1 million, or $1.07 per adjusted diluted share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for fiscal 2023.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w:t>
      </w:r>
    </w:p>
    <w:p>
      <w:pPr>
        <w:spacing w:after="0" w:line="47" w:lineRule="exact"/>
        <w:rPr>
          <w:sz w:val="20"/>
          <w:szCs w:val="20"/>
          <w:color w:val="auto"/>
        </w:rPr>
      </w:pPr>
    </w:p>
    <w:p>
      <w:pPr>
        <w:jc w:val="both"/>
        <w:ind w:left="380" w:hanging="375"/>
        <w:spacing w:after="0" w:line="252" w:lineRule="auto"/>
        <w:tabs>
          <w:tab w:leader="none" w:pos="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adjusted net income and adjusted diluted earnings per share are non-GAAP financial measures, which exclude the impact of certain special items. Please note that our non-GAAP financial measures should be considered as a supplement to, and not as a substitute for, or superior to, financial measures calculated in accordance with GAAP. See "Operating Metrics and Non-GAAP Financial Measures" section below for additional information about these items, including their definitions, how the non-GAAP financial measures provide useful information to investors and how management utilizes them, and reconciliations of the non-GAAP financial measures and the most directly comparable GAAP financial measures.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recognize revenues from the sale of products at the point of sale, net of any taxes or deposits collected and remitted to governmental authorities. Discounts provided to customers by us are recognized at the time of sale as a reduction in net sales as the products are sold. Discounts that are funded solely by IOs are not recognized as a reduction in net sales as the IO bears the incidental costs arising from the discount. We do not accept manufacturer coupons. Net sales consist of net sales from comparable stores, described below under "Operating Metrics and Non-GAAP Financial Measures - Comparable Store Sales," and non-comparable stores. Growth of our net sales is generally driven by expansion of our store base in existing and new markets as well as comparable store sales growth. Net sales are impacted by the spending habits of our customers, customer perception of value in our offerings, product mix and supply, as well as promotional and competitive activities. Our ever-changing selection of offerings across diverse product categories supports growth in net sales by attracting new customers and encouraging repeat visits from our existing customers. The spending habits of our customers are affected by changes in macroeconomic conditions, governmental benefit programs such as the Supplemental Nutrition Assistance Program and discretionary income. Our customers' discretionary income is impacted by wages, fuel and other cost-of-living increases including food-at-home inflation, as well as consumer trends and preferences, which fluctuate depending on the environment. Because we offer a broad selection of merchandise at extreme values, historically our business has benefited from periods of economic uncertainty.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Sales, Gross Profit and Gross Margin</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Cost of sales includes, among other things, merchandise costs, inventory markdowns, inventory losses, transportation costs and distribution and warehousing costs, including depreciation. Gross profit is equal to our net sales less our cost of sales. Gross margin is gross profit as a percentage of our net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net sales. While our disciplined buying approach has produced consistent gross margins throughout economic cycles, which we believe has helped to mitigate adverse impacts on gross profit and results of operations, changes in consumer demand as a result of macroeconomic conditions, including inflationary cost increases for goods, labor and transportation, supply chain constraints and changes in discretionary income, have resulted and could continue to result in higher variability to our gross margins. The components of our cost of sales, as well as our gross profit and gross margin, may not be comparable to the same or similar measures of our competitors and other retailers.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SG&amp;A are comprised of both store-related expenses and corporate expenses. Our store-related expenses include commissions paid to IOs, occupancy and our portion of maintenance costs, depreciation and amortization of store-related assets and the cost of opening new IO stores. Company-operated store-related expenses also include payroll, benefits, supplies and utilities. Corporate expenses include payroll and benefits for corporate and field support, share-based compensation, marketing and advertising, insurance and professional services, depreciation and amortization of corporate assets, operator recruiting and training costs and impairment of long-lived assets related to the Restructuring Plan. We continue to closely manage our expenses and monitor SG&amp;A as a percentage of net sales. SG&amp;A generally increases as we grow our store base and invest in our corporate infrastructure. SG&amp;A related to commissions paid to IOs are variable in nature and generally increase as gross profits rise and decrease as gross profits decline. We expect that our SG&amp;A will continue to increase in future periods as we continue to grow our net sales and gross profits. The components of our SG&amp;A may not be comparable to the components of similar measures of our competitors and other retailers.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Income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Operating income is gross profit less SG&amp;A. Operating income excludes interest expense, net, loss on debt extinguishment and modification and income tax expense. We use operating income as an indicator of the productivity of our business and our ability to manage expenses.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summarize key components of our results of operations both in dollars and as a percentage of net sales (amounts in thousands, except for percentages):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08"/>
        </w:trPr>
        <w:tc>
          <w:tcPr>
            <w:tcW w:w="6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4"/>
          </w:tcPr>
          <w:p>
            <w:pPr>
              <w:ind w:left="2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120" w:type="dxa"/>
            <w:vAlign w:val="bottom"/>
          </w:tcPr>
          <w:p>
            <w:pPr>
              <w:spacing w:after="0"/>
              <w:rPr>
                <w:sz w:val="9"/>
                <w:szCs w:val="9"/>
                <w:color w:val="auto"/>
              </w:rPr>
            </w:pPr>
          </w:p>
        </w:tc>
        <w:tc>
          <w:tcPr>
            <w:tcW w:w="1460" w:type="dxa"/>
            <w:vAlign w:val="bottom"/>
            <w:gridSpan w:val="4"/>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20" w:type="dxa"/>
            <w:vAlign w:val="bottom"/>
          </w:tcPr>
          <w:p>
            <w:pPr>
              <w:spacing w:after="0"/>
              <w:rPr>
                <w:sz w:val="9"/>
                <w:szCs w:val="9"/>
                <w:color w:val="auto"/>
              </w:rPr>
            </w:pPr>
          </w:p>
        </w:tc>
        <w:tc>
          <w:tcPr>
            <w:tcW w:w="1260" w:type="dxa"/>
            <w:vAlign w:val="bottom"/>
          </w:tcPr>
          <w:p>
            <w:pPr>
              <w:jc w:val="right"/>
              <w:ind w:right="331"/>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3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4,371,501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3,969,453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3,578,101</w:t>
            </w:r>
          </w:p>
        </w:tc>
      </w:tr>
      <w:tr>
        <w:trPr>
          <w:trHeight w:val="180"/>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3,049,564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2,727,774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2,486,002</w:t>
            </w:r>
          </w:p>
        </w:tc>
      </w:tr>
      <w:tr>
        <w:trPr>
          <w:trHeight w:val="171"/>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1,321,937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1,241,679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1,092,099</w:t>
            </w:r>
          </w:p>
        </w:tc>
      </w:tr>
      <w:tr>
        <w:trPr>
          <w:trHeight w:val="180"/>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1,243,610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1,115,897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997,109</w:t>
            </w:r>
          </w:p>
        </w:tc>
      </w:tr>
      <w:tr>
        <w:trPr>
          <w:trHeight w:val="171"/>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78,327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125,782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94,990</w:t>
            </w:r>
          </w:p>
        </w:tc>
      </w:tr>
      <w:tr>
        <w:trPr>
          <w:trHeight w:val="18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22,156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16,361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17,967</w:t>
            </w:r>
          </w:p>
        </w:tc>
      </w:tr>
      <w:tr>
        <w:trPr>
          <w:trHeight w:val="180"/>
        </w:trPr>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Loss on debt extinguishment and modification</w:t>
            </w:r>
          </w:p>
        </w:tc>
        <w:tc>
          <w:tcPr>
            <w:tcW w:w="140" w:type="dxa"/>
            <w:vAlign w:val="bottom"/>
          </w:tcPr>
          <w:p>
            <w:pPr>
              <w:spacing w:after="0"/>
              <w:rPr>
                <w:sz w:val="15"/>
                <w:szCs w:val="15"/>
                <w:color w:val="auto"/>
              </w:rPr>
            </w:pPr>
          </w:p>
        </w:tc>
        <w:tc>
          <w:tcPr>
            <w:tcW w:w="14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r>
      <w:tr>
        <w:trPr>
          <w:trHeight w:val="171"/>
        </w:trPr>
        <w:tc>
          <w:tcPr>
            <w:tcW w:w="66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expenses</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22,156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21,701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19,241</w:t>
            </w:r>
          </w:p>
        </w:tc>
      </w:tr>
      <w:tr>
        <w:trPr>
          <w:trHeight w:val="171"/>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tcPr>
          <w:p>
            <w:pPr>
              <w:spacing w:after="0"/>
              <w:rPr>
                <w:sz w:val="14"/>
                <w:szCs w:val="14"/>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56,171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104,081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75,749</w:t>
            </w:r>
          </w:p>
        </w:tc>
      </w:tr>
      <w:tr>
        <w:trPr>
          <w:trHeight w:val="18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16,706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24,644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10,697</w:t>
            </w:r>
          </w:p>
        </w:tc>
      </w:tr>
      <w:tr>
        <w:trPr>
          <w:trHeight w:val="171"/>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and 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39,465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79,437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65,052</w:t>
            </w:r>
          </w:p>
        </w:tc>
      </w:tr>
      <w:tr>
        <w:trPr>
          <w:trHeight w:val="20"/>
        </w:trPr>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8"/>
        </w:trPr>
        <w:tc>
          <w:tcPr>
            <w:tcW w:w="6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06"/>
        </w:trPr>
        <w:tc>
          <w:tcPr>
            <w:tcW w:w="6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4"/>
          </w:tcPr>
          <w:p>
            <w:pPr>
              <w:jc w:val="right"/>
              <w:ind w:right="720"/>
              <w:spacing w:after="0" w:line="106"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120" w:type="dxa"/>
            <w:vAlign w:val="bottom"/>
          </w:tcPr>
          <w:p>
            <w:pPr>
              <w:spacing w:after="0"/>
              <w:rPr>
                <w:sz w:val="9"/>
                <w:szCs w:val="9"/>
                <w:color w:val="auto"/>
              </w:rPr>
            </w:pPr>
          </w:p>
        </w:tc>
        <w:tc>
          <w:tcPr>
            <w:tcW w:w="1460" w:type="dxa"/>
            <w:vAlign w:val="bottom"/>
            <w:gridSpan w:val="4"/>
          </w:tcPr>
          <w:p>
            <w:pPr>
              <w:jc w:val="center"/>
              <w:ind w:right="480"/>
              <w:spacing w:after="0" w:line="106"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220" w:type="dxa"/>
            <w:vAlign w:val="bottom"/>
          </w:tcPr>
          <w:p>
            <w:pPr>
              <w:spacing w:after="0"/>
              <w:rPr>
                <w:sz w:val="9"/>
                <w:szCs w:val="9"/>
                <w:color w:val="auto"/>
              </w:rPr>
            </w:pPr>
          </w:p>
        </w:tc>
        <w:tc>
          <w:tcPr>
            <w:tcW w:w="1260" w:type="dxa"/>
            <w:vAlign w:val="bottom"/>
          </w:tcPr>
          <w:p>
            <w:pPr>
              <w:jc w:val="right"/>
              <w:ind w:right="391"/>
              <w:spacing w:after="0" w:line="106"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63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6"/>
        </w:trPr>
        <w:tc>
          <w:tcPr>
            <w:tcW w:w="63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4"/>
                <w:szCs w:val="14"/>
                <w:b w:val="1"/>
                <w:bCs w:val="1"/>
                <w:color w:val="auto"/>
              </w:rPr>
              <w:t xml:space="preserve">Percentage of net sales </w:t>
            </w:r>
            <w:r>
              <w:rPr>
                <w:rFonts w:ascii="Times New Roman" w:cs="Times New Roman" w:eastAsia="Times New Roman" w:hAnsi="Times New Roman"/>
                <w:sz w:val="18"/>
                <w:szCs w:val="18"/>
                <w:b w:val="1"/>
                <w:bCs w:val="1"/>
                <w:color w:val="auto"/>
                <w:vertAlign w:val="superscript"/>
              </w:rPr>
              <w:t>(1)</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18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69.5 %</w:t>
            </w:r>
          </w:p>
        </w:tc>
      </w:tr>
      <w:tr>
        <w:trPr>
          <w:trHeight w:val="171"/>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30.2 %</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30.5 %</w:t>
            </w:r>
          </w:p>
        </w:tc>
      </w:tr>
      <w:tr>
        <w:trPr>
          <w:trHeight w:val="18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27.9 %</w:t>
            </w:r>
          </w:p>
        </w:tc>
      </w:tr>
      <w:tr>
        <w:trPr>
          <w:trHeight w:val="171"/>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66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r>
      <w:tr>
        <w:trPr>
          <w:trHeight w:val="180"/>
        </w:trPr>
        <w:tc>
          <w:tcPr>
            <w:tcW w:w="6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debt extinguishment and modification</w:t>
            </w:r>
          </w:p>
        </w:tc>
        <w:tc>
          <w:tcPr>
            <w:tcW w:w="140" w:type="dxa"/>
            <w:vAlign w:val="bottom"/>
            <w:shd w:val="clear" w:color="auto" w:fill="CCEEFF"/>
          </w:tcPr>
          <w:p>
            <w:pPr>
              <w:spacing w:after="0"/>
              <w:rPr>
                <w:sz w:val="15"/>
                <w:szCs w:val="15"/>
                <w:color w:val="auto"/>
              </w:rPr>
            </w:pPr>
          </w:p>
        </w:tc>
        <w:tc>
          <w:tcPr>
            <w:tcW w:w="14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1"/>
        </w:trPr>
        <w:tc>
          <w:tcPr>
            <w:tcW w:w="6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other expenses</w:t>
            </w:r>
          </w:p>
        </w:tc>
        <w:tc>
          <w:tcPr>
            <w:tcW w:w="2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0.5 %</w:t>
            </w:r>
          </w:p>
        </w:tc>
      </w:tr>
      <w:tr>
        <w:trPr>
          <w:trHeight w:val="17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8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191"/>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and comprehensive income</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w:t>
      </w:r>
    </w:p>
    <w:p>
      <w:pPr>
        <w:spacing w:after="0" w:line="45" w:lineRule="exact"/>
        <w:rPr>
          <w:sz w:val="20"/>
          <w:szCs w:val="20"/>
          <w:color w:val="auto"/>
        </w:rPr>
      </w:pPr>
    </w:p>
    <w:p>
      <w:pPr>
        <w:ind w:left="380" w:hanging="375"/>
        <w:spacing w:after="0"/>
        <w:tabs>
          <w:tab w:leader="none" w:pos="3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Components may not sum to totals due to rounding.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Metrics and Non-GAAP Financial Measures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Number of New Stores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number of new stores reflects the number of stores opened or acquired during a particular reporting period. Newly opened stores require an initial capital investment from us for store build-outs, fixtures and equipment that we amortize over time as well as cash required for inventory and pre-opening expenses and typically the issuance of IO notes to support IO startup costs. Certain newly acquired stores may require refreshes and new fixtures.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 xml:space="preserve">We expect new store growth to be a significant and critical driver of our net sales growth over the long term. We lease substantially all of our store locations. Our initial lease terms on stores are typically </w:t>
      </w:r>
      <w:r>
        <w:rPr>
          <w:rFonts w:ascii="Times New Roman" w:cs="Times New Roman" w:eastAsia="Times New Roman" w:hAnsi="Times New Roman"/>
          <w:sz w:val="14"/>
          <w:szCs w:val="14"/>
          <w:color w:val="231F20"/>
        </w:rPr>
        <w:t>ten years with options to renew for two or three successive five-year periods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Comparable Store Sales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spacing w:after="0" w:line="3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Comparable store sales consist of net sales from our stores beginning on the first day of the fourteenth full fiscal month following a store's opening, which is when we believe comparability is achieved, or the thirteenth full fiscal month following a store's acquisition. Included in our comparable store definition are those stores that have been remodeled, expanded, or relocated in their existing location or respective trade areas. Excluded from our comparable store definition are those stores that have been temporarily closed for an extended period, those that have had their business materially disrupted for both planned projects as well as due to unforeseen circumstances, permanent store closures and dispositions. When applicable, as was the case with fiscal 2020 and will be the case with fiscal 2025, we exclude the net sales in the non-comparable week of a 53-week year from the same store sales calculation after comparing the current and prior year weekly periods that are most closely aligned.</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Opening or, on a limited strategic basis, acquiring new stores is a primary component of our growth strategy and, as we continue to execute on our growth strategy, we expect that a significant portion of our net sales growth will be attributable to non-comparable store net sales. Accordingly, comparable store sales is only one of many measures we use to assess the success of our growth strategy.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EBITDA, Adjusted EBITDA, Adjusted Net Income and Adjusted Earnings Per Share</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EBITDA, adjusted EBITDA, adjusted net income and adjusted earnings per share are non-GAAP financial measures that are supplemental key metrics used by management and our Board to assess our financial performance. EBITDA, adjusted EBITDA, adjusted net income and adjusted earnings per share are also frequently used by analysts, investors and other interested parties to evaluate us and other companies in our industry. Management believes it is useful to investors and analysts to evaluate these non-GAAP financial measures on the same basis as management uses to evaluate our operating results. We use these non-GAAP financial measures to supplement GAAP financial measures of performance to evaluate the effectiveness of our business strategies, to make budgeting decisions and to compare our performance against that of other peer companies using similar measures. In addition, we use adjusted EBITDA to supplement GAAP financial measures of performance to evaluate our performance in connection with compensation decisions. We believe that excluding items from operating income, net income and earnings per diluted share that may not be indicative of, or are unrelated to, our core operating results, and that may vary in frequency or magnitude, enhances the comparability of our results and provides additional information for analyzing trends in our business.</w:t>
      </w:r>
    </w:p>
    <w:p>
      <w:pPr>
        <w:spacing w:after="0" w:line="64"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define EBITDA as net income before net interest expense, income tax expenses and depreciation and amortization expenses. Adjusted EBITDA represents EBITDA adjusted to exclude share-based compensation expenses, loss on debt extinguishment and modification, asset impairment and gain or loss on disposition, acquisition and integration costs, costs related to the amortization of inventory purchase accounting asset step-ups, restructuring charges, and certain other expenses that may not be indicative of, or are unrelated to, our core operating results, and that may vary in frequency or magnitude. Adjusted net income represents net income adjusted for the previously mentioned adjusted EBITDA adjustments, further adjusted for the amortization of property and equipment purchase accounting asset step-ups and deferred financing costs, tax adjustment to normalize the effective tax rate, and tax effect of total adjustments. Basic adjusted earnings per share is calculated using adjusted net income, as defined above, and basic weighted average shares outstanding. Diluted adjusted earnings per share is calculated using adjusted net income, as defined above, and diluted weighted average shares outstanding. These non-GAAP financial measures may not be comparable to similar measures reported by other companies and have limitations as analytical tools, and you should not consider them in isolation or as a substitute for analysis of our results as reported under GAAP. We address the limitations of the non-GAAP financial measures through the use of various GAAP measures. In the future, we will incur expenses or charges such as those added back to calculate adjusted EBITDA or adjusted net income. Our presentation of these non-GAAP financial measures should not be construed as an inference that our future results will be unaffected by the adjustments we have used to derive such non-GAAP measures.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key operating metrics and non-GAAP financial measures for the periods presented (amounts in thousands, except for percentages and store counts):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08"/>
        </w:trPr>
        <w:tc>
          <w:tcPr>
            <w:tcW w:w="6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20" w:type="dxa"/>
            <w:vAlign w:val="bottom"/>
          </w:tcPr>
          <w:p>
            <w:pPr>
              <w:spacing w:after="0"/>
              <w:rPr>
                <w:sz w:val="9"/>
                <w:szCs w:val="9"/>
                <w:color w:val="auto"/>
              </w:rPr>
            </w:pPr>
          </w:p>
        </w:tc>
        <w:tc>
          <w:tcPr>
            <w:tcW w:w="1460" w:type="dxa"/>
            <w:vAlign w:val="bottom"/>
            <w:gridSpan w:val="2"/>
          </w:tcPr>
          <w:p>
            <w:pPr>
              <w:jc w:val="center"/>
              <w:ind w:right="320"/>
              <w:spacing w:after="0" w:line="108"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260" w:type="dxa"/>
            <w:vAlign w:val="bottom"/>
          </w:tcPr>
          <w:p>
            <w:pPr>
              <w:spacing w:after="0"/>
              <w:rPr>
                <w:sz w:val="9"/>
                <w:szCs w:val="9"/>
                <w:color w:val="auto"/>
              </w:rPr>
            </w:pPr>
          </w:p>
        </w:tc>
        <w:tc>
          <w:tcPr>
            <w:tcW w:w="1300" w:type="dxa"/>
            <w:vAlign w:val="bottom"/>
          </w:tcPr>
          <w:p>
            <w:pPr>
              <w:jc w:val="right"/>
              <w:ind w:right="393"/>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3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Financial and Operations Data</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0"/>
        </w:trPr>
        <w:tc>
          <w:tcPr>
            <w:tcW w:w="63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Number of new stores </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stores open at end of period</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441</w:t>
            </w:r>
          </w:p>
        </w:tc>
      </w:tr>
      <w:tr>
        <w:trPr>
          <w:trHeight w:val="180"/>
        </w:trPr>
        <w:tc>
          <w:tcPr>
            <w:tcW w:w="638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Comparable store sales increase </w:t>
            </w:r>
            <w:r>
              <w:rPr>
                <w:rFonts w:ascii="Times New Roman" w:cs="Times New Roman" w:eastAsia="Times New Roman" w:hAnsi="Times New Roman"/>
                <w:sz w:val="20"/>
                <w:szCs w:val="20"/>
                <w:color w:val="auto"/>
                <w:vertAlign w:val="superscript"/>
              </w:rPr>
              <w:t>(2)</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r>
      <w:tr>
        <w:trPr>
          <w:trHeight w:val="180"/>
        </w:trPr>
        <w:tc>
          <w:tcPr>
            <w:tcW w:w="63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EBITDA </w:t>
            </w:r>
            <w:r>
              <w:rPr>
                <w:rFonts w:ascii="Times New Roman" w:cs="Times New Roman" w:eastAsia="Times New Roman" w:hAnsi="Times New Roman"/>
                <w:sz w:val="20"/>
                <w:szCs w:val="20"/>
                <w:color w:val="auto"/>
                <w:vertAlign w:val="superscript"/>
              </w:rPr>
              <w:t>(3)</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186,533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208,424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171,967</w:t>
            </w:r>
          </w:p>
        </w:tc>
      </w:tr>
      <w:tr>
        <w:trPr>
          <w:trHeight w:val="180"/>
        </w:trPr>
        <w:tc>
          <w:tcPr>
            <w:tcW w:w="638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Adjusted EBITDA </w:t>
            </w:r>
            <w:r>
              <w:rPr>
                <w:rFonts w:ascii="Times New Roman" w:cs="Times New Roman" w:eastAsia="Times New Roman" w:hAnsi="Times New Roman"/>
                <w:sz w:val="20"/>
                <w:szCs w:val="20"/>
                <w:color w:val="auto"/>
                <w:vertAlign w:val="superscript"/>
              </w:rPr>
              <w:t>(3)</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236,779</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252,621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214,682</w:t>
            </w:r>
          </w:p>
        </w:tc>
      </w:tr>
      <w:tr>
        <w:trPr>
          <w:trHeight w:val="180"/>
        </w:trPr>
        <w:tc>
          <w:tcPr>
            <w:tcW w:w="63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Adjusted net income </w:t>
            </w:r>
            <w:r>
              <w:rPr>
                <w:rFonts w:ascii="Times New Roman" w:cs="Times New Roman" w:eastAsia="Times New Roman" w:hAnsi="Times New Roman"/>
                <w:sz w:val="20"/>
                <w:szCs w:val="20"/>
                <w:color w:val="auto"/>
                <w:vertAlign w:val="superscript"/>
              </w:rPr>
              <w:t>(3)</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76,275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108,113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93,858</w:t>
            </w: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w:t>
      </w:r>
    </w:p>
    <w:p>
      <w:pPr>
        <w:spacing w:after="0" w:line="45" w:lineRule="exact"/>
        <w:rPr>
          <w:sz w:val="20"/>
          <w:szCs w:val="20"/>
          <w:color w:val="auto"/>
        </w:rPr>
      </w:pPr>
    </w:p>
    <w:p>
      <w:pPr>
        <w:ind w:left="380" w:hanging="375"/>
        <w:spacing w:after="0"/>
        <w:tabs>
          <w:tab w:leader="none" w:pos="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Fiscal year 2024 includes the addition of 40 stores from the acquisition of United Grocery Outlet on April 1, 2024.</w:t>
      </w:r>
    </w:p>
    <w:p>
      <w:pPr>
        <w:spacing w:after="0" w:line="52" w:lineRule="exact"/>
        <w:rPr>
          <w:rFonts w:ascii="Times New Roman" w:cs="Times New Roman" w:eastAsia="Times New Roman" w:hAnsi="Times New Roman"/>
          <w:sz w:val="13"/>
          <w:szCs w:val="13"/>
          <w:color w:val="auto"/>
        </w:rPr>
      </w:pPr>
    </w:p>
    <w:p>
      <w:pPr>
        <w:ind w:left="380" w:hanging="375"/>
        <w:spacing w:after="0" w:line="264" w:lineRule="auto"/>
        <w:tabs>
          <w:tab w:leader="none" w:pos="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Comparable store sales consist of net sales from our stores beginning on the first day of the fourteenth full fiscal month following the store's opening, which is when we believe comparability is achieved, or the thirteenth full fiscal month following the store's acquisition.</w:t>
      </w:r>
    </w:p>
    <w:p>
      <w:pPr>
        <w:spacing w:after="0" w:line="21"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See "GAAP to Non-GAAP Reconciliations" section below for the applicable reconciliations.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GAAP to Non-GAAP Reconciliations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tables provide a reconciliation from our GAAP net income to EBITDA and adjusted EBITDA, GAAP net income to adjusted net income, and our GAAP earnings per share to adjusted earnings per share for the periods presented (amounts in thousands, except per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08"/>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right"/>
              <w:ind w:right="331"/>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65,052</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17,967</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10,697</w:t>
            </w:r>
          </w:p>
        </w:tc>
      </w:tr>
      <w:tr>
        <w:trPr>
          <w:trHeight w:val="18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108,206</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87,982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78,251</w:t>
            </w:r>
          </w:p>
        </w:tc>
      </w:tr>
      <w:tr>
        <w:trPr>
          <w:trHeight w:val="171"/>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EBITDA</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208,424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171,967</w:t>
            </w:r>
          </w:p>
        </w:tc>
      </w:tr>
      <w:tr>
        <w:trPr>
          <w:trHeight w:val="180"/>
        </w:trPr>
        <w:tc>
          <w:tcPr>
            <w:tcW w:w="66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Share-based compensation expenses </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32,556</w:t>
            </w:r>
          </w:p>
        </w:tc>
      </w:tr>
      <w:tr>
        <w:trPr>
          <w:trHeight w:val="180"/>
        </w:trPr>
        <w:tc>
          <w:tcPr>
            <w:tcW w:w="6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Loss on debt extinguishment and modification </w:t>
            </w:r>
            <w:r>
              <w:rPr>
                <w:rFonts w:ascii="Times New Roman" w:cs="Times New Roman" w:eastAsia="Times New Roman" w:hAnsi="Times New Roman"/>
                <w:sz w:val="20"/>
                <w:szCs w:val="20"/>
                <w:color w:val="auto"/>
                <w:vertAlign w:val="superscript"/>
              </w:rPr>
              <w:t>(2)</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r>
      <w:tr>
        <w:trPr>
          <w:trHeight w:val="180"/>
        </w:trPr>
        <w:tc>
          <w:tcPr>
            <w:tcW w:w="66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Asset impairment and gain or loss on disposition </w:t>
            </w:r>
            <w:r>
              <w:rPr>
                <w:rFonts w:ascii="Times New Roman" w:cs="Times New Roman" w:eastAsia="Times New Roman" w:hAnsi="Times New Roman"/>
                <w:sz w:val="20"/>
                <w:szCs w:val="20"/>
                <w:color w:val="auto"/>
                <w:vertAlign w:val="superscript"/>
              </w:rPr>
              <w:t>(3)</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r>
      <w:tr>
        <w:trPr>
          <w:trHeight w:val="180"/>
        </w:trPr>
        <w:tc>
          <w:tcPr>
            <w:tcW w:w="6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Acquisition and integration costs </w:t>
            </w:r>
            <w:r>
              <w:rPr>
                <w:rFonts w:ascii="Times New Roman" w:cs="Times New Roman" w:eastAsia="Times New Roman" w:hAnsi="Times New Roman"/>
                <w:sz w:val="20"/>
                <w:szCs w:val="20"/>
                <w:color w:val="auto"/>
                <w:vertAlign w:val="superscript"/>
              </w:rPr>
              <w:t>(4)</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Amortization of purchase accounting assets </w:t>
            </w:r>
            <w:r>
              <w:rPr>
                <w:rFonts w:ascii="Times New Roman" w:cs="Times New Roman" w:eastAsia="Times New Roman" w:hAnsi="Times New Roman"/>
                <w:sz w:val="20"/>
                <w:szCs w:val="20"/>
                <w:color w:val="auto"/>
                <w:vertAlign w:val="superscript"/>
              </w:rPr>
              <w:t>(5)</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Restructuring </w:t>
            </w:r>
            <w:r>
              <w:rPr>
                <w:rFonts w:ascii="Times New Roman" w:cs="Times New Roman" w:eastAsia="Times New Roman" w:hAnsi="Times New Roman"/>
                <w:sz w:val="20"/>
                <w:szCs w:val="20"/>
                <w:color w:val="auto"/>
                <w:vertAlign w:val="superscript"/>
              </w:rPr>
              <w:t>(6)</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20"/>
                <w:szCs w:val="20"/>
                <w:color w:val="auto"/>
                <w:vertAlign w:val="superscript"/>
              </w:rPr>
              <w:t>(7)</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7,709</w:t>
            </w:r>
          </w:p>
        </w:tc>
      </w:tr>
      <w:tr>
        <w:trPr>
          <w:trHeight w:val="196"/>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236,779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252,621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214,682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08"/>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right"/>
              <w:ind w:right="331"/>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65,052</w:t>
            </w:r>
          </w:p>
        </w:tc>
      </w:tr>
      <w:tr>
        <w:trPr>
          <w:trHeight w:val="180"/>
        </w:trPr>
        <w:tc>
          <w:tcPr>
            <w:tcW w:w="66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Share-based compensation expenses </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32,556</w:t>
            </w:r>
          </w:p>
        </w:tc>
      </w:tr>
      <w:tr>
        <w:trPr>
          <w:trHeight w:val="180"/>
        </w:trPr>
        <w:tc>
          <w:tcPr>
            <w:tcW w:w="6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Loss on debt extinguishment and modification </w:t>
            </w:r>
            <w:r>
              <w:rPr>
                <w:rFonts w:ascii="Times New Roman" w:cs="Times New Roman" w:eastAsia="Times New Roman" w:hAnsi="Times New Roman"/>
                <w:sz w:val="20"/>
                <w:szCs w:val="20"/>
                <w:color w:val="auto"/>
                <w:vertAlign w:val="superscript"/>
              </w:rPr>
              <w:t>(2)</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r>
      <w:tr>
        <w:trPr>
          <w:trHeight w:val="180"/>
        </w:trPr>
        <w:tc>
          <w:tcPr>
            <w:tcW w:w="66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Asset impairment and gain or loss on disposition </w:t>
            </w:r>
            <w:r>
              <w:rPr>
                <w:rFonts w:ascii="Times New Roman" w:cs="Times New Roman" w:eastAsia="Times New Roman" w:hAnsi="Times New Roman"/>
                <w:sz w:val="20"/>
                <w:szCs w:val="20"/>
                <w:color w:val="auto"/>
                <w:vertAlign w:val="superscript"/>
              </w:rPr>
              <w:t>(3)</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r>
      <w:tr>
        <w:trPr>
          <w:trHeight w:val="180"/>
        </w:trPr>
        <w:tc>
          <w:tcPr>
            <w:tcW w:w="6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Acquisition and integration costs </w:t>
            </w:r>
            <w:r>
              <w:rPr>
                <w:rFonts w:ascii="Times New Roman" w:cs="Times New Roman" w:eastAsia="Times New Roman" w:hAnsi="Times New Roman"/>
                <w:sz w:val="20"/>
                <w:szCs w:val="20"/>
                <w:color w:val="auto"/>
                <w:vertAlign w:val="superscript"/>
              </w:rPr>
              <w:t>(4)</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Amortization of purchase accounting assets and deferred financing costs </w:t>
            </w:r>
            <w:r>
              <w:rPr>
                <w:rFonts w:ascii="Times New Roman" w:cs="Times New Roman" w:eastAsia="Times New Roman" w:hAnsi="Times New Roman"/>
                <w:sz w:val="20"/>
                <w:szCs w:val="20"/>
                <w:color w:val="auto"/>
                <w:vertAlign w:val="superscript"/>
              </w:rPr>
              <w:t>(5)</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10,877</w:t>
            </w:r>
          </w:p>
        </w:tc>
      </w:tr>
      <w:tr>
        <w:trPr>
          <w:trHeight w:val="180"/>
        </w:trPr>
        <w:tc>
          <w:tcPr>
            <w:tcW w:w="6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Restructuring </w:t>
            </w:r>
            <w:r>
              <w:rPr>
                <w:rFonts w:ascii="Times New Roman" w:cs="Times New Roman" w:eastAsia="Times New Roman" w:hAnsi="Times New Roman"/>
                <w:sz w:val="20"/>
                <w:szCs w:val="20"/>
                <w:color w:val="auto"/>
                <w:vertAlign w:val="superscript"/>
              </w:rPr>
              <w:t>(6)</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Other </w:t>
            </w:r>
            <w:r>
              <w:rPr>
                <w:rFonts w:ascii="Times New Roman" w:cs="Times New Roman" w:eastAsia="Times New Roman" w:hAnsi="Times New Roman"/>
                <w:sz w:val="20"/>
                <w:szCs w:val="20"/>
                <w:color w:val="auto"/>
                <w:vertAlign w:val="superscript"/>
              </w:rPr>
              <w:t>(7)</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7,709</w:t>
            </w:r>
          </w:p>
        </w:tc>
      </w:tr>
      <w:tr>
        <w:trPr>
          <w:trHeight w:val="180"/>
        </w:trPr>
        <w:tc>
          <w:tcPr>
            <w:tcW w:w="6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Tax adjustment to normalize effective tax rate </w:t>
            </w:r>
            <w:r>
              <w:rPr>
                <w:rFonts w:ascii="Times New Roman" w:cs="Times New Roman" w:eastAsia="Times New Roman" w:hAnsi="Times New Roman"/>
                <w:sz w:val="20"/>
                <w:szCs w:val="20"/>
                <w:color w:val="auto"/>
                <w:vertAlign w:val="superscript"/>
              </w:rPr>
              <w:t>(8)</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(10,084)</w:t>
            </w:r>
          </w:p>
        </w:tc>
      </w:tr>
      <w:tr>
        <w:trPr>
          <w:trHeight w:val="180"/>
        </w:trPr>
        <w:tc>
          <w:tcPr>
            <w:tcW w:w="66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Tax effect of total adjustments </w:t>
            </w:r>
            <w:r>
              <w:rPr>
                <w:rFonts w:ascii="Times New Roman" w:cs="Times New Roman" w:eastAsia="Times New Roman" w:hAnsi="Times New Roman"/>
                <w:sz w:val="20"/>
                <w:szCs w:val="20"/>
                <w:color w:val="auto"/>
                <w:vertAlign w:val="superscript"/>
              </w:rPr>
              <w:t>(9)</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(14,702)</w:t>
            </w:r>
          </w:p>
        </w:tc>
      </w:tr>
      <w:tr>
        <w:trPr>
          <w:trHeight w:val="196"/>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net income</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108,113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93,858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GAAP earnings per share:</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0.67</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earnings per share:</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96,812</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100,162</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w:t>
      </w:r>
    </w:p>
    <w:p>
      <w:pPr>
        <w:spacing w:after="0" w:line="55" w:lineRule="exact"/>
        <w:rPr>
          <w:sz w:val="20"/>
          <w:szCs w:val="20"/>
          <w:color w:val="auto"/>
        </w:rPr>
      </w:pPr>
    </w:p>
    <w:p>
      <w:pPr>
        <w:ind w:left="380" w:hanging="375"/>
        <w:spacing w:after="0" w:line="264" w:lineRule="auto"/>
        <w:tabs>
          <w:tab w:leader="none" w:pos="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non-cash share-based compensation expense and zero, less than $0.1 million, and $0.1 million of cash dividends paid in fiscal 2024, fiscal 2023, and fiscal 2022 respectively, on vested share-based awards as a result of dividends declared in connection with a recapitalization that occurred in fiscal 2018.</w:t>
      </w:r>
    </w:p>
    <w:p>
      <w:pPr>
        <w:spacing w:after="0" w:line="10" w:lineRule="exact"/>
        <w:rPr>
          <w:rFonts w:ascii="Times New Roman" w:cs="Times New Roman" w:eastAsia="Times New Roman" w:hAnsi="Times New Roman"/>
          <w:sz w:val="13"/>
          <w:szCs w:val="13"/>
          <w:color w:val="auto"/>
        </w:rPr>
      </w:pPr>
    </w:p>
    <w:p>
      <w:pPr>
        <w:ind w:left="380" w:hanging="375"/>
        <w:spacing w:after="0" w:line="281" w:lineRule="auto"/>
        <w:tabs>
          <w:tab w:leader="none" w:pos="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write-off of debt issuance costs and debt discounts as well as debt modification costs related to refinancing and/or repayment of our credit facilities. See NOTE 6—Long-term Debt to our Consolidated Financial Statements for additional information.</w:t>
      </w:r>
    </w:p>
    <w:p>
      <w:pPr>
        <w:ind w:left="380" w:hanging="375"/>
        <w:spacing w:after="0"/>
        <w:tabs>
          <w:tab w:leader="none" w:pos="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non-restructuring asset impairment charges and gains or losses on dispositions of assets.</w:t>
      </w:r>
    </w:p>
    <w:p>
      <w:pPr>
        <w:spacing w:after="0" w:line="52"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costs related to the acquisition and integration of United Grocery Outlet, including due diligence, legal, other consulting and retention bonus expenses.</w:t>
      </w:r>
    </w:p>
    <w:p>
      <w:pPr>
        <w:spacing w:after="0" w:line="41" w:lineRule="exact"/>
        <w:rPr>
          <w:rFonts w:ascii="Times New Roman" w:cs="Times New Roman" w:eastAsia="Times New Roman" w:hAnsi="Times New Roman"/>
          <w:sz w:val="13"/>
          <w:szCs w:val="13"/>
          <w:color w:val="auto"/>
        </w:rPr>
      </w:pPr>
    </w:p>
    <w:p>
      <w:pPr>
        <w:jc w:val="both"/>
        <w:ind w:left="380" w:hanging="375"/>
        <w:spacing w:after="0" w:line="252" w:lineRule="auto"/>
        <w:tabs>
          <w:tab w:leader="none" w:pos="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determining adjusted EBITDA, this line represents the incremental amortization of inventory step-ups resulting from purchase price accounting related to the acquisition. For purposes of determining adjusted net income, in addition to the previously noted item, this line also represents the incremental amortization of an asset step-up resulting from purchase price accounting related to our acquisition in 2014 by an investment fund affiliated with Hellman &amp; Friedman LLC, as well as the amortization of debt issuance costs, as these items are already included in the adjusted EBITDA reconciliation within the depreciation and amortization expenses and interest income, net, respectively.</w:t>
      </w:r>
    </w:p>
    <w:p>
      <w:pPr>
        <w:spacing w:after="0" w:line="19"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impairment of long-lived assets related to the Restructuring Plan.</w:t>
      </w:r>
    </w:p>
    <w:p>
      <w:pPr>
        <w:spacing w:after="0" w:line="52" w:lineRule="exact"/>
        <w:rPr>
          <w:rFonts w:ascii="Times New Roman" w:cs="Times New Roman" w:eastAsia="Times New Roman" w:hAnsi="Times New Roman"/>
          <w:sz w:val="13"/>
          <w:szCs w:val="13"/>
          <w:color w:val="auto"/>
        </w:rPr>
      </w:pPr>
    </w:p>
    <w:p>
      <w:pPr>
        <w:ind w:left="380" w:hanging="375"/>
        <w:spacing w:after="0" w:line="304" w:lineRule="auto"/>
        <w:tabs>
          <w:tab w:leader="none" w:pos="38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other non-recurring, non-cash or non-operational items, such as certain personnel-related hiring and termination costs, which were $7.8 million in fiscal 2024, system implementation costs, which were $3.7 million in fiscal 2024, legal settlements and other legal expenses, costs related to employer payroll taxes associated with equity awards, store closing costs, strategic project costs and miscellaneous costs.</w:t>
      </w:r>
    </w:p>
    <w:p>
      <w:pPr>
        <w:jc w:val="both"/>
        <w:ind w:left="380" w:hanging="375"/>
        <w:spacing w:after="0" w:line="251" w:lineRule="auto"/>
        <w:tabs>
          <w:tab w:leader="none" w:pos="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adjustments to normalize the effective tax rate for the impact of unusual or infrequent tax items that we do not consider in our evaluation of ongoing performance, including excess tax expenses or benefits related to stock option exercises and vesting of time-based restricted stock units ("RSUs") and performance-based restricted stock units ("PSUs") that are recorded in earnings as discrete items in the reporting period in which they occur.</w:t>
      </w:r>
    </w:p>
    <w:p>
      <w:pPr>
        <w:spacing w:after="0" w:line="29"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tax effect of the total adjustments. We calculate the tax effect of the total adjustments on a discrete basis excluding any non-recurring and unusual tax items.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fiscal 2024 to fiscal 2023 (amounts in thousands, except percentages)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40" w:type="dxa"/>
            <w:vAlign w:val="bottom"/>
          </w:tcPr>
          <w:p>
            <w:pPr>
              <w:spacing w:after="0"/>
              <w:rPr>
                <w:sz w:val="9"/>
                <w:szCs w:val="9"/>
                <w:color w:val="auto"/>
              </w:rPr>
            </w:pPr>
          </w:p>
        </w:tc>
        <w:tc>
          <w:tcPr>
            <w:tcW w:w="132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48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80" w:type="dxa"/>
            <w:vAlign w:val="bottom"/>
            <w:vMerge w:val="restart"/>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53"/>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4,371,501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3,969,453</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402,048</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increase in net sales was primarily attributable to an increase in comparable store sales as well as non-comparable store net sales growth primarily from the 65 net new stores acquired or opened during fiscal 2024.</w:t>
      </w:r>
    </w:p>
    <w:p>
      <w:pPr>
        <w:spacing w:after="0" w:line="39" w:lineRule="exact"/>
        <w:rPr>
          <w:sz w:val="20"/>
          <w:szCs w:val="20"/>
          <w:color w:val="auto"/>
        </w:rPr>
      </w:pPr>
    </w:p>
    <w:p>
      <w:pPr>
        <w:ind w:right="1880" w:firstLine="382"/>
        <w:spacing w:after="0" w:line="463" w:lineRule="auto"/>
        <w:rPr>
          <w:sz w:val="20"/>
          <w:szCs w:val="20"/>
          <w:color w:val="auto"/>
        </w:rPr>
      </w:pPr>
      <w:r>
        <w:rPr>
          <w:rFonts w:ascii="Times New Roman" w:cs="Times New Roman" w:eastAsia="Times New Roman" w:hAnsi="Times New Roman"/>
          <w:sz w:val="14"/>
          <w:szCs w:val="14"/>
          <w:color w:val="auto"/>
        </w:rPr>
        <w:t xml:space="preserve">Comparable store sales increased 2.7%, driven by a 4.2% increase in the number of transactions, partially offset by a 1.4% decrease in average transaction size. </w:t>
      </w:r>
      <w:r>
        <w:rPr>
          <w:rFonts w:ascii="Times New Roman" w:cs="Times New Roman" w:eastAsia="Times New Roman" w:hAnsi="Times New Roman"/>
          <w:sz w:val="14"/>
          <w:szCs w:val="14"/>
          <w:b w:val="1"/>
          <w:bCs w:val="1"/>
          <w:i w:val="1"/>
          <w:iCs w:val="1"/>
          <w:color w:val="auto"/>
        </w:rPr>
        <w:t>Cost of Sales, Gross Profit and Gross Margin</w:t>
      </w:r>
    </w:p>
    <w:tbl>
      <w:tblPr>
        <w:tblLayout w:type="fixed"/>
        <w:tblInd w:w="0" w:type="dxa"/>
        <w:tblCellMar>
          <w:top w:w="0" w:type="dxa"/>
          <w:left w:w="0" w:type="dxa"/>
          <w:bottom w:w="0" w:type="dxa"/>
          <w:right w:w="0" w:type="dxa"/>
        </w:tblCellMar>
      </w:tblPr>
      <w:tr>
        <w:trPr>
          <w:trHeight w:val="158"/>
        </w:trPr>
        <w:tc>
          <w:tcPr>
            <w:tcW w:w="4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tcPr>
          <w:p>
            <w:pPr>
              <w:ind w:left="180"/>
              <w:spacing w:after="0" w:line="106"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80" w:type="dxa"/>
            <w:vAlign w:val="bottom"/>
          </w:tcPr>
          <w:p>
            <w:pPr>
              <w:spacing w:after="0"/>
              <w:rPr>
                <w:sz w:val="9"/>
                <w:szCs w:val="9"/>
                <w:color w:val="auto"/>
              </w:rPr>
            </w:pPr>
          </w:p>
        </w:tc>
        <w:tc>
          <w:tcPr>
            <w:tcW w:w="1400" w:type="dxa"/>
            <w:vAlign w:val="bottom"/>
            <w:gridSpan w:val="2"/>
          </w:tcPr>
          <w:p>
            <w:pPr>
              <w:ind w:left="180"/>
              <w:spacing w:after="0" w:line="106"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400" w:type="dxa"/>
            <w:vAlign w:val="bottom"/>
          </w:tcPr>
          <w:p>
            <w:pPr>
              <w:spacing w:after="0"/>
              <w:rPr>
                <w:sz w:val="9"/>
                <w:szCs w:val="9"/>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60" w:type="dxa"/>
            <w:vAlign w:val="bottom"/>
            <w:vMerge w:val="restart"/>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54"/>
        </w:trPr>
        <w:tc>
          <w:tcPr>
            <w:tcW w:w="4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3,049,564</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2,727,774</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321,790</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0" w:type="dxa"/>
            <w:vAlign w:val="bottom"/>
          </w:tcPr>
          <w:p>
            <w:pPr>
              <w:spacing w:after="0"/>
              <w:rPr>
                <w:sz w:val="1"/>
                <w:szCs w:val="1"/>
                <w:color w:val="auto"/>
              </w:rPr>
            </w:pPr>
          </w:p>
        </w:tc>
      </w:tr>
      <w:tr>
        <w:trPr>
          <w:trHeight w:val="18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net sales</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1,321,937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color w:val="auto"/>
              </w:rPr>
              <w:t>1,241,679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80,258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184"/>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increase in cost of sales and gross profit was primarily the result of an increase in comparable store sales combined with non-comparable net sales from 65 net new stores acquired or opened during fiscal 2024, as well as impacts related to our system upgrades.</w:t>
      </w:r>
    </w:p>
    <w:p>
      <w:pPr>
        <w:spacing w:after="0" w:line="12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Cost as a percentage of net sales increased and gross margin decreased primarily due to inventory management impacts related to our system upgrades, as certain tools we used to manage the business on our legacy system has been taking longer to rebuild, which impacted data visibility.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80" w:type="dxa"/>
            <w:vAlign w:val="bottom"/>
          </w:tcPr>
          <w:p>
            <w:pPr>
              <w:spacing w:after="0"/>
              <w:rPr>
                <w:sz w:val="9"/>
                <w:szCs w:val="9"/>
                <w:color w:val="auto"/>
              </w:rPr>
            </w:pPr>
          </w:p>
        </w:tc>
        <w:tc>
          <w:tcPr>
            <w:tcW w:w="140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400" w:type="dxa"/>
            <w:vAlign w:val="bottom"/>
          </w:tcPr>
          <w:p>
            <w:pPr>
              <w:spacing w:after="0"/>
              <w:rPr>
                <w:sz w:val="9"/>
                <w:szCs w:val="9"/>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1,243,610</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4"/>
                <w:szCs w:val="14"/>
                <w:color w:val="auto"/>
              </w:rPr>
              <w:t>1,115,897</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127,713</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0" w:type="dxa"/>
            <w:vAlign w:val="bottom"/>
          </w:tcPr>
          <w:p>
            <w:pPr>
              <w:spacing w:after="0"/>
              <w:rPr>
                <w:sz w:val="1"/>
                <w:szCs w:val="1"/>
                <w:color w:val="auto"/>
              </w:rPr>
            </w:pPr>
          </w:p>
        </w:tc>
      </w:tr>
      <w:tr>
        <w:trPr>
          <w:trHeight w:val="184"/>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net sales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increase in SG&amp;A was driven by $93.3 million in higher store-related expenses and $34.4 million in higher corporate-related expenses. Store-related expenses increased primarily as a result of higher commission payments largely due to 25 net new stores operated by IOs. Also contributing to the increase in SG&amp;A were higher store costs due to 65 net new stores, 40 of which are Company-operated, and the recognition of e-commerce vendor receivables during fiscal 2023. Corporate-related expenses increased largely to support net new store growth combined with $15.9 million in impairment of long-lived assets related to the Restructuring Plan and incremental costs to support our system upgrades, partially offset by lower incentive compensation expenses.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SG&amp;A as a percentage of net sales increased primarily due to $15.9 million in impairment of long-lived assets related to the Restructuring Plan and increases in other store costs, partially offset by lower elective commission support we provided to operators through early 2024 related to our system upgrades.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Net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60" w:type="dxa"/>
            <w:vAlign w:val="bottom"/>
          </w:tcPr>
          <w:p>
            <w:pPr>
              <w:spacing w:after="0"/>
              <w:rPr>
                <w:sz w:val="9"/>
                <w:szCs w:val="9"/>
                <w:color w:val="auto"/>
              </w:rPr>
            </w:pPr>
          </w:p>
        </w:tc>
        <w:tc>
          <w:tcPr>
            <w:tcW w:w="1400" w:type="dxa"/>
            <w:vAlign w:val="bottom"/>
            <w:gridSpan w:val="2"/>
          </w:tcPr>
          <w:p>
            <w:pPr>
              <w:ind w:left="200"/>
              <w:spacing w:after="0" w:line="108"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420" w:type="dxa"/>
            <w:vAlign w:val="bottom"/>
          </w:tcPr>
          <w:p>
            <w:pPr>
              <w:spacing w:after="0"/>
              <w:rPr>
                <w:sz w:val="9"/>
                <w:szCs w:val="9"/>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22,156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4"/>
                <w:szCs w:val="14"/>
                <w:color w:val="auto"/>
              </w:rPr>
              <w:t>16,361</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5,795</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35.4 %</w:t>
            </w: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net sales</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increase in net interest expense was primarily driven by higher average principal debt outstanding during fiscal 2024, due largely to fund share repurchases and other cash outlays to support the continued growth of the business, after the acquisition of United Grocery Outlet.</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NOTE 6—Long-term Debt to our Consolidated Financial Statements for additional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Debt Extinguishment and Modification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880" w:type="dxa"/>
            <w:vAlign w:val="bottom"/>
          </w:tcPr>
          <w:p>
            <w:pPr>
              <w:spacing w:after="0"/>
              <w:rPr>
                <w:sz w:val="9"/>
                <w:szCs w:val="9"/>
                <w:color w:val="auto"/>
              </w:rPr>
            </w:pPr>
          </w:p>
        </w:tc>
        <w:tc>
          <w:tcPr>
            <w:tcW w:w="1180" w:type="dxa"/>
            <w:vAlign w:val="bottom"/>
          </w:tcPr>
          <w:p>
            <w:pPr>
              <w:jc w:val="center"/>
              <w:ind w:left="299"/>
              <w:spacing w:after="0" w:line="106"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3"/>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420" w:type="dxa"/>
            <w:vAlign w:val="bottom"/>
          </w:tcPr>
          <w:p>
            <w:pPr>
              <w:spacing w:after="0"/>
              <w:rPr>
                <w:sz w:val="9"/>
                <w:szCs w:val="9"/>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54"/>
        </w:trPr>
        <w:tc>
          <w:tcPr>
            <w:tcW w:w="4880" w:type="dxa"/>
            <w:vAlign w:val="bottom"/>
          </w:tcPr>
          <w:p>
            <w:pPr>
              <w:spacing w:after="0"/>
              <w:rPr>
                <w:sz w:val="13"/>
                <w:szCs w:val="13"/>
                <w:color w:val="auto"/>
              </w:rPr>
            </w:pP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debt extinguishment and modification</w:t>
            </w:r>
          </w:p>
        </w:tc>
        <w:tc>
          <w:tcPr>
            <w:tcW w:w="1180" w:type="dxa"/>
            <w:vAlign w:val="bottom"/>
            <w:tcBorders>
              <w:top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4"/>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net sales</w:t>
            </w:r>
          </w:p>
        </w:tc>
        <w:tc>
          <w:tcPr>
            <w:tcW w:w="118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During fiscal 2023, we recorded a $5.3 million loss on debt extinguishment related to the payoff of $385.0 million of principal on the senior term loan outstanding under our prior credit facilities.</w:t>
      </w:r>
    </w:p>
    <w:p>
      <w:pPr>
        <w:spacing w:after="0" w:line="2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NOTE 6—Long-term Debt to our Consolidated Financial Statements for additional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60" w:type="dxa"/>
            <w:vAlign w:val="bottom"/>
          </w:tcPr>
          <w:p>
            <w:pPr>
              <w:spacing w:after="0"/>
              <w:rPr>
                <w:sz w:val="9"/>
                <w:szCs w:val="9"/>
                <w:color w:val="auto"/>
              </w:rPr>
            </w:pPr>
          </w:p>
        </w:tc>
        <w:tc>
          <w:tcPr>
            <w:tcW w:w="140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420" w:type="dxa"/>
            <w:vAlign w:val="bottom"/>
          </w:tcPr>
          <w:p>
            <w:pPr>
              <w:spacing w:after="0"/>
              <w:rPr>
                <w:sz w:val="9"/>
                <w:szCs w:val="9"/>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16,706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24,644</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(7,938)</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net sales</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decrease in income tax expense was primarily due to lower pretax book income.</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increase in our effective income tax rate primarily related to non-deductible acquisition and integration costs related to the acquisition of United Grocery Outlet in fiscal 2024 and lower excess tax benefits related to the exercise of stock options.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NOTE 10—Income Taxes to our Consolidated Financial Statements for additional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80" w:type="dxa"/>
            <w:vAlign w:val="bottom"/>
          </w:tcPr>
          <w:p>
            <w:pPr>
              <w:spacing w:after="0"/>
              <w:rPr>
                <w:sz w:val="9"/>
                <w:szCs w:val="9"/>
                <w:color w:val="auto"/>
              </w:rPr>
            </w:pPr>
          </w:p>
        </w:tc>
        <w:tc>
          <w:tcPr>
            <w:tcW w:w="1400" w:type="dxa"/>
            <w:vAlign w:val="bottom"/>
            <w:gridSpan w:val="2"/>
          </w:tcPr>
          <w:p>
            <w:pPr>
              <w:ind w:left="180"/>
              <w:spacing w:after="0" w:line="108"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420" w:type="dxa"/>
            <w:vAlign w:val="bottom"/>
          </w:tcPr>
          <w:p>
            <w:pPr>
              <w:spacing w:after="0"/>
              <w:rPr>
                <w:sz w:val="9"/>
                <w:szCs w:val="9"/>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39,465</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4"/>
                <w:szCs w:val="14"/>
                <w:color w:val="auto"/>
              </w:rPr>
              <w:t>79,437</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(39,972)</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net sales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income decreased as a result of the foregoing factors.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40" w:type="dxa"/>
            <w:vAlign w:val="bottom"/>
          </w:tcPr>
          <w:p>
            <w:pPr>
              <w:spacing w:after="0"/>
              <w:rPr>
                <w:sz w:val="9"/>
                <w:szCs w:val="9"/>
                <w:color w:val="auto"/>
              </w:rPr>
            </w:pPr>
          </w:p>
        </w:tc>
        <w:tc>
          <w:tcPr>
            <w:tcW w:w="132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48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80" w:type="dxa"/>
            <w:vAlign w:val="bottom"/>
            <w:vMerge w:val="restart"/>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53"/>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236,779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252,621</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(15,842)</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decrease in adjusted EBITDA was primarily attributable to decreased gross margin and higher SG&amp;A, partially offset by an increase in comparable store sales of 2.7% for fiscal 2024 as well as non-comparable store sales, as discussed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Net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60"/>
              <w:spacing w:after="0" w:line="106"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40" w:type="dxa"/>
            <w:vAlign w:val="bottom"/>
          </w:tcPr>
          <w:p>
            <w:pPr>
              <w:spacing w:after="0"/>
              <w:rPr>
                <w:sz w:val="9"/>
                <w:szCs w:val="9"/>
                <w:color w:val="auto"/>
              </w:rPr>
            </w:pPr>
          </w:p>
        </w:tc>
        <w:tc>
          <w:tcPr>
            <w:tcW w:w="1320" w:type="dxa"/>
            <w:vAlign w:val="bottom"/>
            <w:gridSpan w:val="2"/>
          </w:tcPr>
          <w:p>
            <w:pPr>
              <w:jc w:val="center"/>
              <w:ind w:right="340"/>
              <w:spacing w:after="0" w:line="106"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48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1580" w:type="dxa"/>
            <w:vAlign w:val="bottom"/>
            <w:vMerge w:val="restart"/>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54"/>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108,113</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(31,838)</w:t>
            </w:r>
          </w:p>
        </w:tc>
        <w:tc>
          <w:tcPr>
            <w:tcW w:w="10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decrease in adjusted net income was primarily attributable to decreased gross margin, higher SG&amp;A (including higher depreciation expense), and higher net interest expense, partially offset by an increase in comparable store sales of 2.7% for fiscal 2024 as well as non-comparable store sales, as discussed above.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Based on our current operations and new store growth plans, we expect to satisfy our short-term and long-term cash requirements through a combination of our existing cash and cash equivalents position, funds generated from operating activities, and the borrowing capacity available in the revolving credit facility under our credit agreement, dated February 21, 2023, with Bank of America, N.A. (the "2023 Credit Agreement"). If cash generated from our operations and borrowings under the revolving credit facility are not sufficient or available to meet our liquidity requirements, then we will be required to obtain additional equity or debt financing in the future. There can be no assurance that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of December 28, 2024, we had cash and cash equivalents of $62.8 million, which consisted primarily of cash held in checking and money market accounts with financial institutions. In addition, we have a revolving credit facility with $400.0 million in borrowing capacity under the 2023 Credit Agreement. As of December 28, 2024, we had $190.0 million of borrowings outstanding under the revolving credit facility and $4.5 million of outstanding standby letters of credit, resulting in $205.5 million of remaining borrowing capacity available under this revolving credit facility. During fiscal 2024, $190.0 million was borrowed under this revolving credit facility.</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On February 21, 2023, we entered into the 2023 Credit Agreement, which provides for senior secured credit facilities consisting of (i) a senior secured term loan facility (the "senior term loan") in an original aggregate principal amount of $300.0 million and (ii) a senior secured revolving credit facility (the "revolving credit facility" and, together with the senior term loan, the "new credit facilities") in an aggregate principal amount of $400.0 million. The senior term loan was borrowed in full on such date, and $25.0 million of the revolving credit facility was borrowed on such date. Also on February 21, 2023, we repaid all of the outstanding indebtedness under our prior first lien credit agreement, as well as fees and expenses in connection therewith. See NOTE 6—Long-term Debt to our Consolidated Financial Statements for further detail regarding the 2023 Credit Agreement and our prior first lien credit agreement.</w:t>
      </w:r>
    </w:p>
    <w:p>
      <w:pPr>
        <w:spacing w:after="0" w:line="58"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senior secured credit facilities of the 2023 Credit Agreement permit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any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(as defined in the 2023 Credit Agreement) of 3.00 to 1.00.</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may also, from time to time, at our sole discretion, prepay or retire all or a portion of our outstanding debt.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Material Cash Requirements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have operating and finance lease arrangements for substantially all store locations, distribution centers, and certain office space and equipment. As of December 28, 2024, total lease assets and lease liabilities were $1.0 billion and $1.2 billion, respectively, and we had executed leases for 69 store locations that we had not yet taken possession of with total undiscounted future lease payments of $451.5 million and lease terms through 2043. We have identified 17 of these store locations to pursue negotiations to exit leases with total undiscounted future lease payments of $66.7 million and lease terms through 2038 related to the Restructuring Plan. See NOTE 4—Leases to our Consolidated Financial Statements for further detail of our lease obligations and the timing of lease liability maturities. See NOTE 16—Restructuring Plan to our Consolidated Financial Statements for additional information on the Restructuring Plan.</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Debt Obligations and Interest Payments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See NOTE 6—Long-term Debt to our Consolidated Financial Statements for further detail of our 2023 Credit Agreement, which as of December 28, 2024 consists of a senior term loan with $288.8 million of principal outstanding and a revolving credit facility with an aggregate outstanding principal balance of $190.0 million, as well as outstanding letters of credit of $4.5 million and a remaining borrowing capacity available of $205.5 million. As of December 28, 2024, based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the then-current interest rate of 6.92%, expected future interest payments associated with our debt totaled $99.6 million, with $33.1 million payable during fiscal 2025. The 2023 Credit Agreement requires us to make scheduled quarterly amortization payments on the senior term loan. Such payments total $45.0 million over the remaining term of the senior term loan, with $15.0 million payable in fiscal 2025. The remaining senior term loan principal balance will become due in February 2028 at maturity.</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Capital Expenditures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capital expenditures are primarily related to new store openings, ongoing store maintenance and improvements, expenditures related to our distribution centers and infrastructure-related investments, including investments related to upgrading and maintaining our information technology systems and corporate offices. We expect to fund capital expenditures primarily through cash generated from our operations. As compared to capital expenditures of $185.7 million, net of tenant improvement allowances, in fiscal 2024, we expect to incur capital expenditures of approximately $210.0 million, net of tenant improvement allowances, in fiscal 2025, primarily related to new store openings, supply chain investments, ongoing store maintenance and improvements and systems and infrastructure investments.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Working Capital and Purchase Commitments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primary working capital requirements are for the purchase of inventory, payroll, rent, issuance of IO notes, other store facilities costs, distribution costs and general and administrative costs. Our working capital requirements fluctuate during the year, driven primarily by the timing of inventory fluctuations, new store openings and capital spending.</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purchase commitments consist of non-cancelable obligations under service and supply contracts. As of December 28, 2024, we had total purchase obligations of $8.3 million, which is fully payable during fiscal 2025.</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Share Repurchases and Dividends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may repurchase our common stock pursuant to programs approved by our Board. As of December 28, 2024, we had $100.0 million of repurchase authority remaining under the current share repurchase program. See "Item 5. Market For Registrant's Common Equity, Related Stockholder Matters and Issuer Purchases of Equity Securities—Issuer Purchases of Equity Securities" for discussion about our Board-authorized share repurchase program.</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28, 2024, we currently do not expect to declare any dividends on our common stock in the foreseeable future.</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Acquisition of United Grocery Outlet</w:t>
      </w:r>
    </w:p>
    <w:p>
      <w:pPr>
        <w:spacing w:after="0" w:line="13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acquisition of United Grocery Outlet was completed on April 1, 2024 for the total purchase consideration of $62.5 million, including $2.0 million of cash and cash equivalents on hand, after post-closing adjustments, and was funded with cash on hand.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Covenants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2023 Credit Agreement contains certain customary representations and warranties, subject to limitations and exceptions, and affirmative and customary covenants. The 2023 Credit Agreement contains certain covenants that, among other things, limit our ability and the ability of our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our subsidiaries to pay dividends or make other payments to the borrower. The 2023 Credit Agreement also contains financial performance covenants requiring us to satisfy a maximum total net leverage ratio test and a minimum interest coverage ratio test as of the last day of each fiscal quarter. The maximum total net leverage ratio test requires us to be in compliance with a Total Net Leverage Ratio no greater than 3.50 to 1.00 as of the last day of each test period ending prior to the test period ending on or about December 31, 2025, and no greater than 3.25 to 1.00 as of the last day of each test period ending thereafter, subject to certain adjustments set forth in the 2023 Credit Agreement. The minimum interest coverage ratio test requires us to be in compliance with a Consolidated Interest Coverage Ratio (as defined in the 2023 Credit Agreement) of no less than 1.75 to 1.00 as of the last day of each test period.</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28, 2024, we were in compliance with all applicable financial covenant requirements for the 2023 Credit Agreement.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08"/>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right"/>
              <w:ind w:right="334"/>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185,511</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(149,931)</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109,906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(97,023)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(72,937)</w:t>
            </w:r>
          </w:p>
        </w:tc>
      </w:tr>
      <w:tr>
        <w:trPr>
          <w:trHeight w:val="171"/>
        </w:trPr>
        <w:tc>
          <w:tcPr>
            <w:tcW w:w="6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(52,159)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(37,357)</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Provided by Operating Activities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Net cash provided by operating activities was $112.0 million for fiscal 2024 compared to $303.4 million for fiscal 2023. The $191.5 million decrease was primarily driven by changes in trade accounts payable and accrued and other liabilities combined with lower net income and changes in merchandise inventory levels. The change in trade accounts payable and accrued and other liabilities were partially attributable to disruptions related to the implementation of our system upgrades.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Used in Investing Activities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was $274.0 million for fiscal 2024 compared to $194.2 million for fiscal 2023. The $79.9 million increase was due primarily to the acquisition of United Grocery Outlet in April 2024 combined with increased spending on property and equipment due to higher store count and higher construction costs related to future stores.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Provided by (Used in) Financing Activities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Net cash provided by financing activities of $109.9 million for fiscal 2024 was primarily due to the borrowing of $190.0 million on our revolving credit facility under the 2023 Credit Agreement and $8.8 million in proceeds from the exercise of stock options, partially offset by the repurchase of $81.4 million of our common stock and $5.6 million in scheduled principal payments on the senior term loan under the 2023 Credit Agreement. Net cash used in financing activities of $97.0 million for fiscal 2023 was primarily due to the payoff of $385.0 million of principal on the prior senior term loan outstanding under our prior credit facility, repayment of the $25.0 million of principal on our revolving credit facility, $4.5 million in debt issuance costs paid, the repurchase of $5.9 million worth of common stock, and $5.6 million in scheduled principal payments on the senior term loan under the 2023 Credit Agreement, partially offset by $325.0 million in proceeds from the 2023 Credit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A summary of our significant accounting policies can be found in NOTE 1—Organization and Summary of Significant Accounting Policies to our Consolidated Financial Statements. The preparation of our consolidated financial statements requires us to make judgments and estimates that affect the reported amounts of assets, liabilities, revenues, expenses and related disclosures. We evaluate our estimates and assumptions on an ongoing basis. Our judgments and estimates are based on historical experience and other factors believed to be reasonable under the circumstances.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Management evaluated the development and selection of our critical accounting policies and estimates and believes that the following involves a higher degree of judgment or complexity and is most significant to reporting our results of operations and financial position, and is therefore discussed as critical. With respect to critical accounting policies, even a relatively minor variance between actual and expected results can potentially have a materially favorable or unfavorable impact on subsequent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Long-lived asset impairment</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evaluate long-lived assets, including property and equipment and lease right-of-use assets, for impairment when events or changes in circumstances indicate that the carrying value of such assets may not be recoverable. For purposes of this evaluation, long-lived assets are grouped with other assets and liabilities at the lowest level for which identifiable cash flows are largely independent of the cash flows of other assets. Our retail stores are evaluated for impairment at the store level. A long-lived asset or asset group may be impaired if its carrying value exceeds its estimated undiscounted future cash flows over its remaining useful life. The total amount of property and equipment, including store assets, and operating lease right-of-use assets as of December 28, 2024 were $750.4 million and $1.0 billion, respectively.</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impairment calculations contain uncertainties because they require us to make assumptions and to apply judgment to estimate future cash flows. Key assumptions used in estimating future cash flows include projected sales growth, gross margin and operating expenses. Estimates of sales growth, gross margin and operating expenses are based on internal projections and consider the store’s historical performance, length of time the store has been open, the local market economics and the business environment impacting the store’s performance. These estimates are subjective and our ability to realize future cash flows is affected by factors such as ongoing maintenance and improvement of the assets, changes in economic conditions and changes in operating performance. We have not made any material changes in the accounting methodology used to evaluate the impairment of long-lived assets during fiscal 2024. If actual results are not consistent with our estimates and assumptions used to calculate estimated future cash flows, we may be exposed to impairment losses that could be material.</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If a long-lived asset or asset group is determined to be impaired, we record an impairment loss for the amount by which the carrying value of the asset or asset group exceeds its fair value. The estimated fair value of the asset or asset group is based on the estimated discounted future cash flows of the asset or asset group using a discount rate commensurate with the related risk.</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fiscal 2024 we recognized $15.9 million of impairment of long-lived assets resulting from the Restructuring Plan, which is included in Selling, general and administrative expenses. There were no adjustments to the carrying value of long-lived assets due to impairment charges during fiscal 2023 and fiscal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Refer to NOTE 1—Organization and Summary of Significant Accounting Policies to our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operating results are subject to market risk from interest rate fluctuations on our credit facilities, which bear variable interest rates. As of December 28, 2024, our outstanding borrowings included $288.8 million from the senior term loan and $190.0 million from the revolving credit facility under the 2023 Credit Agreement. As of December 28, 2024, the interest rate on these borrowings ranged from 6.92% to 6.95% (See NOTE 6—Long-term Debt to our Consolidated Financial Statements for additional information). Based on the outstanding balances and interest rates of the senior term loan and the revolving credit facility as of December 28, 2024, a hypothetical 10% relative increase or decrease in the interest rate would cause an increase or decrease in interest expense, excluding the capitalization of interest, of approximately $3.3 million over the next 12 months.</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do not use derivative financial instruments for speculative or trading purposes, but this does not preclude our adoption of specific hedging strategies in the future.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Inflation</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results of operations and financial condition are presented based on historical cost. While it is difficult to accurately measure the impact of inflation due to the imprecise nature of the estimates required, we have experienced over the last several years varying levels of inflation and subsequent disinflation, resulting in part from various supply disruptions, increased shipping and transportation costs, increased commodity costs, increased labor costs in the supply chain, increased materials costs to develop new stores, increased SG&amp;A related to personnel, travel, and other operational costs and other disruptions caused by the recent macroeconomic environment. Similarly, our IOs have been impacted by staffing challenges and increased labor costs and utility costs within their businesses. Furthermore, our results of operations and financial condition may be materially impacted by inflation in the future.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91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818"/>
        </w:trPr>
        <w:tc>
          <w:tcPr>
            <w:tcW w:w="91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gridSpan w:val="2"/>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GROCERY OUTLET HOLDING CORP.</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4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160" w:type="dxa"/>
            <w:vAlign w:val="bottom"/>
            <w:gridSpan w:val="3"/>
          </w:tcPr>
          <w:p>
            <w:pPr>
              <w:jc w:val="center"/>
              <w:ind w:left="134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3"/>
        </w:trPr>
        <w:tc>
          <w:tcPr>
            <w:tcW w:w="20" w:type="dxa"/>
            <w:vAlign w:val="bottom"/>
          </w:tcPr>
          <w:p>
            <w:pPr>
              <w:spacing w:after="0"/>
              <w:rPr>
                <w:sz w:val="13"/>
                <w:szCs w:val="13"/>
                <w:color w:val="auto"/>
              </w:rPr>
            </w:pPr>
          </w:p>
        </w:tc>
        <w:tc>
          <w:tcPr>
            <w:tcW w:w="9100" w:type="dxa"/>
            <w:vAlign w:val="bottom"/>
            <w:gridSpan w:val="9"/>
          </w:tcPr>
          <w:p>
            <w:pPr>
              <w:spacing w:after="0" w:line="153" w:lineRule="exact"/>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(PCAOB ID No. </w:t>
            </w:r>
            <w:r>
              <w:rPr>
                <w:rFonts w:ascii="Times New Roman" w:cs="Times New Roman" w:eastAsia="Times New Roman" w:hAnsi="Times New Roman"/>
                <w:sz w:val="14"/>
                <w:szCs w:val="14"/>
                <w:color w:val="0E32E1"/>
              </w:rPr>
              <w:t>34)</w:t>
            </w:r>
          </w:p>
        </w:tc>
        <w:tc>
          <w:tcPr>
            <w:tcW w:w="2160" w:type="dxa"/>
            <w:vAlign w:val="bottom"/>
            <w:gridSpan w:val="3"/>
          </w:tcPr>
          <w:p>
            <w:pPr>
              <w:jc w:val="center"/>
              <w:ind w:left="1349"/>
              <w:spacing w:after="0" w:line="153" w:lineRule="exact"/>
              <w:rPr>
                <w:sz w:val="20"/>
                <w:szCs w:val="20"/>
                <w:color w:val="auto"/>
              </w:rPr>
            </w:pPr>
            <w:r>
              <w:rPr>
                <w:rFonts w:ascii="Times New Roman" w:cs="Times New Roman" w:eastAsia="Times New Roman" w:hAnsi="Times New Roman"/>
                <w:sz w:val="14"/>
                <w:szCs w:val="14"/>
                <w:color w:val="0000FF"/>
                <w:w w:val="99"/>
              </w:rPr>
              <w:t>61</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3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2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160" w:type="dxa"/>
            <w:vAlign w:val="bottom"/>
            <w:gridSpan w:val="3"/>
          </w:tcPr>
          <w:p>
            <w:pPr>
              <w:jc w:val="center"/>
              <w:ind w:left="1349"/>
              <w:spacing w:after="0"/>
              <w:rPr>
                <w:sz w:val="20"/>
                <w:szCs w:val="20"/>
                <w:color w:val="auto"/>
              </w:rPr>
            </w:pPr>
            <w:r>
              <w:rPr>
                <w:rFonts w:ascii="Times New Roman" w:cs="Times New Roman" w:eastAsia="Times New Roman" w:hAnsi="Times New Roman"/>
                <w:sz w:val="14"/>
                <w:szCs w:val="14"/>
                <w:color w:val="0000FF"/>
                <w:w w:val="99"/>
              </w:rPr>
              <w:t>63</w:t>
            </w:r>
          </w:p>
        </w:tc>
      </w:tr>
      <w:tr>
        <w:trPr>
          <w:trHeight w:val="20"/>
        </w:trPr>
        <w:tc>
          <w:tcPr>
            <w:tcW w:w="2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Income</w:t>
            </w:r>
          </w:p>
        </w:tc>
        <w:tc>
          <w:tcPr>
            <w:tcW w:w="5260" w:type="dxa"/>
            <w:vAlign w:val="bottom"/>
            <w:gridSpan w:val="3"/>
          </w:tcPr>
          <w:p>
            <w:pPr>
              <w:spacing w:after="0"/>
              <w:rPr>
                <w:sz w:val="13"/>
                <w:szCs w:val="13"/>
                <w:color w:val="auto"/>
              </w:rPr>
            </w:pPr>
          </w:p>
        </w:tc>
        <w:tc>
          <w:tcPr>
            <w:tcW w:w="2160" w:type="dxa"/>
            <w:vAlign w:val="bottom"/>
            <w:gridSpan w:val="3"/>
          </w:tcPr>
          <w:p>
            <w:pPr>
              <w:jc w:val="center"/>
              <w:ind w:left="1349"/>
              <w:spacing w:after="0"/>
              <w:rPr>
                <w:sz w:val="20"/>
                <w:szCs w:val="20"/>
                <w:color w:val="auto"/>
              </w:rPr>
            </w:pPr>
            <w:r>
              <w:rPr>
                <w:rFonts w:ascii="Times New Roman" w:cs="Times New Roman" w:eastAsia="Times New Roman" w:hAnsi="Times New Roman"/>
                <w:sz w:val="14"/>
                <w:szCs w:val="14"/>
                <w:color w:val="0000FF"/>
                <w:w w:val="99"/>
              </w:rPr>
              <w:t>64</w:t>
            </w:r>
          </w:p>
        </w:tc>
      </w:tr>
      <w:tr>
        <w:trPr>
          <w:trHeight w:val="20"/>
        </w:trPr>
        <w:tc>
          <w:tcPr>
            <w:tcW w:w="2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5260" w:type="dxa"/>
            <w:vAlign w:val="bottom"/>
            <w:gridSpan w:val="3"/>
          </w:tcPr>
          <w:p>
            <w:pPr>
              <w:spacing w:after="0"/>
              <w:rPr>
                <w:sz w:val="13"/>
                <w:szCs w:val="13"/>
                <w:color w:val="auto"/>
              </w:rPr>
            </w:pPr>
          </w:p>
        </w:tc>
        <w:tc>
          <w:tcPr>
            <w:tcW w:w="2160" w:type="dxa"/>
            <w:vAlign w:val="bottom"/>
            <w:gridSpan w:val="3"/>
          </w:tcPr>
          <w:p>
            <w:pPr>
              <w:jc w:val="center"/>
              <w:ind w:left="1349"/>
              <w:spacing w:after="0"/>
              <w:rPr>
                <w:sz w:val="20"/>
                <w:szCs w:val="20"/>
                <w:color w:val="auto"/>
              </w:rPr>
            </w:pPr>
            <w:r>
              <w:rPr>
                <w:rFonts w:ascii="Times New Roman" w:cs="Times New Roman" w:eastAsia="Times New Roman" w:hAnsi="Times New Roman"/>
                <w:sz w:val="14"/>
                <w:szCs w:val="14"/>
                <w:color w:val="0000FF"/>
                <w:w w:val="99"/>
              </w:rPr>
              <w:t>65</w:t>
            </w: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00" w:type="dxa"/>
            <w:vAlign w:val="bottom"/>
            <w:gridSpan w:val="2"/>
          </w:tcPr>
          <w:p>
            <w:pPr>
              <w:spacing w:after="0"/>
              <w:rPr>
                <w:sz w:val="13"/>
                <w:szCs w:val="13"/>
                <w:color w:val="auto"/>
              </w:rPr>
            </w:pPr>
          </w:p>
        </w:tc>
        <w:tc>
          <w:tcPr>
            <w:tcW w:w="6340" w:type="dxa"/>
            <w:vAlign w:val="bottom"/>
            <w:gridSpan w:val="4"/>
          </w:tcPr>
          <w:p>
            <w:pPr>
              <w:spacing w:after="0"/>
              <w:rPr>
                <w:sz w:val="13"/>
                <w:szCs w:val="13"/>
                <w:color w:val="auto"/>
              </w:rPr>
            </w:pPr>
          </w:p>
        </w:tc>
        <w:tc>
          <w:tcPr>
            <w:tcW w:w="2160" w:type="dxa"/>
            <w:vAlign w:val="bottom"/>
            <w:gridSpan w:val="3"/>
          </w:tcPr>
          <w:p>
            <w:pPr>
              <w:jc w:val="center"/>
              <w:ind w:left="1349"/>
              <w:spacing w:after="0"/>
              <w:rPr>
                <w:sz w:val="20"/>
                <w:szCs w:val="20"/>
                <w:color w:val="auto"/>
              </w:rPr>
            </w:pPr>
            <w:r>
              <w:rPr>
                <w:rFonts w:ascii="Times New Roman" w:cs="Times New Roman" w:eastAsia="Times New Roman" w:hAnsi="Times New Roman"/>
                <w:sz w:val="14"/>
                <w:szCs w:val="14"/>
                <w:color w:val="0000FF"/>
                <w:w w:val="99"/>
              </w:rPr>
              <w:t>66</w:t>
            </w:r>
          </w:p>
        </w:tc>
      </w:tr>
      <w:tr>
        <w:trPr>
          <w:trHeight w:val="20"/>
        </w:trPr>
        <w:tc>
          <w:tcPr>
            <w:tcW w:w="2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2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6620" w:type="dxa"/>
            <w:vAlign w:val="bottom"/>
            <w:gridSpan w:val="5"/>
          </w:tcPr>
          <w:p>
            <w:pPr>
              <w:spacing w:after="0"/>
              <w:rPr>
                <w:sz w:val="13"/>
                <w:szCs w:val="13"/>
                <w:color w:val="auto"/>
              </w:rPr>
            </w:pPr>
          </w:p>
        </w:tc>
        <w:tc>
          <w:tcPr>
            <w:tcW w:w="2160" w:type="dxa"/>
            <w:vAlign w:val="bottom"/>
            <w:gridSpan w:val="3"/>
          </w:tcPr>
          <w:p>
            <w:pPr>
              <w:jc w:val="center"/>
              <w:ind w:left="1349"/>
              <w:spacing w:after="0"/>
              <w:rPr>
                <w:sz w:val="20"/>
                <w:szCs w:val="20"/>
                <w:color w:val="auto"/>
              </w:rPr>
            </w:pPr>
            <w:r>
              <w:rPr>
                <w:rFonts w:ascii="Times New Roman" w:cs="Times New Roman" w:eastAsia="Times New Roman" w:hAnsi="Times New Roman"/>
                <w:sz w:val="14"/>
                <w:szCs w:val="14"/>
                <w:color w:val="0000FF"/>
                <w:w w:val="99"/>
              </w:rPr>
              <w:t>67</w:t>
            </w:r>
          </w:p>
        </w:tc>
      </w:tr>
      <w:tr>
        <w:trPr>
          <w:trHeight w:val="998"/>
        </w:trPr>
        <w:tc>
          <w:tcPr>
            <w:tcW w:w="20" w:type="dxa"/>
            <w:vAlign w:val="bottom"/>
          </w:tcPr>
          <w:p>
            <w:pPr>
              <w:spacing w:after="0"/>
              <w:rPr>
                <w:sz w:val="24"/>
                <w:szCs w:val="24"/>
                <w:color w:val="auto"/>
              </w:rPr>
            </w:pPr>
          </w:p>
        </w:tc>
        <w:tc>
          <w:tcPr>
            <w:tcW w:w="2480" w:type="dxa"/>
            <w:vAlign w:val="bottom"/>
            <w:tcBorders>
              <w:top w:val="single" w:sz="8" w:color="0000FF"/>
            </w:tcBorders>
            <w:gridSpan w:val="4"/>
          </w:tcPr>
          <w:p>
            <w:pPr>
              <w:spacing w:after="0"/>
              <w:rPr>
                <w:sz w:val="24"/>
                <w:szCs w:val="24"/>
                <w:color w:val="auto"/>
              </w:rPr>
            </w:pPr>
          </w:p>
        </w:tc>
        <w:tc>
          <w:tcPr>
            <w:tcW w:w="6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color w:val="auto"/>
                <w:w w:val="99"/>
              </w:rPr>
              <w:t>60</w:t>
            </w:r>
          </w:p>
        </w:tc>
        <w:tc>
          <w:tcPr>
            <w:tcW w:w="17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5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Grocery Outlet Holding Corp.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Grocery Outlet Holding Corp. and subsidiaries (the "Company") as of December 28, 2024 and December 30, 2023, the related consolidated statements of operations and comprehensive income, stockholders' equity, and cash flows, for each of the fiscal years ended December 28, 2024, December 30, 2023 and December 31, 2022 and the related notes (collectively referred to as the "financial statements"). In our opinion, the financial statements present fairly, in all material respects, the financial position of the Company as of December 28, 2024 and December 30, 2023, and the results of its operations and its cash flows for each of the fiscal years ended December 28, 2024, December 30, 2023, and December 31, 2022, in conformity with accounting principles generally accepted in the United States of America.</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the Company's internal control over financial reporting as of December 28, 2024,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and our report dated February 26, 2025, expressed an adverse opinion on the Company's internal control over financial reporting because of a material weakness.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Long-Lived Asset Impairment — Recoverability of stores identified with impairment indicators — Refer to Notes 1, 3, and 4 to the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long-lived assets, primarily property and equipment and lease right-of-use assets, are grouped at the store level, which is the lowest level for which identifiable cash flows are largely independent of the cash flows of other assets and liabilities.</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at least a quarterly basis, management reviews the Company's asset groups for indicators of impairment through an analysis that detects events or changes in circumstances that indicate that the carrying value of asset groups may not be recoverable. Management's impairment analysis determines whether projected undiscounted future cash flows from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operations are sufficient to recover the carrying value of these store assets. Impairment may result when the carrying value of these store assets exceeds the estimated undiscounted future cash flows over the remaining useful life. Management's impairment analysis consists of (1) identifying stores with indicators of impairment, (2) testing the identified store assets for recoverability and (3) measuring the impairment loss, if any. During the year ended December 28, 2024, Management recorded adjustments to the carrying value of long-lived assets due to impairment charges in the amount of $15.9 million.</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impairment of store-level long-lived assets is a critical audit matter relates to the significant judgment by management in developing the estimated future cash flows expected to be generated by the asset group. This in turn led to a high degree of auditor judgment, subjectivity, and effort in performing procedures and evaluating the cash flows, including the significant assumptions for sales growth rate, gross margin, and operating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management's judgments regarding the forecasts of future cash flows included the following, among others:</w:t>
      </w:r>
    </w:p>
    <w:p>
      <w:pPr>
        <w:spacing w:after="0" w:line="94"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ability to accurately forecast future sales growth, gross margin, and operating expenses by comparing actual results to management's historical forecasts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reasonableness of management's sales growth, gross margin, and operating expense forecasts by comparing the forecasts to:</w:t>
      </w:r>
    </w:p>
    <w:p>
      <w:pPr>
        <w:spacing w:after="0" w:line="93"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Current and past sales, gross margins, and operating expenses of the overall Company and individual store level asset groups</w:t>
      </w:r>
    </w:p>
    <w:p>
      <w:pPr>
        <w:spacing w:after="0" w:line="93"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Consistency with external market and industry data</w:t>
      </w:r>
    </w:p>
    <w:p>
      <w:pPr>
        <w:spacing w:after="0" w:line="93"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Internal communications to management and the Board of Directors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completeness, accuracy, and relevance of underlying data used in determining undiscounted and discounted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2007.</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GROCERY OUTLET HOLDING CORP.</w:t>
      </w:r>
    </w:p>
    <w:p>
      <w:pPr>
        <w:spacing w:after="0" w:line="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28,</w:t>
            </w:r>
          </w:p>
        </w:tc>
        <w:tc>
          <w:tcPr>
            <w:tcW w:w="240" w:type="dxa"/>
            <w:vAlign w:val="bottom"/>
          </w:tcPr>
          <w:p>
            <w:pPr>
              <w:spacing w:after="0"/>
              <w:rPr>
                <w:sz w:val="11"/>
                <w:szCs w:val="11"/>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December 30,</w:t>
            </w:r>
          </w:p>
        </w:tc>
        <w:tc>
          <w:tcPr>
            <w:tcW w:w="0" w:type="dxa"/>
            <w:vAlign w:val="bottom"/>
          </w:tcPr>
          <w:p>
            <w:pPr>
              <w:spacing w:after="0"/>
              <w:rPr>
                <w:sz w:val="1"/>
                <w:szCs w:val="1"/>
                <w:color w:val="auto"/>
              </w:rPr>
            </w:pPr>
          </w:p>
        </w:tc>
      </w:tr>
      <w:tr>
        <w:trPr>
          <w:trHeight w:val="153"/>
        </w:trPr>
        <w:tc>
          <w:tcPr>
            <w:tcW w:w="8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114,987</w:t>
            </w:r>
          </w:p>
        </w:tc>
        <w:tc>
          <w:tcPr>
            <w:tcW w:w="0" w:type="dxa"/>
            <w:vAlign w:val="bottom"/>
          </w:tcPr>
          <w:p>
            <w:pPr>
              <w:spacing w:after="0"/>
              <w:rPr>
                <w:sz w:val="1"/>
                <w:szCs w:val="1"/>
                <w:color w:val="auto"/>
              </w:rPr>
            </w:pPr>
          </w:p>
        </w:tc>
      </w:tr>
      <w:tr>
        <w:trPr>
          <w:trHeight w:val="180"/>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Independent operator receivables and current portion of independent operator notes, net of allowance $5,770 and $5,092</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14,943</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accounts receivable, net of allowance $9 and $2</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w:t>
            </w:r>
          </w:p>
        </w:tc>
        <w:tc>
          <w:tcPr>
            <w:tcW w:w="0" w:type="dxa"/>
            <w:vAlign w:val="bottom"/>
          </w:tcPr>
          <w:p>
            <w:pPr>
              <w:spacing w:after="0"/>
              <w:rPr>
                <w:sz w:val="1"/>
                <w:szCs w:val="1"/>
                <w:color w:val="auto"/>
              </w:rPr>
            </w:pPr>
          </w:p>
        </w:tc>
      </w:tr>
      <w:tr>
        <w:trPr>
          <w:trHeight w:val="180"/>
        </w:trPr>
        <w:tc>
          <w:tcPr>
            <w:tcW w:w="8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Merchandise inventories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394,152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349,993</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32,443</w:t>
            </w:r>
          </w:p>
        </w:tc>
        <w:tc>
          <w:tcPr>
            <w:tcW w:w="0" w:type="dxa"/>
            <w:vAlign w:val="bottom"/>
          </w:tcPr>
          <w:p>
            <w:pPr>
              <w:spacing w:after="0"/>
              <w:rPr>
                <w:sz w:val="1"/>
                <w:szCs w:val="1"/>
                <w:color w:val="auto"/>
              </w:rPr>
            </w:pPr>
          </w:p>
        </w:tc>
      </w:tr>
      <w:tr>
        <w:trPr>
          <w:trHeight w:val="17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503,898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516,551</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Independent operator notes and receivables, net of allowance $12,709 and $11,059</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28,134</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750,423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642,462</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1,014,678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945,710</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78,556</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782,734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747,943</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10,230</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3,173,821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2,969,586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2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Trade accounts payable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175,871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209,354</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66,655</w:t>
            </w:r>
          </w:p>
        </w:tc>
        <w:tc>
          <w:tcPr>
            <w:tcW w:w="0" w:type="dxa"/>
            <w:vAlign w:val="bottom"/>
          </w:tcPr>
          <w:p>
            <w:pPr>
              <w:spacing w:after="0"/>
              <w:rPr>
                <w:sz w:val="1"/>
                <w:szCs w:val="1"/>
                <w:color w:val="auto"/>
              </w:rPr>
            </w:pPr>
          </w:p>
        </w:tc>
      </w:tr>
      <w:tr>
        <w:trPr>
          <w:trHeight w:val="180"/>
        </w:trPr>
        <w:tc>
          <w:tcPr>
            <w:tcW w:w="8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24,749</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0" w:type="dxa"/>
            <w:vAlign w:val="bottom"/>
          </w:tcPr>
          <w:p>
            <w:pPr>
              <w:spacing w:after="0"/>
              <w:rPr>
                <w:sz w:val="1"/>
                <w:szCs w:val="1"/>
                <w:color w:val="auto"/>
              </w:rPr>
            </w:pPr>
          </w:p>
        </w:tc>
      </w:tr>
      <w:tr>
        <w:trPr>
          <w:trHeight w:val="180"/>
        </w:trPr>
        <w:tc>
          <w:tcPr>
            <w:tcW w:w="8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63,774</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and other taxes payable</w:t>
            </w: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13,808</w:t>
            </w:r>
          </w:p>
        </w:tc>
        <w:tc>
          <w:tcPr>
            <w:tcW w:w="0" w:type="dxa"/>
            <w:vAlign w:val="bottom"/>
          </w:tcPr>
          <w:p>
            <w:pPr>
              <w:spacing w:after="0"/>
              <w:rPr>
                <w:sz w:val="1"/>
                <w:szCs w:val="1"/>
                <w:color w:val="auto"/>
              </w:rPr>
            </w:pPr>
          </w:p>
        </w:tc>
      </w:tr>
      <w:tr>
        <w:trPr>
          <w:trHeight w:val="171"/>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383,965</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287,107</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 net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38,601</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1,106,219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1,038,307</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1,976,437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1,750,247</w:t>
            </w:r>
          </w:p>
        </w:tc>
        <w:tc>
          <w:tcPr>
            <w:tcW w:w="0" w:type="dxa"/>
            <w:vAlign w:val="bottom"/>
          </w:tcPr>
          <w:p>
            <w:pPr>
              <w:spacing w:after="0"/>
              <w:rPr>
                <w:sz w:val="1"/>
                <w:szCs w:val="1"/>
                <w:color w:val="auto"/>
              </w:rPr>
            </w:pP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2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Common stock, par value $0.001 per share, 500,000,000 shares authorized; 97,262,557 and 99,223,863 shares issued and outstanding,</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 par value $0.001 per share, 50,000,000 shares authorized; no shares issued and outstanding</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815,858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877,276</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381,429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341,964</w:t>
            </w:r>
          </w:p>
        </w:tc>
        <w:tc>
          <w:tcPr>
            <w:tcW w:w="0" w:type="dxa"/>
            <w:vAlign w:val="bottom"/>
          </w:tcPr>
          <w:p>
            <w:pPr>
              <w:spacing w:after="0"/>
              <w:rPr>
                <w:sz w:val="1"/>
                <w:szCs w:val="1"/>
                <w:color w:val="auto"/>
              </w:rPr>
            </w:pPr>
          </w:p>
        </w:tc>
      </w:tr>
      <w:tr>
        <w:trPr>
          <w:trHeight w:val="171"/>
        </w:trPr>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1,197,384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1,219,339</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3,173,821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2,969,586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GROCERY OUTLET HOLDING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08"/>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right"/>
              <w:ind w:right="331"/>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4,371,501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3,969,453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3,578,101</w:t>
            </w:r>
          </w:p>
        </w:tc>
      </w:tr>
      <w:tr>
        <w:trPr>
          <w:trHeight w:val="18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3,049,564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2,727,774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2,486,002</w:t>
            </w:r>
          </w:p>
        </w:tc>
      </w:tr>
      <w:tr>
        <w:trPr>
          <w:trHeight w:val="17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1,321,937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1,241,679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1,092,099</w:t>
            </w:r>
          </w:p>
        </w:tc>
      </w:tr>
      <w:tr>
        <w:trPr>
          <w:trHeight w:val="18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1,243,610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1,115,897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997,109</w:t>
            </w:r>
          </w:p>
        </w:tc>
      </w:tr>
      <w:tr>
        <w:trPr>
          <w:trHeight w:val="17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125,782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94,990</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17,967</w:t>
            </w: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debt extinguishment and modification</w:t>
            </w:r>
          </w:p>
        </w:tc>
        <w:tc>
          <w:tcPr>
            <w:tcW w:w="2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r>
      <w:tr>
        <w:trPr>
          <w:trHeight w:val="171"/>
        </w:trPr>
        <w:tc>
          <w:tcPr>
            <w:tcW w:w="66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other expenses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19,241</w:t>
            </w:r>
          </w:p>
        </w:tc>
      </w:tr>
      <w:tr>
        <w:trPr>
          <w:trHeight w:val="17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104,081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75,749</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10,697</w:t>
            </w:r>
          </w:p>
        </w:tc>
      </w:tr>
      <w:tr>
        <w:trPr>
          <w:trHeight w:val="17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and comprehensive income</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39,465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79,437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65,052</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0.67</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0.65</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96,812</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100,162</w:t>
            </w:r>
          </w:p>
        </w:tc>
      </w:tr>
    </w:tbl>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GROCERY OUTLET HOLDING CORP.</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149" w:lineRule="exact"/>
        <w:rPr>
          <w:sz w:val="20"/>
          <w:szCs w:val="20"/>
          <w:color w:val="auto"/>
        </w:rPr>
      </w:pPr>
    </w:p>
    <w:tbl>
      <w:tblPr>
        <w:tblLayout w:type="fixed"/>
        <w:tblInd w:w="140" w:type="dxa"/>
        <w:tblCellMar>
          <w:top w:w="0" w:type="dxa"/>
          <w:left w:w="0" w:type="dxa"/>
          <w:bottom w:w="0" w:type="dxa"/>
          <w:right w:w="0" w:type="dxa"/>
        </w:tblCellMar>
      </w:tblPr>
      <w:tr>
        <w:trPr>
          <w:trHeight w:val="158"/>
        </w:trPr>
        <w:tc>
          <w:tcPr>
            <w:tcW w:w="5260" w:type="dxa"/>
            <w:vAlign w:val="bottom"/>
          </w:tcPr>
          <w:p>
            <w:pPr>
              <w:spacing w:after="0"/>
              <w:rPr>
                <w:sz w:val="13"/>
                <w:szCs w:val="13"/>
                <w:color w:val="auto"/>
              </w:rPr>
            </w:pPr>
          </w:p>
        </w:tc>
        <w:tc>
          <w:tcPr>
            <w:tcW w:w="198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34"/>
        </w:trPr>
        <w:tc>
          <w:tcPr>
            <w:tcW w:w="5260" w:type="dxa"/>
            <w:vAlign w:val="bottom"/>
          </w:tcPr>
          <w:p>
            <w:pPr>
              <w:spacing w:after="0"/>
              <w:rPr>
                <w:sz w:val="2"/>
                <w:szCs w:val="2"/>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5"/>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96,144,433</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811,701</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197,475</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1,009,272</w:t>
            </w:r>
          </w:p>
        </w:tc>
        <w:tc>
          <w:tcPr>
            <w:tcW w:w="0" w:type="dxa"/>
            <w:vAlign w:val="bottom"/>
          </w:tcPr>
          <w:p>
            <w:pPr>
              <w:spacing w:after="0"/>
              <w:rPr>
                <w:sz w:val="1"/>
                <w:szCs w:val="1"/>
                <w:color w:val="auto"/>
              </w:rPr>
            </w:pP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Exercise and vesting of share-based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1,669,641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32,556</w:t>
            </w:r>
          </w:p>
        </w:tc>
        <w:tc>
          <w:tcPr>
            <w:tcW w:w="0" w:type="dxa"/>
            <w:vAlign w:val="bottom"/>
          </w:tcPr>
          <w:p>
            <w:pPr>
              <w:spacing w:after="0"/>
              <w:rPr>
                <w:sz w:val="1"/>
                <w:szCs w:val="1"/>
                <w:color w:val="auto"/>
              </w:rPr>
            </w:pP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(139,718)</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Dividends paid</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and comprehensive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65,052</w:t>
            </w:r>
          </w:p>
        </w:tc>
        <w:tc>
          <w:tcPr>
            <w:tcW w:w="0" w:type="dxa"/>
            <w:vAlign w:val="bottom"/>
          </w:tcPr>
          <w:p>
            <w:pPr>
              <w:spacing w:after="0"/>
              <w:rPr>
                <w:sz w:val="1"/>
                <w:szCs w:val="1"/>
                <w:color w:val="auto"/>
              </w:rPr>
            </w:pPr>
          </w:p>
        </w:tc>
      </w:tr>
      <w:tr>
        <w:trPr>
          <w:trHeight w:val="171"/>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97,674,356</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847,589</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262,527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1,110,214</w:t>
            </w:r>
          </w:p>
        </w:tc>
        <w:tc>
          <w:tcPr>
            <w:tcW w:w="0" w:type="dxa"/>
            <w:vAlign w:val="bottom"/>
          </w:tcPr>
          <w:p>
            <w:pPr>
              <w:spacing w:after="0"/>
              <w:rPr>
                <w:sz w:val="1"/>
                <w:szCs w:val="1"/>
                <w:color w:val="auto"/>
              </w:rPr>
            </w:pPr>
          </w:p>
        </w:tc>
      </w:tr>
      <w:tr>
        <w:trPr>
          <w:trHeight w:val="180"/>
        </w:trPr>
        <w:tc>
          <w:tcPr>
            <w:tcW w:w="5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Exercise and vesting of share-based awards, net of shares withheld for employee taxes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1,804,023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31,091</w:t>
            </w:r>
          </w:p>
        </w:tc>
        <w:tc>
          <w:tcPr>
            <w:tcW w:w="0" w:type="dxa"/>
            <w:vAlign w:val="bottom"/>
          </w:tcPr>
          <w:p>
            <w:pPr>
              <w:spacing w:after="0"/>
              <w:rPr>
                <w:sz w:val="1"/>
                <w:szCs w:val="1"/>
                <w:color w:val="auto"/>
              </w:rPr>
            </w:pPr>
          </w:p>
        </w:tc>
      </w:tr>
      <w:tr>
        <w:trPr>
          <w:trHeight w:val="180"/>
        </w:trPr>
        <w:tc>
          <w:tcPr>
            <w:tcW w:w="5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(254,516)</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Dividends paid</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5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income and comprehensive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79,437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79,437</w:t>
            </w:r>
          </w:p>
        </w:tc>
        <w:tc>
          <w:tcPr>
            <w:tcW w:w="0" w:type="dxa"/>
            <w:vAlign w:val="bottom"/>
          </w:tcPr>
          <w:p>
            <w:pPr>
              <w:spacing w:after="0"/>
              <w:rPr>
                <w:sz w:val="1"/>
                <w:szCs w:val="1"/>
                <w:color w:val="auto"/>
              </w:rPr>
            </w:pPr>
          </w:p>
        </w:tc>
      </w:tr>
      <w:tr>
        <w:trPr>
          <w:trHeight w:val="171"/>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30,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99,223,863</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877,276</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341,964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1,219,339</w:t>
            </w:r>
          </w:p>
        </w:tc>
        <w:tc>
          <w:tcPr>
            <w:tcW w:w="0" w:type="dxa"/>
            <w:vAlign w:val="bottom"/>
          </w:tcPr>
          <w:p>
            <w:pPr>
              <w:spacing w:after="0"/>
              <w:rPr>
                <w:sz w:val="1"/>
                <w:szCs w:val="1"/>
                <w:color w:val="auto"/>
              </w:rPr>
            </w:pPr>
          </w:p>
        </w:tc>
      </w:tr>
      <w:tr>
        <w:trPr>
          <w:trHeight w:val="180"/>
        </w:trPr>
        <w:tc>
          <w:tcPr>
            <w:tcW w:w="5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Exercise and vesting of share-based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2,015,857</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8,845</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10,516</w:t>
            </w:r>
          </w:p>
        </w:tc>
        <w:tc>
          <w:tcPr>
            <w:tcW w:w="0" w:type="dxa"/>
            <w:vAlign w:val="bottom"/>
          </w:tcPr>
          <w:p>
            <w:pPr>
              <w:spacing w:after="0"/>
              <w:rPr>
                <w:sz w:val="1"/>
                <w:szCs w:val="1"/>
                <w:color w:val="auto"/>
              </w:rPr>
            </w:pPr>
          </w:p>
        </w:tc>
      </w:tr>
      <w:tr>
        <w:trPr>
          <w:trHeight w:val="180"/>
        </w:trPr>
        <w:tc>
          <w:tcPr>
            <w:tcW w:w="5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(3,977,163)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(80,777)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(80,781)</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income and comprehensive income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39,465</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28, 2024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97,262,557</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815,858</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381,429</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1,197,384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3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GROCERY OUTLET HOLDING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08"/>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right"/>
              <w:ind w:right="330"/>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39,465</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79,437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65,052</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of property and equipment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70,451</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intangible and other assets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w:t>
            </w: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costs and debt discounts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rent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w:t>
            </w: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debt extinguishment and modification</w:t>
            </w:r>
          </w:p>
        </w:tc>
        <w:tc>
          <w:tcPr>
            <w:tcW w:w="2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32,556</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independent operator and other accounts receivable reserves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w:t>
            </w: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10,367</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Independent operator and other accounts receivable</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w:t>
            </w: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Merchandise inventories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(58,817)</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and other taxes payable</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Trade accounts payable</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16,099</w:t>
            </w: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18,744</w:t>
            </w:r>
          </w:p>
        </w:tc>
      </w:tr>
      <w:tr>
        <w:trPr>
          <w:trHeight w:val="180"/>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12,728</w:t>
            </w:r>
          </w:p>
        </w:tc>
      </w:tr>
      <w:tr>
        <w:trPr>
          <w:trHeight w:val="171"/>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111,963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303,447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185,511</w:t>
            </w:r>
          </w:p>
        </w:tc>
      </w:tr>
      <w:tr>
        <w:trPr>
          <w:trHeight w:val="16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Advances to independent operators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w:t>
            </w: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Repayments of advances from independent operators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6,917</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Business acquisition, net of cash and cash equivalents acquired</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(130,482)</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sales of assets</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 in intangible assets and licenses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(16,586)</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insurance recoveries - property and equipment</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(274,028)</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(194,165)</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(149,931)</w:t>
            </w:r>
          </w:p>
        </w:tc>
      </w:tr>
      <w:tr>
        <w:trPr>
          <w:trHeight w:val="16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withholding related to net settlement of employee share-based awards</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senior term loan due 2028</w:t>
            </w:r>
          </w:p>
        </w:tc>
        <w:tc>
          <w:tcPr>
            <w:tcW w:w="2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payments on revolving credit facility</w:t>
            </w:r>
          </w:p>
        </w:tc>
        <w:tc>
          <w:tcPr>
            <w:tcW w:w="2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Principal payments on senior term loan due 2025</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payments on senior term loan due 2028</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Principal payments on finance leases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paid</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issuance costs paid</w:t>
            </w:r>
          </w:p>
        </w:tc>
        <w:tc>
          <w:tcPr>
            <w:tcW w:w="2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6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109,906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(72,937)</w:t>
            </w:r>
          </w:p>
        </w:tc>
      </w:tr>
      <w:tr>
        <w:trPr>
          <w:trHeight w:val="17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(37,357)</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114,987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102,728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140,085</w:t>
            </w:r>
          </w:p>
        </w:tc>
      </w:tr>
      <w:tr>
        <w:trPr>
          <w:trHeight w:val="17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62,828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114,987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102,728</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interest, net of amounts capitalized</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26,196</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19,142</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taxes paid (refunded) in cash</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r>
      <w:tr>
        <w:trPr>
          <w:trHeight w:val="180"/>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accrued at end of period</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12,791</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18,536</w:t>
            </w:r>
          </w:p>
        </w:tc>
      </w:tr>
      <w:tr>
        <w:trPr>
          <w:trHeight w:val="18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assets accrued at end of period</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GROCERY OUTLET HOLDING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1—Organization and Summary of Significant Accounting Policies</w:t>
      </w:r>
    </w:p>
    <w:p>
      <w:pPr>
        <w:spacing w:after="0" w:line="9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Description of Business </w:t>
      </w:r>
      <w:r>
        <w:rPr>
          <w:rFonts w:ascii="Times New Roman" w:cs="Times New Roman" w:eastAsia="Times New Roman" w:hAnsi="Times New Roman"/>
          <w:sz w:val="14"/>
          <w:szCs w:val="14"/>
          <w:color w:val="auto"/>
        </w:rPr>
        <w:t>— Based in Emeryville, California, and incorporated in Delaware in 2014, Grocery Outlet Holding Corp. (together with its wholly owned subsidiaries, collectively,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"Grocery Outlet," "we," or the "Company") is a high-growth, extreme value retailer of quality, name-brand consumables and fresh products sold primarily through a network of independently operated stores. As of December 28, 2024, we had 533 stores throughout California, Washington, Oregon, Pennsylvania, Tennessee, Idaho, Maryland, Nevada, North Carolina, New Jersey, Georgia, Ohio, Alabama, Delaware, Kentucky and Virginia.</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Grocery Outlet Holding Corp. owns 100% of Grocery Outlet Inc.</w:t>
      </w:r>
    </w:p>
    <w:p>
      <w:pPr>
        <w:spacing w:after="0" w:line="9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Fiscal Year </w:t>
      </w:r>
      <w:r>
        <w:rPr>
          <w:rFonts w:ascii="Times New Roman" w:cs="Times New Roman" w:eastAsia="Times New Roman" w:hAnsi="Times New Roman"/>
          <w:sz w:val="14"/>
          <w:szCs w:val="14"/>
          <w:color w:val="auto"/>
        </w:rPr>
        <w:t>— We operate on a fiscal year that ends on the Saturday closest to December 31st each year. The fiscal years ended December 28, 2024 ("fiscal 2024"), December 30, 2023 ("fiscal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and December 31, 2022 ("fiscal 2022") all consisted of 52 weeks.</w:t>
      </w:r>
    </w:p>
    <w:p>
      <w:pPr>
        <w:spacing w:after="0" w:line="35"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Basis of Presentation </w:t>
      </w:r>
      <w:r>
        <w:rPr>
          <w:rFonts w:ascii="Times New Roman" w:cs="Times New Roman" w:eastAsia="Times New Roman" w:hAnsi="Times New Roman"/>
          <w:sz w:val="14"/>
          <w:szCs w:val="14"/>
          <w:color w:val="auto"/>
        </w:rPr>
        <w:t>— The accompanying consolidated financial statements have been prepared in accordance with accounting principles generally accepted in the United States of America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("GAAP") and the applicable rules and regulations of the United States ("U.S.") Securities and Exchange Commission (the "SEC"). Our consolidated financial statements include the accounts of Grocery Outlet Holding Corp. and its wholly owned subsidiaries. All intercompany balances and transactions were eliminated. In the opinion of management, these consolidated financial statements include all adjustments, consisting of normal recurring adjustments, necessary for a fair statement of the results for the periods presented. Prior period amounts have been reclassified to conform to current period presentation.</w:t>
      </w:r>
    </w:p>
    <w:p>
      <w:pPr>
        <w:spacing w:after="0" w:line="5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Use of Estimates </w:t>
      </w:r>
      <w:r>
        <w:rPr>
          <w:rFonts w:ascii="Times New Roman" w:cs="Times New Roman" w:eastAsia="Times New Roman" w:hAnsi="Times New Roman"/>
          <w:sz w:val="14"/>
          <w:szCs w:val="14"/>
          <w:color w:val="auto"/>
        </w:rPr>
        <w:t>— The preparation of consolidated financial statements in conformity with GAAP requires management to make estimates and assumptions that affect the reported amounts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 We consider our accounting policy relating to long-lived asset impairment to be a significant accounting policy that involves management's estimates and judgments.</w:t>
      </w:r>
    </w:p>
    <w:p>
      <w:pPr>
        <w:spacing w:after="0" w:line="53"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 We consider all highly liquid investments, purchased with original maturities of three months or less, to be cash equivalents. All cash equivalents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unrestricted and available for immediate use. Cash and cash equivalents consisted primarily of cash held in checking and money market accounts as of December 28, 2024 and December 30, 2023.</w:t>
      </w:r>
    </w:p>
    <w:p>
      <w:pPr>
        <w:spacing w:after="0" w:line="3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Allowance for Independent Operator ("IO") Receivables and IO Notes and Other Accounts Receivable </w:t>
      </w:r>
      <w:r>
        <w:rPr>
          <w:rFonts w:ascii="Times New Roman" w:cs="Times New Roman" w:eastAsia="Times New Roman" w:hAnsi="Times New Roman"/>
          <w:sz w:val="14"/>
          <w:szCs w:val="14"/>
          <w:color w:val="auto"/>
        </w:rPr>
        <w:t>— We maintain allowances and accruals for estimated losses of amounts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advanced to IOs and other third parties determined to be uncollectible. See NOTE 2</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Independent Operator Notes and Independent Operator Receivables, for additional information.</w:t>
      </w:r>
    </w:p>
    <w:p>
      <w:pPr>
        <w:spacing w:after="0" w:line="3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Concentrations of Credit Risk </w:t>
      </w:r>
      <w:r>
        <w:rPr>
          <w:rFonts w:ascii="Times New Roman" w:cs="Times New Roman" w:eastAsia="Times New Roman" w:hAnsi="Times New Roman"/>
          <w:sz w:val="14"/>
          <w:szCs w:val="14"/>
          <w:color w:val="auto"/>
        </w:rPr>
        <w:t>— Financial instruments that potentially subject us to concentrations of credit risk consist primarily of cash and cash equivalents and accounts and notes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receivable. Although we deposit our cash with creditworthy financial institutions, our deposits typically exceed federally insured limits. To date, we have not experienced any losses on our cash deposits. No single customer or store represented more than 10% of net sales for the fiscal years ended December 28, 2024, December 30, 2023 and December 31, 2022. No single customer or IO represented more than 10% of accounts receivable or notes receivable as of December 28, 2024 and December 30, 2023.</w:t>
      </w:r>
    </w:p>
    <w:p>
      <w:pPr>
        <w:spacing w:after="0" w:line="53"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Merchandise Inventories </w:t>
      </w:r>
      <w:r>
        <w:rPr>
          <w:rFonts w:ascii="Times New Roman" w:cs="Times New Roman" w:eastAsia="Times New Roman" w:hAnsi="Times New Roman"/>
          <w:sz w:val="14"/>
          <w:szCs w:val="14"/>
          <w:color w:val="auto"/>
        </w:rPr>
        <w:t>— Merchandise inventories are valued at the lower of cost or net realizable value. Cost is primarily determined by the weighted-average cost method for warehouse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49"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Property and Equipment </w:t>
      </w:r>
      <w:r>
        <w:rPr>
          <w:rFonts w:ascii="Times New Roman" w:cs="Times New Roman" w:eastAsia="Times New Roman" w:hAnsi="Times New Roman"/>
          <w:sz w:val="14"/>
          <w:szCs w:val="14"/>
          <w:color w:val="auto"/>
        </w:rPr>
        <w:t>— Property and equipment is stated at cost less accumulated depreciation and includes expenditures for significant improvements to leased premises. Depreciation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property and equipment is calculated using the straight-line method over the estimated useful lives of the assets, generally ranging from three to 15 years. Amortization of leasehold improvements is calculated based on the shorter of their estimated useful life or the remaining terms of the lease. Remaining lease terms currently range from one to 19 years.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evaluate events and changes in circumstances that could indicate carrying amounts of long-lived assets, including property and equipment, may not be recoverable. When such events or changes in circumstances occur, we assess the recoverability of long-lived assets by determining whether or not the carrying value of such assets will be recovered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through undiscounted future cash flows derived from their use and eventual disposition. For purposes of this assessment, long-lived assets are grouped with other assets and liabilities at the lowest level for which identifiable cash flows are largely independent of the cash flows of other assets and liabilities, primarily at an individual store level. If the sum of the undiscounted future cash flows is less than the carrying amount of an asset, we record an impairment loss for the amount by which the carrying amount of the asset exceeds its fair value. The total amount of property and equipment, including store assets, and operating lease right-of-use assets as of December 28, 2024 were $750.4 million and $1.0 billion, respectively, and as of December 30, 2023 were $642.5 million and $945.7 million, respectively. The estimated fair value of the asset or asset group is based on the estimated discounted future cash flows of the asset or asset group using a discount rate commensurate with the related risk. In fiscal 2024, we recognized $15.9 million of impairment of long-lived assets resulting from the Restructuring Plan, as defined in Note 16—Restructuring Plan, which is included in selling, general and administrative expenses ("SG&amp;A") on the consolidated statements of operations and comprehensive income. There were no adjustments to the carrying value of long-lived assets due to impairment charges during fiscal 2023 and fiscal 2022.</w:t>
      </w:r>
    </w:p>
    <w:p>
      <w:pPr>
        <w:spacing w:after="0" w:line="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Leases </w:t>
      </w:r>
      <w:r>
        <w:rPr>
          <w:rFonts w:ascii="Times New Roman" w:cs="Times New Roman" w:eastAsia="Times New Roman" w:hAnsi="Times New Roman"/>
          <w:sz w:val="14"/>
          <w:szCs w:val="14"/>
          <w:color w:val="auto"/>
        </w:rPr>
        <w:t>— We determine if an arrangement is a lease at inception. Operating leases are included in operating lease right-of-use assets, current lease liabilities, and long-term lease liabilities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our consolidated balance sheets. Finance leases are included in other assets, current lease liabilities, and long-term lease liabilities in our consolidated balance sheets. Right-of-use assets represent our right to use an underlying asset for the lease term and lease liabilities represent our obligation to make lease payments arising from the lease over the same term. Right-of-use assets and liabilities are recognized at the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while finance lease payments are charged to interest expense and depreciation and amortization expense over the lease term. Leases with an initial term of 12 months or less are not recorded on the balance sheet; lease expense for these short-term leases is recognized on a straight-line basis over the lease term.</w:t>
      </w:r>
    </w:p>
    <w:p>
      <w:pPr>
        <w:spacing w:after="0" w:line="63"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generally lease retail facilities for store locations, distribution centers, office space and equipment and account for these leases as operating leases. We account for certain equipment leases as finance leases. Lease and non-lease components are accounted for separately. We sublease certain real estate to unrelated third parties under non-cancelable leases and the sublease portfolio consists of operating leases for retail stores.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Goodwill and Other Intangible Assets </w:t>
      </w:r>
      <w:r>
        <w:rPr>
          <w:rFonts w:ascii="Times New Roman" w:cs="Times New Roman" w:eastAsia="Times New Roman" w:hAnsi="Times New Roman"/>
          <w:sz w:val="14"/>
          <w:szCs w:val="14"/>
          <w:color w:val="auto"/>
        </w:rPr>
        <w:t>— We have both goodwill and intangible assets recorded on our consolidated balance sheets.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Goodwill represents the difference between the purchase price and the fair value of assets and liabilities acquired in a business combination. Goodwill is not amortized, but rather is subject to an annual impairment evaluation which is performed during our fourth quarter or when events or changes in circumstances indicate that the value of goodwill may be impaired. Our impairment evaluation of goodwill consists of an initial qualitative assessment of our reporting unit to determine whether it is more-likely-than-not that the fair value of the reporting unit is less than its carrying value. If it is concluded that this is the case, a quantitative evaluation, based on discounted cash flows, is performed which requires us to estimate future cash flows, growth rates and economic and market conditions. If the quantitative evaluation indicates that goodwill is not recoverable, an impairment loss is calculated and recognized during that period. Measurement of such an impairment loss would be based on the excess of the carrying amount over fair value. There were no goodwill impairment charges recorded during fiscal years ended December 28, 2024, December 30, 2023 and December 31, 2022.</w:t>
      </w:r>
    </w:p>
    <w:p>
      <w:pPr>
        <w:spacing w:after="0" w:line="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Intangible assets include trademarks, computer software, and liquor licenses. Trademarks represent the value of all our trademarks and trade names in the marketplace. We are amortizing the value assigned to the trade names on a straight-line basis over 15 years. Computer software includes both acquired software and eligible costs to develop internal-use software that are incurred during the application development stage. These assets are amortized over their estimated useful lives of three to 10 years. Liquor license assets have been classified as indefinite-lived intangible assets and accordingly, are not subject to amortization. We review our intangible assets for impairment when events or changes in circumstances indicate that the carrying amount may not be recoverable. If the carrying amount of the intangible assets are not recoverable, the impairment is measured as the amount by which the carrying value of the intangible asset exceeds its fair value. There were no impairments of intangible assets recognized during the fiscal years ended December 28, 2024, December 30, 2023 and December 31, 2022.</w:t>
      </w:r>
    </w:p>
    <w:p>
      <w:pPr>
        <w:spacing w:after="0" w:line="5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Fair Value Measurements </w:t>
      </w:r>
      <w:r>
        <w:rPr>
          <w:rFonts w:ascii="Times New Roman" w:cs="Times New Roman" w:eastAsia="Times New Roman" w:hAnsi="Times New Roman"/>
          <w:sz w:val="14"/>
          <w:szCs w:val="14"/>
          <w:color w:val="auto"/>
        </w:rPr>
        <w:t>— Fair value is defined as the exchange price, or exit price, representing the amount that would be received to sell an asset or paid to transfer a liability in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orderly transaction between market participants.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financial instruments is categorized based on the level of judgment associated with the inputs used to measure their fair values. Fair value is measured using inputs from the three levels of the fair value hierarchy, which are described as follows:</w:t>
      </w:r>
    </w:p>
    <w:p>
      <w:pPr>
        <w:spacing w:after="0" w:line="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Level 1 </w:t>
      </w:r>
      <w:r>
        <w:rPr>
          <w:rFonts w:ascii="Times New Roman" w:cs="Times New Roman" w:eastAsia="Times New Roman" w:hAnsi="Times New Roman"/>
          <w:sz w:val="14"/>
          <w:szCs w:val="14"/>
          <w:color w:val="auto"/>
        </w:rPr>
        <w:t>— Quoted prices in active markets for identical assets or liabilities</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 Quoted prices for similar assets and liabilities in active markets or inputs that are observable</w:t>
      </w:r>
    </w:p>
    <w:p>
      <w:pPr>
        <w:spacing w:after="0" w:line="94" w:lineRule="exact"/>
        <w:rPr>
          <w:sz w:val="20"/>
          <w:szCs w:val="20"/>
          <w:color w:val="auto"/>
        </w:rPr>
      </w:pPr>
    </w:p>
    <w:p>
      <w:pPr>
        <w:ind w:left="58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Level 3 </w:t>
      </w:r>
      <w:r>
        <w:rPr>
          <w:rFonts w:ascii="Times New Roman" w:cs="Times New Roman" w:eastAsia="Times New Roman" w:hAnsi="Times New Roman"/>
          <w:sz w:val="14"/>
          <w:szCs w:val="14"/>
          <w:color w:val="auto"/>
        </w:rPr>
        <w:t>— Unobservable inputs in which there is little or no market data, which requires us to develop our own assumptions when pricing the financial instruments, such as cash flow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modeling assumptions.</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39"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There were no assets or liabilities measured at fair value on a recurring basis as of December 28, 2024 or December 30, 2023. Generally, long-lived assets are recorded at fair value on a non-recurring basis after the asset has been impaired. See "Property and Equipment" and "Goodwill and Other Intangible Assets" within NOTE 1—Organization and Summary of Significant Accounting Policies, for additional information. There were no transfers of assets or liabilities between levels within the fair value hierarchy during the fiscal years ended December 28, 2024 or December 30, 2023.</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financial assets and liabilities are carried at cost, which generally approximates their fair value, as described below:</w:t>
      </w:r>
    </w:p>
    <w:p>
      <w:pPr>
        <w:spacing w:after="0" w:line="9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Cash and cash equivalents, IO receivables, other accounts receivable and trade accounts payable </w:t>
      </w:r>
      <w:r>
        <w:rPr>
          <w:rFonts w:ascii="Times New Roman" w:cs="Times New Roman" w:eastAsia="Times New Roman" w:hAnsi="Times New Roman"/>
          <w:sz w:val="14"/>
          <w:szCs w:val="14"/>
          <w:color w:val="auto"/>
        </w:rPr>
        <w:t>— The carrying value of such financial instruments approximates their fair value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factors such as their short-term nature, their variable interest rates or the effect of the related allowance for expected credit losses.</w:t>
      </w:r>
    </w:p>
    <w:p>
      <w:pPr>
        <w:spacing w:after="0" w:line="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Independent operator notes </w:t>
      </w:r>
      <w:r>
        <w:rPr>
          <w:rFonts w:ascii="Times New Roman" w:cs="Times New Roman" w:eastAsia="Times New Roman" w:hAnsi="Times New Roman"/>
          <w:sz w:val="14"/>
          <w:szCs w:val="14"/>
          <w:color w:val="auto"/>
        </w:rPr>
        <w:t>— The carrying value of such financial instruments approximates their fair value due to the effect of the related allowance for expected credit losses.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sets forth by level within the fair value hierarchy the carrying amounts and estimated fair values of our significant financial liabilities that are not recorded at fair value on the consolidated balance sheets (amounts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0" w:type="dxa"/>
            <w:vAlign w:val="bottom"/>
            <w:gridSpan w:val="5"/>
          </w:tcPr>
          <w:p>
            <w:pPr>
              <w:ind w:left="1040"/>
              <w:spacing w:after="0"/>
              <w:rPr>
                <w:sz w:val="20"/>
                <w:szCs w:val="20"/>
                <w:color w:val="auto"/>
              </w:rPr>
            </w:pPr>
            <w:r>
              <w:rPr>
                <w:rFonts w:ascii="Times New Roman" w:cs="Times New Roman" w:eastAsia="Times New Roman" w:hAnsi="Times New Roman"/>
                <w:sz w:val="11"/>
                <w:szCs w:val="11"/>
                <w:b w:val="1"/>
                <w:bCs w:val="1"/>
                <w:color w:val="auto"/>
              </w:rPr>
              <w:t>December 28,</w:t>
            </w:r>
          </w:p>
        </w:tc>
        <w:tc>
          <w:tcPr>
            <w:tcW w:w="160" w:type="dxa"/>
            <w:vAlign w:val="bottom"/>
          </w:tcPr>
          <w:p>
            <w:pPr>
              <w:spacing w:after="0"/>
              <w:rPr>
                <w:sz w:val="11"/>
                <w:szCs w:val="11"/>
                <w:color w:val="auto"/>
              </w:rPr>
            </w:pPr>
          </w:p>
        </w:tc>
        <w:tc>
          <w:tcPr>
            <w:tcW w:w="2900" w:type="dxa"/>
            <w:vAlign w:val="bottom"/>
            <w:gridSpan w:val="4"/>
          </w:tcPr>
          <w:p>
            <w:pPr>
              <w:jc w:val="right"/>
              <w:ind w:right="1134"/>
              <w:spacing w:after="0"/>
              <w:rPr>
                <w:sz w:val="20"/>
                <w:szCs w:val="20"/>
                <w:color w:val="auto"/>
              </w:rPr>
            </w:pPr>
            <w:r>
              <w:rPr>
                <w:rFonts w:ascii="Times New Roman" w:cs="Times New Roman" w:eastAsia="Times New Roman" w:hAnsi="Times New Roman"/>
                <w:sz w:val="11"/>
                <w:szCs w:val="11"/>
                <w:b w:val="1"/>
                <w:bCs w:val="1"/>
                <w:color w:val="auto"/>
              </w:rPr>
              <w:t>December 30,</w:t>
            </w:r>
          </w:p>
        </w:tc>
      </w:tr>
      <w:tr>
        <w:trPr>
          <w:trHeight w:val="127"/>
        </w:trPr>
        <w:tc>
          <w:tcPr>
            <w:tcW w:w="5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1360" w:type="dxa"/>
            <w:vAlign w:val="bottom"/>
          </w:tcPr>
          <w:p>
            <w:pPr>
              <w:spacing w:after="0"/>
              <w:rPr>
                <w:sz w:val="11"/>
                <w:szCs w:val="11"/>
                <w:color w:val="auto"/>
              </w:rPr>
            </w:pPr>
          </w:p>
        </w:tc>
      </w:tr>
      <w:tr>
        <w:trPr>
          <w:trHeight w:val="200"/>
        </w:trPr>
        <w:tc>
          <w:tcPr>
            <w:tcW w:w="5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11"/>
                <w:szCs w:val="11"/>
                <w:b w:val="1"/>
                <w:bCs w:val="1"/>
                <w:color w:val="auto"/>
              </w:rPr>
              <w:t xml:space="preserve">Carrying Amount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1360" w:type="dxa"/>
            <w:vAlign w:val="bottom"/>
          </w:tcPr>
          <w:p>
            <w:pPr>
              <w:jc w:val="right"/>
              <w:ind w:right="94"/>
              <w:spacing w:after="0" w:line="200" w:lineRule="exact"/>
              <w:rPr>
                <w:sz w:val="20"/>
                <w:szCs w:val="20"/>
                <w:color w:val="auto"/>
              </w:rPr>
            </w:pPr>
            <w:r>
              <w:rPr>
                <w:rFonts w:ascii="Times New Roman" w:cs="Times New Roman" w:eastAsia="Times New Roman" w:hAnsi="Times New Roman"/>
                <w:sz w:val="11"/>
                <w:szCs w:val="11"/>
                <w:b w:val="1"/>
                <w:bCs w:val="1"/>
                <w:color w:val="auto"/>
              </w:rPr>
              <w:t xml:space="preserve">Estimated Fair Value </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11"/>
                <w:szCs w:val="11"/>
                <w:b w:val="1"/>
                <w:bCs w:val="1"/>
                <w:color w:val="auto"/>
              </w:rPr>
              <w:t xml:space="preserve">Carrying Amount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7"/>
                <w:szCs w:val="17"/>
                <w:color w:val="auto"/>
              </w:rPr>
            </w:pPr>
          </w:p>
        </w:tc>
        <w:tc>
          <w:tcPr>
            <w:tcW w:w="1360" w:type="dxa"/>
            <w:vAlign w:val="bottom"/>
          </w:tcPr>
          <w:p>
            <w:pPr>
              <w:jc w:val="right"/>
              <w:ind w:right="94"/>
              <w:spacing w:after="0" w:line="200" w:lineRule="exact"/>
              <w:rPr>
                <w:sz w:val="20"/>
                <w:szCs w:val="20"/>
                <w:color w:val="auto"/>
              </w:rPr>
            </w:pPr>
            <w:r>
              <w:rPr>
                <w:rFonts w:ascii="Times New Roman" w:cs="Times New Roman" w:eastAsia="Times New Roman" w:hAnsi="Times New Roman"/>
                <w:sz w:val="11"/>
                <w:szCs w:val="11"/>
                <w:b w:val="1"/>
                <w:bCs w:val="1"/>
                <w:color w:val="auto"/>
              </w:rPr>
              <w:t xml:space="preserve">Estimated Fair Value </w:t>
            </w:r>
            <w:r>
              <w:rPr>
                <w:rFonts w:ascii="Times New Roman" w:cs="Times New Roman" w:eastAsia="Times New Roman" w:hAnsi="Times New Roman"/>
                <w:sz w:val="18"/>
                <w:szCs w:val="18"/>
                <w:b w:val="1"/>
                <w:bCs w:val="1"/>
                <w:color w:val="auto"/>
                <w:vertAlign w:val="superscript"/>
              </w:rPr>
              <w:t>(2)</w:t>
            </w:r>
          </w:p>
        </w:tc>
      </w:tr>
      <w:tr>
        <w:trPr>
          <w:trHeight w:val="160"/>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8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term loans (Level 2)</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287,502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288,750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292,732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294,375</w:t>
            </w:r>
          </w:p>
        </w:tc>
      </w:tr>
      <w:tr>
        <w:trPr>
          <w:trHeight w:val="18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 (Level 2)</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-450850</wp:posOffset>
            </wp:positionV>
            <wp:extent cx="395478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54780" cy="698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w:t>
      </w:r>
    </w:p>
    <w:p>
      <w:pPr>
        <w:spacing w:after="0" w:line="23" w:lineRule="exact"/>
        <w:rPr>
          <w:sz w:val="20"/>
          <w:szCs w:val="20"/>
          <w:color w:val="auto"/>
        </w:rPr>
      </w:pPr>
    </w:p>
    <w:p>
      <w:pPr>
        <w:ind w:left="380" w:hanging="375"/>
        <w:spacing w:after="0"/>
        <w:tabs>
          <w:tab w:leader="none" w:pos="3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carrying amounts of the senior term loans as of December 28, 2024 and December 30, 2023 are net of debt issuance costs of $1.2 million and $1.6 million, respectively.</w:t>
      </w:r>
    </w:p>
    <w:p>
      <w:pPr>
        <w:spacing w:after="0" w:line="15" w:lineRule="exact"/>
        <w:rPr>
          <w:rFonts w:ascii="Times New Roman" w:cs="Times New Roman" w:eastAsia="Times New Roman" w:hAnsi="Times New Roman"/>
          <w:sz w:val="13"/>
          <w:szCs w:val="13"/>
          <w:color w:val="auto"/>
        </w:rPr>
      </w:pPr>
    </w:p>
    <w:p>
      <w:pPr>
        <w:ind w:left="380" w:hanging="375"/>
        <w:spacing w:after="0" w:line="271" w:lineRule="auto"/>
        <w:tabs>
          <w:tab w:leader="none" w:pos="3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estimated fair value of our current senior term loan and revolving credit facility borrowings under the 2023 Credit Agreement, as defined in Note 6—Long-term Debt, were deemed to approximate the carrying value, excluding unamortized debt issuance costs, because the interest rate is variable with short reset periods and is reflective of the current market rate.</w:t>
      </w:r>
    </w:p>
    <w:p>
      <w:pPr>
        <w:spacing w:after="0" w:line="42" w:lineRule="exact"/>
        <w:rPr>
          <w:rFonts w:ascii="Times New Roman" w:cs="Times New Roman" w:eastAsia="Times New Roman" w:hAnsi="Times New Roman"/>
          <w:sz w:val="13"/>
          <w:szCs w:val="13"/>
          <w:color w:val="auto"/>
        </w:rPr>
      </w:pPr>
    </w:p>
    <w:p>
      <w:pPr>
        <w:ind w:left="3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b w:val="1"/>
          <w:bCs w:val="1"/>
          <w:color w:val="auto"/>
        </w:rPr>
        <w:t>Revenue Recognition</w:t>
      </w:r>
    </w:p>
    <w:p>
      <w:pPr>
        <w:spacing w:after="0" w:line="94"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Net Sales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recognize revenue from the sale of products at the point of sale, net of any taxes or deposits collected and remitted to governmental authorities. For e-commerce related sales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which a third-party provides home delivery service, revenue is recognized upon delivery to the customer. Our performance obligations are satisfied upon the transfer of goods to the customer, at the point of sale, and payment from customers is also due at the time of sale. Discounts provided to customers by us are recognized at the time of sale as a reduction in net sales as the products are sold. Discounts provided by IOs are not recognized as a reduction in net sales as these are provided solely by the IO who bears the incremental costs arising from the discount. We do not accept manufacturer coupons.</w:t>
      </w:r>
    </w:p>
    <w:p>
      <w:pPr>
        <w:spacing w:after="0" w:line="5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do not have any material contract assets or receivables from contracts with customers, any revenue recognized in the current year from performance obligations satisfied in previous periods, any material performance obligations other than our gift card deferred revenue liability, or any material costs to obtain or fulfill a contract as of December 28, 2024 and December 30, 2023.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Gift Cards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record a deferred revenue liability when a Grocery Outlet gift card is sold. Revenue related to gift cards is recognized as the gift cards are redeemed, which is when we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$4.1 million and $3.2 million as of December 28, 2024 and December 30, 2023, respectively. Breakage amounts were $0.5 million, $0.2 million and $0.3 million for the fiscal years ended December 28, 2024, December 30, 2023 and December 31, 2022, respectively.</w:t>
      </w:r>
    </w:p>
    <w:p>
      <w:pPr>
        <w:spacing w:after="0" w:line="5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Disaggregated Revenues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following table presents net sales revenue by type of product for the fiscal years ended December 28, 2024, December 30, 2023 and December 31, 2022</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(amounts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28,</w:t>
            </w:r>
          </w:p>
        </w:tc>
        <w:tc>
          <w:tcPr>
            <w:tcW w:w="24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30,</w:t>
            </w:r>
          </w:p>
        </w:tc>
        <w:tc>
          <w:tcPr>
            <w:tcW w:w="240" w:type="dxa"/>
            <w:vAlign w:val="bottom"/>
          </w:tcPr>
          <w:p>
            <w:pPr>
              <w:spacing w:after="0"/>
              <w:rPr>
                <w:sz w:val="11"/>
                <w:szCs w:val="11"/>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66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Perishable </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1,615,634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1,404,461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1,272,200</w:t>
            </w:r>
          </w:p>
        </w:tc>
      </w:tr>
      <w:tr>
        <w:trPr>
          <w:trHeight w:val="180"/>
        </w:trPr>
        <w:tc>
          <w:tcPr>
            <w:tcW w:w="66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Non-perishable </w:t>
            </w:r>
            <w:r>
              <w:rPr>
                <w:rFonts w:ascii="Times New Roman" w:cs="Times New Roman" w:eastAsia="Times New Roman" w:hAnsi="Times New Roman"/>
                <w:sz w:val="20"/>
                <w:szCs w:val="20"/>
                <w:color w:val="auto"/>
                <w:vertAlign w:val="superscript"/>
              </w:rPr>
              <w:t>(2)</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2,755,867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2,564,992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2,305,901</w:t>
            </w:r>
          </w:p>
        </w:tc>
      </w:tr>
      <w:tr>
        <w:trPr>
          <w:trHeight w:val="19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4,371,501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3,969,453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3,578,101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w:t>
      </w:r>
    </w:p>
    <w:p>
      <w:pPr>
        <w:spacing w:after="0" w:line="23" w:lineRule="exact"/>
        <w:rPr>
          <w:sz w:val="20"/>
          <w:szCs w:val="20"/>
          <w:color w:val="auto"/>
        </w:rPr>
      </w:pPr>
    </w:p>
    <w:p>
      <w:pPr>
        <w:ind w:left="380" w:hanging="375"/>
        <w:spacing w:after="0"/>
        <w:tabs>
          <w:tab w:leader="none" w:pos="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Perishable departments include dairy and deli; produce and floral; and fresh meat and seafood.</w:t>
      </w:r>
    </w:p>
    <w:p>
      <w:pPr>
        <w:spacing w:after="0" w:line="15"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Non-perishable departments include non-perishable grocery; general merchandise; health and beauty care; frozen foods; and beer and wine.</w:t>
      </w:r>
    </w:p>
    <w:p>
      <w:pPr>
        <w:spacing w:after="0" w:line="8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Cost of Sales </w:t>
      </w:r>
      <w:r>
        <w:rPr>
          <w:rFonts w:ascii="Times New Roman" w:cs="Times New Roman" w:eastAsia="Times New Roman" w:hAnsi="Times New Roman"/>
          <w:sz w:val="14"/>
          <w:szCs w:val="14"/>
          <w:color w:val="auto"/>
        </w:rPr>
        <w:t>— Cost of sales includes, among other things, merchandise costs, inventory markdowns, shrink, transportation, third-party delivery fees and distribution and warehousing costs,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depreciation.</w:t>
      </w:r>
    </w:p>
    <w:p>
      <w:pPr>
        <w:spacing w:after="0" w:line="35"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Marketing and Advertising Expenses </w:t>
      </w:r>
      <w:r>
        <w:rPr>
          <w:rFonts w:ascii="Times New Roman" w:cs="Times New Roman" w:eastAsia="Times New Roman" w:hAnsi="Times New Roman"/>
          <w:sz w:val="14"/>
          <w:szCs w:val="14"/>
          <w:color w:val="auto"/>
        </w:rPr>
        <w:t>— Costs for store promotions, newspaper, television, radio and other media advertising are expensed at the time the promotion or advertising takes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place. Marketing and advertising costs are included in SG&amp;A in the accompanying consolidated statements of operations and comprehensive income and amounted to $43.0 million, $36.4 million and $34.6 million, respectively, in the fiscal years ended December 28, 2024, December 30, 2023 and December 31, 2022.</w:t>
      </w:r>
    </w:p>
    <w:p>
      <w:pPr>
        <w:spacing w:after="0" w:line="49"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Share-based Awards </w:t>
      </w:r>
      <w:r>
        <w:rPr>
          <w:rFonts w:ascii="Times New Roman" w:cs="Times New Roman" w:eastAsia="Times New Roman" w:hAnsi="Times New Roman"/>
          <w:sz w:val="14"/>
          <w:szCs w:val="14"/>
          <w:color w:val="auto"/>
        </w:rPr>
        <w:t>— We estimate the fair value of time-based restricted stock units ("RSUs") and performance-based restricted stock units ("PSUs") based upon the closing price of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common stock as reported on the Nasdaq Global Select Market on the date of grant. The PSUs vest in one installment after a three-year performance period based on a service condition and the achievement of cumulative operating goals.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recognize compensation expense for share-based payment awards with only a service condition on a straight-line basis over the requisite service period, which is generally the award's vesting period. Vesting of these awards would be accelerated for certain employees in the event of a change in control as well as certain termination events. Compensation expense for share-based payment awards subject to vesting based upon the achievement of a performance condition is recognized on a graded-vesting basis at the time the achievement of the performance condition becomes probable.</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recognize share-based award forfeitures as they occur rather than estimating by applying a forfeiture rate.</w:t>
      </w:r>
    </w:p>
    <w:p>
      <w:pPr>
        <w:spacing w:after="0" w:line="13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While we recognize share-based compensation expense over the performance period and/or requisite service period based on the fair market value of the award as of the grant date, we will not know the actual amount of tax benefit an award will generate until such award is exercised (for stock options) or vested (for RSUs or PSUs). Until such award is exercised or vested we assume that the amount ultimately recognized for tax purposes is the same amount we are currently recognizing in our operating results, that is for "book" purposes. Consequently, our deferred tax asset related to share-based compensation expense, which totaled $5.8 million as of December 28, 2024, is based on each qualifying award's grant date fair value rather than the award's to-be-determined exercise date intrinsic value (or vesting date fair value). For awards exercised or vested during our fiscal year ended December 28, 2024, the exercise or vest date intrinsic value exceeded the grant date fair value by a total of $7.0 million. If the share price for our common stock were to depreciate for a sustained period of time, we could be required to recognize a tax shortfall. Such shortfalls could have a material effect on our cash flows and financial results. See NOTE 8—Share-based Awards and NOTE 10—Income Taxes, for additional information.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Income Taxes </w:t>
      </w:r>
      <w:r>
        <w:rPr>
          <w:rFonts w:ascii="Times New Roman" w:cs="Times New Roman" w:eastAsia="Times New Roman" w:hAnsi="Times New Roman"/>
          <w:sz w:val="14"/>
          <w:szCs w:val="14"/>
          <w:color w:val="auto"/>
        </w:rPr>
        <w:t>— Income taxes are accounted for using an asset and liability approach that requires recognition of deferred tax assets and liabilities for expected future tax consequences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events that have been recognized in our consolidated financial statements or tax returns. In estimating future tax consequences, all expected future events are considered, other than changes in the tax law. A valuation allowance is established, when necessary, to reduce net deferred income tax assets to the amount expected to be realized. We have not recorded any valuation allowances against our deferred income tax balances for the fiscal years ended December 28, 2024 and December 30, 2023. Significant items comprising our future tax benefits and liabilities (deferred tax assets and liabilities) include lease liability obligations, right-of-use assets, depreciation and amortization, net operating losses and other carryforwards, goodwill and share-based compensation expense.</w:t>
      </w:r>
    </w:p>
    <w:p>
      <w:pPr>
        <w:spacing w:after="0" w:line="5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recognize interest and penalties accrued on any unrecognized tax benefits as a component of income tax expense. We record uncertain tax positions in accordance with Accounting Standards Codification ("ASC") Topic 740, Income Taxes, on the basis of a two-step process in which (i) we determine whether it is more likely than not that the tax positions will be sustained on the basis of the technical merits of the position and (ii) for those tax positions that meet the more likely-than-not recognition threshold, we recognize the largest amount of tax benefit that is more than 50 percent likely to be realized upon ultimate settlement with the related tax authority.</w:t>
      </w:r>
    </w:p>
    <w:p>
      <w:pPr>
        <w:spacing w:after="0" w:line="54"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Variable Interest Entities </w:t>
      </w:r>
      <w:r>
        <w:rPr>
          <w:rFonts w:ascii="Times New Roman" w:cs="Times New Roman" w:eastAsia="Times New Roman" w:hAnsi="Times New Roman"/>
          <w:sz w:val="14"/>
          <w:szCs w:val="14"/>
          <w:color w:val="auto"/>
        </w:rPr>
        <w:t>— In accordance with the variable interest entities sub-section of ASC Topic 810, Consolidation, we assess at each reporting period whether we, or any consolidated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entity, are considered the primary beneficiary of a variable interest entity ("VIE") and therefore required to consolidate the financial results of the VIE in our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5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had 491, 466 and 438 stores operated by IOs as of December 28, 2024, December 30, 2023 and December 31, 2022, respectively. We have agreements in place with each IO. The IO orders merchandise exclusively from us which is provided to the IO on consignment. Under the independent operator agreement (the "Operator Agreement"), the IO selects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The IO is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spacing w:after="0" w:line="6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As consignor of all merchandise to each IO, the aggregate net sales proceeds from merchandise sales belongs to us. Net sales related to IO stores were $4.2 billion, $3.9 billion, and $3.5 billion for the fiscal years ended December 28, 2024, December 30, 2023, and December 31, 2022, respectively. We, in turn, pay each IO a commission based on a share of the gross profit of the store. Inventories and related net sales proceeds are our property, and we are responsible for store rent and related occupancy costs. IO commissions are expensed and included in SG&amp;A. IO commissions were $637.2 million, $621.7 million, and $533.1 million for the fiscal years ended December 28, 2024, December 30, 2023 and December 31, 2022, respectively. IO commissions of $5.6 million and $21.7 million were included in accrued and other current liabilities as of December 28, 2024 and December 30, 2023, respectively.</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An IO may fund its initial store investment from existing capital, a third-party loan or most commonly through a loan from us, as further discussed in NOTE 2—Independent Operator Notes and Independent Operator Receivables. As collateral for IO obligations and performance, the Operator Agreement grants us the security interests in the assets owned by each IO related to the respective store. Since the total investment at risk associated with each IO is not sufficient to permit each IO to finance its activities without additional subordinated financial support, each IO is a VIE that we have a variable interest in. To determine if we are the primary beneficiary of a VIE,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the IO's ability to direct those activities.</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its own labor. Labor activities that significantly impact the IO's economic performance include hiring, training, supervising, directing,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 illustrate the lack of ultimate control over the IO. Therefore, we are not the primary beneficiary of these VIEs.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maximum exposure, in accordance with ASC Topic 810, to the IOs is generally limited to the IO notes and IO receivables due from these entities, which was $71.0 million and $59.2 million, gross, as of December 28, 2024 and December 30, 2023, respectively. See NOTE 2—Independent Operator Notes and Independent Operator Receivables, for additional information.</w:t>
      </w:r>
    </w:p>
    <w:p>
      <w:pPr>
        <w:spacing w:after="0" w:line="37"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Net Income Per Share </w:t>
      </w:r>
      <w:r>
        <w:rPr>
          <w:rFonts w:ascii="Times New Roman" w:cs="Times New Roman" w:eastAsia="Times New Roman" w:hAnsi="Times New Roman"/>
          <w:sz w:val="14"/>
          <w:szCs w:val="14"/>
          <w:color w:val="auto"/>
        </w:rPr>
        <w:t>— Basic net income per share is calculated using net income available to common stockholders divided by the weighted-average number of common shares outstanding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during the period. Diluted net income per share reflects the dilutive effects of stock options and RSUs outstanding during the period, to the extent such securities would not be anti-dilutive, as well as dilutive PSUs, and is determined using the treasury stock method.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94"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Accounting Standards Update ("ASU") No. 2023-07 </w:t>
      </w:r>
      <w:r>
        <w:rPr>
          <w:rFonts w:ascii="Times New Roman" w:cs="Times New Roman" w:eastAsia="Times New Roman" w:hAnsi="Times New Roman"/>
          <w:sz w:val="14"/>
          <w:szCs w:val="14"/>
          <w:color w:val="auto"/>
        </w:rPr>
        <w:t>— In November 2023, the FASB issued ASU No. 2023-07, Segment Reporting (Topic 280) ("ASU 2023-07"). ASU 2023-07 expands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ASU 2023-07 is effective for fiscal years beginning after December 15, 2023 and interim periods within fiscal years beginning after December 15, 2024. We adopted ASU 2023-07 beginning in the fourth quarter of fiscal 2024 on a retrospective basis for all periods presented. The adoption of ASU 2023-07 required additional disclosures in our consolidated financial statements. See NOTE 14—Segment Information, for additional information.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94"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ASU No. 2023-09 </w:t>
      </w:r>
      <w:r>
        <w:rPr>
          <w:rFonts w:ascii="Times New Roman" w:cs="Times New Roman" w:eastAsia="Times New Roman" w:hAnsi="Times New Roman"/>
          <w:sz w:val="14"/>
          <w:szCs w:val="14"/>
          <w:color w:val="auto"/>
        </w:rPr>
        <w:t>— In December 2023, the FASB issued ASU No. 2023-09, Income Taxes (Topic 740) ("ASU 2023-09"). ASU 2023-09 requires public entities to disclose additional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In addition to new disclosures associated with the rate reconciliation, the ASU requires information pertaining to taxes paid (net of refunds received) to be disaggregated for federal, state, and foreign taxes and further disaggregated for specific jurisdictions to the extent the related amounts exceed a quantitative threshold. ASU 2023-09 is effective for fiscal years beginning after December 15, 2024. We will adopt ASU 2023-09 upon the effective date and are currently evaluating the impact on our consolidated financial statements and disclosures.</w:t>
      </w:r>
    </w:p>
    <w:p>
      <w:pPr>
        <w:spacing w:after="0" w:line="5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ASU No. 2024-03 </w:t>
      </w:r>
      <w:r>
        <w:rPr>
          <w:rFonts w:ascii="Times New Roman" w:cs="Times New Roman" w:eastAsia="Times New Roman" w:hAnsi="Times New Roman"/>
          <w:sz w:val="14"/>
          <w:szCs w:val="14"/>
          <w:color w:val="auto"/>
        </w:rPr>
        <w:t>— In November 2024, the FASB issued ASU No. 2024-03, Income Statement—Reporting Comprehensive Income—Expense Disaggregation Disclosures (Subtopic 220-40)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("ASU 2024-03"). ASU 2024-03 requires public entities to disclose, in the notes to financial statements, specified information about certain costs and expenses, including the amounts of purchases of inventory, employee compensation, depreciation and intangible asset amortization included in each expense caption presented on the face of the income statement, a qualitative description of the amounts remaining in these expense captions that are not separately disaggregated quantitatively, and the total amount of selling expenses and an entity's definition of selling expenses. ASU 2024-03, as clarified by ASU No. 2025-01, Income Statement—Reporting Comprehensive Income—Expense Disaggregation Disclosures (Subtopic 220-40), is effective for annual reporting periods beginning after December 15, 2026 and interim reporting periods within annual reporting periods beginning after December 15, 2027. We will adopt ASU 2024-03 upon the effective date and are currently evaluating the impact on our consolidated financial statements and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2—Independent Operator Notes and Independent Operator Receivables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amounts included in IO notes and IO receivables consist primarily of funds we loaned to IOs, net of estimated uncollectible amounts. IO notes, which are payable on demand and have no maturity date, typically bear interest at rates between 4.50% and 9.95%. Accrued interest receivable on IO notes is included within the "independent operator receivables and current portion of independent operator notes, net of allowance" line item on the consolidated balance sheets and was $3.0 million and $1.8 million as of December 28, 2024 and December 30, 2023, respectively. There were no IO notes that were past due or on a non-accrual status due to delinquency as of December 28, 2024 or December 30, 2023. Notes and receivables from our IOs participating in our Temporary Commission Adjustment Program ("TCAP"), as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detailed below, are not considered to be past due or on a non-accrual status due to delinquency and are excluded from such measures.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IO notes and IO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spacing w:after="0" w:line="51" w:lineRule="exact"/>
        <w:rPr>
          <w:sz w:val="20"/>
          <w:szCs w:val="20"/>
          <w:color w:val="auto"/>
        </w:rPr>
      </w:pPr>
    </w:p>
    <w:p>
      <w:pPr>
        <w:jc w:val="both"/>
        <w:ind w:left="520" w:hanging="260"/>
        <w:spacing w:after="0" w:line="270" w:lineRule="auto"/>
        <w:tabs>
          <w:tab w:leader="none" w:pos="516"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TCAP — Includes the notes and receivables from IOs with stores that have been open for more than 18 months that are participating in our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spacing w:after="0" w:line="48"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Non-TCAP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Includes the notes and receivables from IOs with stores that have been open for more than 18 months that are not participating in TCAP as of the end of each reporting period.</w:t>
      </w:r>
    </w:p>
    <w:p>
      <w:pPr>
        <w:spacing w:after="0" w:line="93" w:lineRule="exact"/>
        <w:rPr>
          <w:rFonts w:ascii="Times New Roman" w:cs="Times New Roman" w:eastAsia="Times New Roman" w:hAnsi="Times New Roman"/>
          <w:sz w:val="14"/>
          <w:szCs w:val="14"/>
          <w:b w:val="1"/>
          <w:bCs w:val="1"/>
          <w:color w:val="auto"/>
        </w:rPr>
      </w:pPr>
    </w:p>
    <w:p>
      <w:pPr>
        <w:ind w:left="520" w:hanging="260"/>
        <w:spacing w:after="0" w:line="290" w:lineRule="auto"/>
        <w:tabs>
          <w:tab w:leader="none" w:pos="516"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New store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Includes the notes and receivables from IOs with stores that have been open for less than 18 months as of the end of each reporting period, and may or may not be participating in TCAP.</w:t>
      </w:r>
    </w:p>
    <w:p>
      <w:pPr>
        <w:spacing w:after="0" w:line="37"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Amounts due from IOs and the related allowances as of December 28, 2024 and December 30, 2023 consisted of the following (amounts in thousands)</w:t>
      </w:r>
      <w:r>
        <w:rPr>
          <w:rFonts w:ascii="Times New Roman" w:cs="Times New Roman" w:eastAsia="Times New Roman" w:hAnsi="Times New Roman"/>
          <w:sz w:val="15"/>
          <w:szCs w:val="15"/>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Allowance</w:t>
            </w:r>
          </w:p>
        </w:tc>
        <w:tc>
          <w:tcPr>
            <w:tcW w:w="1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2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Gross</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Current Portion</w:t>
            </w:r>
          </w:p>
        </w:tc>
        <w:tc>
          <w:tcPr>
            <w:tcW w:w="200" w:type="dxa"/>
            <w:vAlign w:val="bottom"/>
          </w:tcPr>
          <w:p>
            <w:pPr>
              <w:spacing w:after="0"/>
              <w:rPr>
                <w:sz w:val="13"/>
                <w:szCs w:val="13"/>
                <w:color w:val="auto"/>
              </w:rPr>
            </w:pPr>
          </w:p>
        </w:tc>
        <w:tc>
          <w:tcPr>
            <w:tcW w:w="116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Long-term Portion</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Current Portion</w:t>
            </w:r>
          </w:p>
        </w:tc>
        <w:tc>
          <w:tcPr>
            <w:tcW w:w="160" w:type="dxa"/>
            <w:vAlign w:val="bottom"/>
          </w:tcPr>
          <w:p>
            <w:pPr>
              <w:spacing w:after="0"/>
              <w:rPr>
                <w:sz w:val="13"/>
                <w:szCs w:val="13"/>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Long-term Portion</w:t>
            </w:r>
          </w:p>
        </w:tc>
      </w:tr>
      <w:tr>
        <w:trPr>
          <w:trHeight w:val="16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Independent operator notes</w:t>
            </w:r>
          </w:p>
        </w:tc>
        <w:tc>
          <w:tcPr>
            <w:tcW w:w="880" w:type="dxa"/>
            <w:vAlign w:val="bottom"/>
            <w:gridSpan w:val="2"/>
          </w:tcPr>
          <w:p>
            <w:pPr>
              <w:jc w:val="right"/>
              <w:ind w:right="71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46,917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(11,454)</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35,095</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34,624</w:t>
            </w: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Independent operator receivables</w:t>
            </w:r>
          </w:p>
        </w:tc>
        <w:tc>
          <w:tcPr>
            <w:tcW w:w="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24,054</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w:t>
            </w:r>
          </w:p>
        </w:tc>
      </w:tr>
      <w:tr>
        <w:trPr>
          <w:trHeight w:val="171"/>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4"/>
                <w:szCs w:val="14"/>
                <w:color w:val="auto"/>
              </w:rPr>
            </w:pPr>
          </w:p>
        </w:tc>
        <w:tc>
          <w:tcPr>
            <w:tcW w:w="8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70,971</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(12,709)</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52,492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16,051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36,441</w:t>
            </w: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02"/>
        </w:trPr>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Allowance</w:t>
            </w:r>
          </w:p>
        </w:tc>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54"/>
        </w:trPr>
        <w:tc>
          <w:tcPr>
            <w:tcW w:w="2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Gross</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Current Portion</w:t>
            </w:r>
          </w:p>
        </w:tc>
        <w:tc>
          <w:tcPr>
            <w:tcW w:w="200" w:type="dxa"/>
            <w:vAlign w:val="bottom"/>
          </w:tcPr>
          <w:p>
            <w:pPr>
              <w:spacing w:after="0"/>
              <w:rPr>
                <w:sz w:val="13"/>
                <w:szCs w:val="13"/>
                <w:color w:val="auto"/>
              </w:rPr>
            </w:pPr>
          </w:p>
        </w:tc>
        <w:tc>
          <w:tcPr>
            <w:tcW w:w="116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Long-term Portion</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Current Portion</w:t>
            </w:r>
          </w:p>
        </w:tc>
        <w:tc>
          <w:tcPr>
            <w:tcW w:w="160" w:type="dxa"/>
            <w:vAlign w:val="bottom"/>
          </w:tcPr>
          <w:p>
            <w:pPr>
              <w:spacing w:after="0"/>
              <w:rPr>
                <w:sz w:val="13"/>
                <w:szCs w:val="13"/>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Long-term Portion</w:t>
            </w:r>
          </w:p>
        </w:tc>
      </w:tr>
      <w:tr>
        <w:trPr>
          <w:trHeight w:val="16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Independent operator notes</w:t>
            </w:r>
          </w:p>
        </w:tc>
        <w:tc>
          <w:tcPr>
            <w:tcW w:w="880" w:type="dxa"/>
            <w:vAlign w:val="bottom"/>
            <w:gridSpan w:val="2"/>
          </w:tcPr>
          <w:p>
            <w:pPr>
              <w:jc w:val="right"/>
              <w:ind w:right="73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(10,435)</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29,934</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28,134</w:t>
            </w: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Independent operator receivables</w:t>
            </w:r>
          </w:p>
        </w:tc>
        <w:tc>
          <w:tcPr>
            <w:tcW w:w="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bottom w:val="single" w:sz="8" w:color="auto"/>
            </w:tcBorders>
            <w:gridSpan w:val="2"/>
          </w:tcPr>
          <w:p>
            <w:pPr>
              <w:jc w:val="right"/>
              <w:ind w:right="73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59,228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(11,059)</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43,077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28,134</w:t>
            </w:r>
          </w:p>
        </w:tc>
      </w:tr>
      <w:tr>
        <w:trPr>
          <w:trHeight w:val="20"/>
        </w:trPr>
        <w:tc>
          <w:tcPr>
            <w:tcW w:w="2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summary of activity in the IO notes and IO receivables allowance was as follows (amounts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08"/>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right"/>
              <w:ind w:right="334"/>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11,912</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IO notes and IO receivables reserves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4,160</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 of uncollectible IO notes and IO receivables</w:t>
            </w: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w:t>
            </w:r>
          </w:p>
        </w:tc>
      </w:tr>
      <w:tr>
        <w:trPr>
          <w:trHeight w:val="17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14,747</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gross write-off of IO notes and IO receivables by year of origination for the fiscal year ended December 28, 2024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2024</w:t>
            </w: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180"/>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2023</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2022</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180"/>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2021</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2020</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Prior</w:t>
            </w: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w:t>
            </w:r>
          </w:p>
        </w:tc>
      </w:tr>
      <w:tr>
        <w:trPr>
          <w:trHeight w:val="196"/>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outstanding gross balance of IO notes by fiscal year of origination and credit quality indicator as of December 28, 2024 (amounts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Fiscal Year of Origination</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4"/>
        </w:trPr>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Credit Quality Indicator</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Prior</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6"/>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TCAP</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17,952</w:t>
            </w:r>
          </w:p>
        </w:tc>
      </w:tr>
      <w:tr>
        <w:trPr>
          <w:trHeight w:val="180"/>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Non-TCAP</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20,507</w:t>
            </w:r>
          </w:p>
        </w:tc>
      </w:tr>
      <w:tr>
        <w:trPr>
          <w:trHeight w:val="18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store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8,458</w:t>
            </w:r>
          </w:p>
        </w:tc>
      </w:tr>
      <w:tr>
        <w:trPr>
          <w:trHeight w:val="171"/>
        </w:trPr>
        <w:tc>
          <w:tcPr>
            <w:tcW w:w="2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14,729</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9,411</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9,755</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6,048</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46,917</w:t>
            </w:r>
          </w:p>
        </w:tc>
      </w:tr>
      <w:tr>
        <w:trPr>
          <w:trHeight w:val="20"/>
        </w:trPr>
        <w:tc>
          <w:tcPr>
            <w:tcW w:w="2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TCAP IO Notes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Notes of IOs participating in our TCAP represented 49.1% and 51.6% of total IO note balances as of December 28, 2024 and December 30, 2023, respectively.</w:t>
      </w:r>
    </w:p>
    <w:p>
      <w:pPr>
        <w:spacing w:after="0" w:line="200"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 total of $4.2 million of IO notes were added into our TCAP during the fiscal year ended December 28, 2024. The weighted average contractual interest rate of these IO notes was 4.50% as of December 28, 2024, a reduction from the standard rate of 9.95%. In addition, $4.1 million of IO notes were transferred from TCAP to Non-TCAP during the fiscal year ended December 28, 2024.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3—Property and Equipment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Property and equipment as of December 28, 2024 and December 30, 2023 consisted of the following (amounts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40" w:type="dxa"/>
            <w:vAlign w:val="bottom"/>
          </w:tcPr>
          <w:p>
            <w:pPr>
              <w:spacing w:after="0"/>
              <w:rPr>
                <w:sz w:val="11"/>
                <w:szCs w:val="11"/>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Property and Equipment, At</w:t>
            </w:r>
          </w:p>
        </w:tc>
        <w:tc>
          <w:tcPr>
            <w:tcW w:w="80" w:type="dxa"/>
            <w:vAlign w:val="bottom"/>
          </w:tcPr>
          <w:p>
            <w:pPr>
              <w:spacing w:after="0"/>
              <w:rPr>
                <w:sz w:val="11"/>
                <w:szCs w:val="1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 Depreciation</w:t>
            </w: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9"/>
        </w:trPr>
        <w:tc>
          <w:tcPr>
            <w:tcW w:w="6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2"/>
                <w:szCs w:val="12"/>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and Amortization</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Property and Equipment, Net</w:t>
            </w:r>
          </w:p>
        </w:tc>
      </w:tr>
      <w:tr>
        <w:trPr>
          <w:trHeight w:val="30"/>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538,682</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(184,759)</w:t>
            </w:r>
          </w:p>
        </w:tc>
        <w:tc>
          <w:tcPr>
            <w:tcW w:w="10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353,923</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Fixtures and equipment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621,017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(301,499)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319,518</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76,941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76,941</w:t>
            </w:r>
          </w:p>
        </w:tc>
      </w:tr>
      <w:tr>
        <w:trPr>
          <w:trHeight w:val="171"/>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Totals</w:t>
            </w:r>
          </w:p>
        </w:tc>
        <w:tc>
          <w:tcPr>
            <w:tcW w:w="3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1,237,016</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(486,593)</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750,423</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453,496</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(148,633)</w:t>
            </w:r>
          </w:p>
        </w:tc>
        <w:tc>
          <w:tcPr>
            <w:tcW w:w="10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304,863</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Fixtures and equipment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(249,838)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277,931</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59,614</w:t>
            </w:r>
          </w:p>
        </w:tc>
      </w:tr>
      <w:tr>
        <w:trPr>
          <w:trHeight w:val="171"/>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Totals</w:t>
            </w:r>
          </w:p>
        </w:tc>
        <w:tc>
          <w:tcPr>
            <w:tcW w:w="3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1,041,255</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(398,793)</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642,462</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Construction in progress is primarily composed of leasehold improvements and fixtures and equipment related to new or remodeled stores where construction had not been completed at year-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Depreciation expense on property and equipment for fiscal 2024, fiscal 2023 and fiscal 2022 was as follows (amounts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 Statements of Operations and Comprehensive Income Location</w:t>
            </w:r>
          </w:p>
        </w:tc>
        <w:tc>
          <w:tcPr>
            <w:tcW w:w="240" w:type="dxa"/>
            <w:vAlign w:val="bottom"/>
          </w:tcPr>
          <w:p>
            <w:pPr>
              <w:spacing w:after="0"/>
              <w:rPr>
                <w:sz w:val="9"/>
                <w:szCs w:val="9"/>
                <w:color w:val="auto"/>
              </w:rPr>
            </w:pPr>
          </w:p>
        </w:tc>
        <w:tc>
          <w:tcPr>
            <w:tcW w:w="1340" w:type="dxa"/>
            <w:vAlign w:val="bottom"/>
            <w:gridSpan w:val="2"/>
          </w:tcPr>
          <w:p>
            <w:pPr>
              <w:ind w:left="160"/>
              <w:spacing w:after="0" w:line="106"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6"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right"/>
              <w:ind w:right="335"/>
              <w:spacing w:after="0" w:line="10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66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6"/>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0" w:type="dxa"/>
            <w:vAlign w:val="bottom"/>
          </w:tcPr>
          <w:p>
            <w:pPr>
              <w:spacing w:after="0"/>
              <w:rPr>
                <w:sz w:val="1"/>
                <w:szCs w:val="1"/>
                <w:color w:val="auto"/>
              </w:rPr>
            </w:pPr>
          </w:p>
        </w:tc>
      </w:tr>
      <w:tr>
        <w:trPr>
          <w:trHeight w:val="180"/>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87,890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74,637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68,740</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depreciation expense on property and equipment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70,451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4—Leases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December 28, 2024 and December 30, 2023, we leased 14 of our store locations and one warehouse location from related parties. See NOTE 11—Related Party Transactions, for additional information.</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December 28, 2024, we had executed leases for 69 store locations that we had not yet taken possession of with total undiscounted future lease payments of $451.5 million and lease terms through 2043. For 17 of these store locations, we are pursuing termination of these leases as part of the Restructuring Plan, with total undiscounted future lease payments of $66.7 million and lease terms through 2038. See NOTE 16—Restructuring Plan for further discussion.</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Based upon our initial investment in store leasehold improvements, we utilize an initial, reasonably-certain lease life of 15 years for most of our leases. Most leases include one or more options to renew, with renewal terms that can extend the lease term from five to 15 years or more. Our leases do not include any material residual value guarantees or material restrictive covenants. We also have non-cancelable subleases with unrelated third parties with future minimum rental receipts as of December 28, 2024 totaling $2.7 million ending in various years through 2036, which have not been deducted from the future minimum lease payments.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balance sheet classification of our right-of-use lease assets and lease liabilities was as follows (amounts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28,</w:t>
            </w:r>
          </w:p>
        </w:tc>
        <w:tc>
          <w:tcPr>
            <w:tcW w:w="240" w:type="dxa"/>
            <w:vAlign w:val="bottom"/>
          </w:tcPr>
          <w:p>
            <w:pPr>
              <w:spacing w:after="0"/>
              <w:rPr>
                <w:sz w:val="11"/>
                <w:szCs w:val="11"/>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December 30,</w:t>
            </w:r>
          </w:p>
        </w:tc>
        <w:tc>
          <w:tcPr>
            <w:tcW w:w="0" w:type="dxa"/>
            <w:vAlign w:val="bottom"/>
          </w:tcPr>
          <w:p>
            <w:pPr>
              <w:spacing w:after="0"/>
              <w:rPr>
                <w:sz w:val="1"/>
                <w:szCs w:val="1"/>
                <w:color w:val="auto"/>
              </w:rPr>
            </w:pPr>
          </w:p>
        </w:tc>
      </w:tr>
      <w:tr>
        <w:trPr>
          <w:trHeight w:val="153"/>
        </w:trPr>
        <w:tc>
          <w:tcPr>
            <w:tcW w:w="3900" w:type="dxa"/>
            <w:vAlign w:val="bottom"/>
            <w:gridSpan w:val="2"/>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5"/>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2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lease assets</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290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1,014,678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945,710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assets</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6,433</w:t>
            </w:r>
          </w:p>
        </w:tc>
        <w:tc>
          <w:tcPr>
            <w:tcW w:w="0" w:type="dxa"/>
            <w:vAlign w:val="bottom"/>
          </w:tcPr>
          <w:p>
            <w:pPr>
              <w:spacing w:after="0"/>
              <w:rPr>
                <w:sz w:val="1"/>
                <w:szCs w:val="1"/>
                <w:color w:val="auto"/>
              </w:rPr>
            </w:pPr>
          </w:p>
        </w:tc>
      </w:tr>
      <w:tr>
        <w:trPr>
          <w:trHeight w:val="171"/>
        </w:trPr>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lease assets</w:t>
            </w:r>
          </w:p>
        </w:tc>
        <w:tc>
          <w:tcPr>
            <w:tcW w:w="16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1,018,389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952,143</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66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6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2900" w:type="dxa"/>
            <w:vAlign w:val="bottom"/>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62,273</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Finance</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166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1,103,647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1,033,590</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2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0" w:type="dxa"/>
            <w:vAlign w:val="bottom"/>
          </w:tcPr>
          <w:p>
            <w:pPr>
              <w:spacing w:after="0"/>
              <w:rPr>
                <w:sz w:val="1"/>
                <w:szCs w:val="1"/>
                <w:color w:val="auto"/>
              </w:rPr>
            </w:pPr>
          </w:p>
        </w:tc>
      </w:tr>
      <w:tr>
        <w:trPr>
          <w:trHeight w:val="171"/>
        </w:trPr>
        <w:tc>
          <w:tcPr>
            <w:tcW w:w="39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lease liabilities</w:t>
            </w:r>
          </w:p>
        </w:tc>
        <w:tc>
          <w:tcPr>
            <w:tcW w:w="16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1,179,124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1,102,081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60" w:type="dxa"/>
            <w:vAlign w:val="bottom"/>
            <w:vMerge w:val="restart"/>
          </w:tcPr>
          <w:p>
            <w:pPr>
              <w:jc w:val="right"/>
              <w:ind w:right="2329"/>
              <w:spacing w:after="0"/>
              <w:rPr>
                <w:sz w:val="20"/>
                <w:szCs w:val="20"/>
                <w:color w:val="auto"/>
              </w:rPr>
            </w:pPr>
            <w:r>
              <w:rPr>
                <w:rFonts w:ascii="Times New Roman" w:cs="Times New Roman" w:eastAsia="Times New Roman" w:hAnsi="Times New Roman"/>
                <w:sz w:val="14"/>
                <w:szCs w:val="14"/>
                <w:color w:val="auto"/>
                <w:w w:val="99"/>
              </w:rPr>
              <w:t>76</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lease expense were as follows (amounts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Lease Cost</w:t>
            </w:r>
          </w:p>
        </w:tc>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Classification </w:t>
            </w:r>
            <w:r>
              <w:rPr>
                <w:rFonts w:ascii="Times New Roman" w:cs="Times New Roman" w:eastAsia="Times New Roman" w:hAnsi="Times New Roman"/>
                <w:sz w:val="16"/>
                <w:szCs w:val="16"/>
                <w:b w:val="1"/>
                <w:bCs w:val="1"/>
                <w:color w:val="auto"/>
                <w:vertAlign w:val="superscript"/>
              </w:rPr>
              <w:t>(1)</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4"/>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gridSpan w:val="4"/>
          </w:tcPr>
          <w:p>
            <w:pPr>
              <w:jc w:val="center"/>
              <w:ind w:right="320"/>
              <w:spacing w:after="0" w:line="108"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ind w:right="353"/>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640" w:type="dxa"/>
            <w:vAlign w:val="bottom"/>
            <w:gridSpan w:val="3"/>
            <w:vMerge w:val="continue"/>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0" w:type="dxa"/>
            <w:vAlign w:val="bottom"/>
            <w:tcBorders>
              <w:top w:val="single" w:sz="8" w:color="CCEEFF"/>
            </w:tcBorders>
            <w:shd w:val="clear" w:color="auto" w:fill="CCEEFF"/>
          </w:tcPr>
          <w:p>
            <w:pPr>
              <w:spacing w:after="0"/>
              <w:rPr>
                <w:sz w:val="14"/>
                <w:szCs w:val="14"/>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157,300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141,501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1,479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on leased liabilities</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1,688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2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(1,237)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6"/>
                <w:szCs w:val="16"/>
                <w:color w:val="auto"/>
              </w:rPr>
            </w:pPr>
          </w:p>
        </w:tc>
        <w:tc>
          <w:tcPr>
            <w:tcW w:w="3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lease cost</w:t>
            </w:r>
          </w:p>
        </w:tc>
        <w:tc>
          <w:tcPr>
            <w:tcW w:w="2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159,533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143,120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8"/>
                <w:szCs w:val="8"/>
                <w:color w:val="auto"/>
              </w:rPr>
              <w:t>_______________________</w:t>
            </w: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92"/>
              </w:rPr>
              <w:t>(1)</w:t>
            </w:r>
          </w:p>
        </w:tc>
        <w:tc>
          <w:tcPr>
            <w:tcW w:w="6460" w:type="dxa"/>
            <w:vAlign w:val="bottom"/>
            <w:gridSpan w:val="4"/>
          </w:tcPr>
          <w:p>
            <w:pPr>
              <w:ind w:left="220"/>
              <w:spacing w:after="0"/>
              <w:rPr>
                <w:sz w:val="20"/>
                <w:szCs w:val="20"/>
                <w:color w:val="auto"/>
              </w:rPr>
            </w:pPr>
            <w:r>
              <w:rPr>
                <w:rFonts w:ascii="Times New Roman" w:cs="Times New Roman" w:eastAsia="Times New Roman" w:hAnsi="Times New Roman"/>
                <w:sz w:val="13"/>
                <w:szCs w:val="13"/>
                <w:color w:val="auto"/>
              </w:rPr>
              <w:t>Certain supply chain related lease costs herein are included in cost of sales.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60" w:type="dxa"/>
            <w:vAlign w:val="bottom"/>
          </w:tcPr>
          <w:p>
            <w:pPr>
              <w:spacing w:after="0"/>
              <w:rPr>
                <w:sz w:val="24"/>
                <w:szCs w:val="24"/>
                <w:color w:val="auto"/>
              </w:rPr>
            </w:pPr>
          </w:p>
        </w:tc>
        <w:tc>
          <w:tcPr>
            <w:tcW w:w="646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Maturities of lease liabilities as of December 28, 2024 were as follows (amounts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rPr>
              <w:t>Finance Leases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80"/>
        </w:trPr>
        <w:tc>
          <w:tcPr>
            <w:tcW w:w="36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w:t>
            </w:r>
          </w:p>
        </w:tc>
        <w:tc>
          <w:tcPr>
            <w:tcW w:w="28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146,250</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1,584</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147,834</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Fiscal 2026</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165,542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160,450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735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161,185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158,115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2029</w:t>
            </w:r>
          </w:p>
        </w:tc>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158,740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159,110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867,841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867,994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6"/>
                <w:szCs w:val="16"/>
                <w:color w:val="auto"/>
              </w:rPr>
            </w:pPr>
          </w:p>
        </w:tc>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2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1,656,938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4,442</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1,661,380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(481,764)</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640" w:type="dxa"/>
            <w:vAlign w:val="bottom"/>
            <w:tcBorders>
              <w:bottom w:val="single" w:sz="8" w:color="CCEEFF"/>
            </w:tcBorders>
            <w:gridSpan w:val="3"/>
            <w:vMerge w:val="continue"/>
          </w:tcPr>
          <w:p>
            <w:pPr>
              <w:spacing w:after="0"/>
              <w:rPr>
                <w:sz w:val="10"/>
                <w:szCs w:val="10"/>
                <w:color w:val="auto"/>
              </w:rPr>
            </w:pPr>
          </w:p>
        </w:tc>
        <w:tc>
          <w:tcPr>
            <w:tcW w:w="2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6"/>
                <w:szCs w:val="16"/>
                <w:color w:val="auto"/>
              </w:rPr>
            </w:pPr>
          </w:p>
        </w:tc>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2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1,175,174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3,950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bottom w:val="single" w:sz="8" w:color="CCEEFF"/>
            </w:tcBorders>
            <w:gridSpan w:val="4"/>
            <w:vMerge w:val="restart"/>
          </w:tcPr>
          <w:p>
            <w:pPr>
              <w:ind w:left="220"/>
              <w:spacing w:after="0"/>
              <w:rPr>
                <w:sz w:val="20"/>
                <w:szCs w:val="20"/>
                <w:color w:val="auto"/>
              </w:rPr>
            </w:pPr>
            <w:r>
              <w:rPr>
                <w:rFonts w:ascii="Times New Roman" w:cs="Times New Roman" w:eastAsia="Times New Roman" w:hAnsi="Times New Roman"/>
                <w:sz w:val="14"/>
                <w:szCs w:val="14"/>
                <w:color w:val="auto"/>
              </w:rPr>
              <w:t>The weighted-average lease terms and discount rates of operating and finance leases were as follows:</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60" w:type="dxa"/>
            <w:vAlign w:val="bottom"/>
          </w:tcPr>
          <w:p>
            <w:pPr>
              <w:spacing w:after="0"/>
              <w:rPr>
                <w:sz w:val="24"/>
                <w:szCs w:val="24"/>
                <w:color w:val="auto"/>
              </w:rPr>
            </w:pPr>
          </w:p>
        </w:tc>
        <w:tc>
          <w:tcPr>
            <w:tcW w:w="64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28,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December 30,</w:t>
            </w:r>
          </w:p>
        </w:tc>
        <w:tc>
          <w:tcPr>
            <w:tcW w:w="0" w:type="dxa"/>
            <w:vAlign w:val="bottom"/>
          </w:tcPr>
          <w:p>
            <w:pPr>
              <w:spacing w:after="0"/>
              <w:rPr>
                <w:sz w:val="1"/>
                <w:szCs w:val="1"/>
                <w:color w:val="auto"/>
              </w:rPr>
            </w:pPr>
          </w:p>
        </w:tc>
      </w:tr>
      <w:tr>
        <w:trPr>
          <w:trHeight w:val="153"/>
        </w:trPr>
        <w:tc>
          <w:tcPr>
            <w:tcW w:w="160" w:type="dxa"/>
            <w:vAlign w:val="bottom"/>
            <w:tcBorders>
              <w:bottom w:val="single" w:sz="8" w:color="CCEEFF"/>
            </w:tcBorders>
          </w:tcPr>
          <w:p>
            <w:pPr>
              <w:spacing w:after="0"/>
              <w:rPr>
                <w:sz w:val="13"/>
                <w:szCs w:val="13"/>
                <w:color w:val="auto"/>
              </w:rPr>
            </w:pPr>
          </w:p>
        </w:tc>
        <w:tc>
          <w:tcPr>
            <w:tcW w:w="33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2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10.5 years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10.8 years</w:t>
            </w: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3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 years</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 years</w:t>
            </w:r>
          </w:p>
        </w:tc>
        <w:tc>
          <w:tcPr>
            <w:tcW w:w="0" w:type="dxa"/>
            <w:vAlign w:val="bottom"/>
          </w:tcPr>
          <w:p>
            <w:pPr>
              <w:spacing w:after="0"/>
              <w:rPr>
                <w:sz w:val="1"/>
                <w:szCs w:val="1"/>
                <w:color w:val="auto"/>
              </w:rPr>
            </w:pPr>
          </w:p>
        </w:tc>
      </w:tr>
      <w:tr>
        <w:trPr>
          <w:trHeight w:val="180"/>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3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6.55 %</w:t>
            </w: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5.89 %</w:t>
            </w:r>
          </w:p>
        </w:tc>
        <w:tc>
          <w:tcPr>
            <w:tcW w:w="0" w:type="dxa"/>
            <w:vAlign w:val="bottom"/>
          </w:tcPr>
          <w:p>
            <w:pPr>
              <w:spacing w:after="0"/>
              <w:rPr>
                <w:sz w:val="1"/>
                <w:szCs w:val="1"/>
                <w:color w:val="auto"/>
              </w:rPr>
            </w:pPr>
          </w:p>
        </w:tc>
      </w:tr>
      <w:tr>
        <w:trPr>
          <w:trHeight w:val="749"/>
        </w:trPr>
        <w:tc>
          <w:tcPr>
            <w:tcW w:w="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6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 (amounts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08"/>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right"/>
              <w:ind w:right="333"/>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6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152,576</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135,871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125,221</w:t>
            </w:r>
          </w:p>
        </w:tc>
      </w:tr>
      <w:tr>
        <w:trPr>
          <w:trHeight w:val="180"/>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180"/>
        </w:trPr>
        <w:tc>
          <w:tcPr>
            <w:tcW w:w="6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Finance cash flows from finance leases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Leased assets obtained in exchange for new operating lease liabilities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131,758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88,681</w:t>
            </w:r>
          </w:p>
        </w:tc>
      </w:tr>
      <w:tr>
        <w:trPr>
          <w:trHeight w:val="18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Leased assets obtained in exchange for new finance lease liabilities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5—Goodwill and Intangible Assets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Information regarding our goodwill and intangible assets as of December 28, 2024 was as follows (amounts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8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40" w:type="dxa"/>
            <w:vAlign w:val="bottom"/>
          </w:tcPr>
          <w:p>
            <w:pPr>
              <w:spacing w:after="0"/>
              <w:rPr>
                <w:sz w:val="13"/>
                <w:szCs w:val="13"/>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Net Carrying Amount</w:t>
            </w:r>
          </w:p>
        </w:tc>
      </w:tr>
      <w:tr>
        <w:trPr>
          <w:trHeight w:val="18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58,400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18,609</w:t>
            </w:r>
          </w:p>
        </w:tc>
      </w:tr>
      <w:tr>
        <w:trPr>
          <w:trHeight w:val="18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85,109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(34,505)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50,604</w:t>
            </w:r>
          </w:p>
        </w:tc>
      </w:tr>
      <w:tr>
        <w:trPr>
          <w:trHeight w:val="171"/>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finite-lived intangible assets</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69,213</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Liquor licenses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9,565</w:t>
            </w:r>
          </w:p>
        </w:tc>
      </w:tr>
      <w:tr>
        <w:trPr>
          <w:trHeight w:val="171"/>
        </w:trPr>
        <w:tc>
          <w:tcPr>
            <w:tcW w:w="6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intangible assets</w:t>
            </w:r>
          </w:p>
        </w:tc>
        <w:tc>
          <w:tcPr>
            <w:tcW w:w="1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153,074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78,778</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782,734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782,734</w:t>
            </w:r>
          </w:p>
        </w:tc>
      </w:tr>
      <w:tr>
        <w:trPr>
          <w:trHeight w:val="196"/>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goodwill and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935,808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861,512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Information regarding our goodwill and intangible assets as of December 30, 2023 was as follows (amounts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8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40" w:type="dxa"/>
            <w:vAlign w:val="bottom"/>
          </w:tcPr>
          <w:p>
            <w:pPr>
              <w:spacing w:after="0"/>
              <w:rPr>
                <w:sz w:val="13"/>
                <w:szCs w:val="13"/>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Net Carrying Amount</w:t>
            </w:r>
          </w:p>
        </w:tc>
      </w:tr>
      <w:tr>
        <w:trPr>
          <w:trHeight w:val="18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58,400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22,503</w:t>
            </w:r>
          </w:p>
        </w:tc>
      </w:tr>
      <w:tr>
        <w:trPr>
          <w:trHeight w:val="18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69,643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(22,600)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47,043</w:t>
            </w:r>
          </w:p>
        </w:tc>
      </w:tr>
      <w:tr>
        <w:trPr>
          <w:trHeight w:val="171"/>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finite-lived intangible assets</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69,546</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Liquor licenses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9,010</w:t>
            </w:r>
          </w:p>
        </w:tc>
      </w:tr>
      <w:tr>
        <w:trPr>
          <w:trHeight w:val="171"/>
        </w:trPr>
        <w:tc>
          <w:tcPr>
            <w:tcW w:w="6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intangible assets</w:t>
            </w:r>
          </w:p>
        </w:tc>
        <w:tc>
          <w:tcPr>
            <w:tcW w:w="1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137,053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78,556</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747,943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747,943</w:t>
            </w:r>
          </w:p>
        </w:tc>
      </w:tr>
      <w:tr>
        <w:trPr>
          <w:trHeight w:val="196"/>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goodwill and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884,996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826,499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carrying amount of goodwill increased by $34.8 million for the fiscal year ended December 28, 2024 as a result of the acquisition of United Grocery Outlet. See NOTE 15—Business Combination for additional information. There were no changes in the carrying amount of goodwill for the fiscal years ended December 30, 2023 and December 31, 2022.</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Amortization expense for finite-lived intangible assets was $15.7 million, $10.1 million, and $6.6 million for the fiscal years ended December 28, 2024, December 30, 2023, and December 31, 2022,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estimated future amortization expense related to finite-lived intangible assets as of December 28, 2024 is as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18,101</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2026</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15,136</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10,896</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8,991</w:t>
            </w:r>
          </w:p>
        </w:tc>
        <w:tc>
          <w:tcPr>
            <w:tcW w:w="0" w:type="dxa"/>
            <w:vAlign w:val="bottom"/>
          </w:tcPr>
          <w:p>
            <w:pPr>
              <w:spacing w:after="0"/>
              <w:rPr>
                <w:sz w:val="1"/>
                <w:szCs w:val="1"/>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2029</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9,643</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69,213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6—Long-term Debt</w:t>
            </w: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8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Long-term debt consisted of the following (amounts in thousands):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28,</w:t>
            </w:r>
          </w:p>
        </w:tc>
        <w:tc>
          <w:tcPr>
            <w:tcW w:w="240" w:type="dxa"/>
            <w:vAlign w:val="bottom"/>
          </w:tcPr>
          <w:p>
            <w:pPr>
              <w:spacing w:after="0"/>
              <w:rPr>
                <w:sz w:val="18"/>
                <w:szCs w:val="18"/>
                <w:color w:val="auto"/>
              </w:rPr>
            </w:pPr>
          </w:p>
        </w:tc>
        <w:tc>
          <w:tcPr>
            <w:tcW w:w="1240" w:type="dxa"/>
            <w:vAlign w:val="bottom"/>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December 30,</w:t>
            </w:r>
          </w:p>
        </w:tc>
        <w:tc>
          <w:tcPr>
            <w:tcW w:w="0" w:type="dxa"/>
            <w:vAlign w:val="bottom"/>
          </w:tcPr>
          <w:p>
            <w:pPr>
              <w:spacing w:after="0"/>
              <w:rPr>
                <w:sz w:val="1"/>
                <w:szCs w:val="1"/>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Senior term loan due 2028</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294,375</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debt, gross</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294,375</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 and debt discounts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debt, less unamortized debt discounts and debt issuance costs</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292,732</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debt, net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462,502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287,107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Credit Agreement</w:t>
      </w:r>
    </w:p>
    <w:p>
      <w:pPr>
        <w:spacing w:after="0" w:line="96"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We are party to a credit agreement, dated February 21, 2023 (the "2023 Credit Agreement"), with Bank of America, N.A., as administrative agent and collateral agent, and a syndicate of lenders that consists of (i) a senior secured term loan facility (the "senior term loan") and (ii) a senior secured revolving credit facility (the "revolving credit facility" and, together with the senior term loan, the "credit facilities") in an aggregate principal amount of $400.0 million. The revolving credit facility includes sub-commitments for $50.0 million letters of credit and $25.0 million of swingline loans.</w:t>
      </w:r>
    </w:p>
    <w:p>
      <w:pPr>
        <w:spacing w:after="0" w:line="22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On February 21, 2023, we repaid all of the outstanding indebtedness under our Prior First Lien Credit Agreement (as defined below), as well as fees and expenses in connection therewith. All obligations of the Company’s subsidiaries under the Prior First Lien Credit Agreement were discharged and the agreement was terminated as of such date. In connection with the closing of the 2023 Credit Agreement and repayment of the Prior First Lien Credit Agreement and in accordance with ASC Topic 470-50, Debt-Modifications and Extinguishments, we wrote off $5.1 million of previously unamortized debt issuance costs and debt discounts and incurred $0.2 million in debt modification costs, which were recorded within loss on debt extinguishment and modification for the fiscal year ended December 28, 2024. Furthermore, a total of $4.6 million of creditor and third-party debt issuance costs were capitalized or carried over from the prior credit facilities (as defined below), and will be amortized over the term of the new credit facilities.</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Borrowings under the 2023 Credit Agreement bear interest at a rate equal to, at our option, either (a) the base rate, which is defined as a fluctuating rate per annum equal to the greatest of (i) the federal funds rate then in effect, plus 0.50%, (ii) the prime rate then in effect and (iii) a specified Term SOFR (as defined in the 2023 Credit Agreement) rate plus 1.00%, subject to the interest rate floors set forth therein, plus an applicable margin ranging from 0.75% to 1.75% based on our Total Net Leverage Ratio (as defined in the 2023 Credit Agreement); and (b) an adjusted Term SOFR rate determined on the basis of a one, three or six month interest period, plus 0.10%, subject to the interest rate floors set forth therein, plus an applicable margin ranging from 1.75% to 2.75% based on our Total Net Leverage Ratio. As of December 28, 2024, interest on borrowings under the credit facilities was based on one-month Term SOFR with an applicable margin of 2.25%.</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2023 Credit Agreement permits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limitations, plus (b) voluntary prepayments of any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of 3.00 to 1.00.</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obligations under the 2023 Credit Agreement are unconditionally guaranteed by Grocery Outlet Holding Corp.'s direct and indirect wholly owned restricted subsidiaries, subject to certain exceptions. All obligations under the 2023 Credit Agreement, and the guarantee of such obligations, are secured, subject to permitted liens and other exceptions, by substantially all of the Company’s assets and those of each subsidiary guarantor.</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2023 Credit Agreement requires us to make scheduled quarterly amortization payments on the senior term loan of $1.875 million beginning June 2023 through March 2025, followed by $3.75 million beginning June 2025 through December 2027, with the remaining balance due on February 21, 2028. We may voluntarily prepay the credit facilities, in whole or in part, at any time without premium or penalty, subject to reimbursement of the lenders’ breakage and redeployment costs in applicable cases.</w:t>
      </w:r>
    </w:p>
    <w:p>
      <w:pPr>
        <w:spacing w:after="0" w:line="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Senior Term Loan due 2028</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senior term loan under the 2023 Credit Agreement matures on February 21, 2028 and had an interest rate of 6.92% as of December 28, 2024.</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 Facility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aggregate outstanding principal balance under the revolving credit facility was $190.0 million and zero as of December 28, 2024 and December 30, 2023, respectively. As of December 28, 2024 we had $4.5 million of outstanding letters of credit and $205.5 million of remaining borrowing capacity available under the revolving credit facility, which matures on February 21, 2028. Borrowings under the revolving credit facility had interest rates ranging from 6.92% to 6.95% as of December 28, 2024.</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required to pay a quarterly commitment fee ranging from 0.15% to 0.30% on the daily unused amount of the commitment under the revolving credit facility based upon our Total Net Leverage Ratio. We are also required to pay fronting fees and other customary fees for letters of credit issued under the revolving credit facility.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Prior First Lien Credit Agreement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One of our former wholly owned subsidiaries, which has since been merged with and into Grocery Outlet Holding Corp., was the borrower under a first lien credit agreement (the "Prior First Lien Credit Agreement") with a syndicate of lenders that consisted of a $385.0 million senior term loan (the "prior senior term loan") and a revolving credit facility (the "prior revolving credit facility" and, together with the prior senior term loan, the "prior credit facilities") for an amount up to $100.0 million.</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 April 29, 2022, we prepaid $75.0 million of principal on the prior senior term loan outstanding under our Prior First Lien Credit Agreement. In connection with the payment, we wrote off $1.3 million of previously unamortized debt issuance costs and debt discounts. As discussed above, on February 21, 2023, in connection with the closing of the 2023 Credit Agreement, we repaid the remaining $385.0 million of principal on the prior senior term loan outstanding under our Prior First Lien Credit Agreement. No amounts were outstanding under the prior revolving credit facility as of final repayment of the Prior First Lien Credit Agreement.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Covenants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2023 Credit Agreement contains certain customary representations and warranties, subject to limitations and exceptions, and affirmative and customary covenants. The 2023 Credit Agreement contains certain covenants that, among other things, limit our ability and the ability of our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our subsidiaries to pay dividends or make other payments to the borrower. The 2023 Credit Agreement also contains financial performance covenants requiring us to satisfy a maximum total net leverage ratio test and a minimum interest coverage ratio test as of the last day of each fiscal quarter. The maximum total net leverage ratio test requires us to be in compliance with a Total Net Leverage Ratio no greater than 3.50 to 1.00 as of the last day of each test period ending prior to the test period ending on or about December 31, 2025, and no greater than 3.25 to 1.00 as of the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last day of each test period ending thereafter, subject to certain adjustments set forth in the 2023 Credit Agreement. The minimum interest coverage ratio test requires us to be in compliance with a Consolidated Interest Coverage Ratio (as defined in the 2023 Credit Agreement) of no less than 1.75 to 1.00 as of the last day of each test period.</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28, 2024, we were in compliance with all applicable financial covenant requirements for the 2023 Credit Agreement.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Schedule of Principal Maturities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Principal maturities of debt as of December 28, 2024 were as follows (amounts in thousands):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2026</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433,750</w:t>
            </w: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2029 and thereafter</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478,750</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Net</w:t>
            </w: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expense, net, consisted of the following (amounts in thousands):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6"/>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60"/>
              <w:spacing w:after="0" w:line="106"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6"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center"/>
              <w:ind w:right="152"/>
              <w:spacing w:after="0" w:line="10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loans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18,743</w:t>
            </w:r>
          </w:p>
        </w:tc>
        <w:tc>
          <w:tcPr>
            <w:tcW w:w="0" w:type="dxa"/>
            <w:vAlign w:val="bottom"/>
          </w:tcPr>
          <w:p>
            <w:pPr>
              <w:spacing w:after="0"/>
              <w:rPr>
                <w:sz w:val="1"/>
                <w:szCs w:val="1"/>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issuance costs and debt discounts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finance leases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0" w:type="dxa"/>
            <w:vAlign w:val="bottom"/>
          </w:tcPr>
          <w:p>
            <w:pPr>
              <w:spacing w:after="0"/>
              <w:rPr>
                <w:sz w:val="1"/>
                <w:szCs w:val="1"/>
                <w:color w:val="auto"/>
              </w:rPr>
            </w:pPr>
          </w:p>
        </w:tc>
      </w:tr>
      <w:tr>
        <w:trPr>
          <w:trHeight w:val="18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Capitalized interest</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Debt Extinguishment and Modification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debt extinguishment and modification consisted of the following (amounts in thousands):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center"/>
              <w:ind w:right="152"/>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 of debt issuance costs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Write-off of debt discounts</w:t>
            </w:r>
          </w:p>
        </w:tc>
        <w:tc>
          <w:tcPr>
            <w:tcW w:w="2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modification costs</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debt extinguishment and modification</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7—Stockholders' Equity</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December 28, 2024, the total amount of the Company’s authorized capital stock consisted of 500,000,000 shares of common stock, par value $0.001 per share, and 50,000,000 shares of undesignated preferred stock, par value of $0.001 per share.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Holders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did not have any shares of preferred stock issued or outstanding as of December 28, 2024. Our Board of Directors (the "Board") has the authority to issue shares of preferred stock from time to time on terms it may determine, with respect to any series of preferred stock, the powers (including voting powers), preferences and relative, participating, optional and other special rights, and the qualifications, limitations or restrictions thereof as the Board may from time to time determine, which could affect the relative voting power or other rights of the holders of our common stock. The issuance of preferred stock could have the effect of decreasing the trading price of our common stock, restricting dividends on the common stock, diluting the voting power of our common stock, or subordinating the liquidation rights of the common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Holders of our common stock are entitled to receive dividends when, as and if declared by our Board out of funds legally available therefor, subject to any statutory or contractual restrictions on the payment of dividends and to the rights of the holders or one or more outstanding series of our preferred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November 2021, our Board approved a share repurchase program (the "2021 Share Repurchase Program"). This program, which was effective November 5, 2021 and without an expiration date, authorized us to repurchase up to $100.0 million of our outstanding common stock utilizing a variety of methods including open market purchases, accelerated share repurchase programs, privately negotiated transactions, structured repurchase transactions and under a Rule 10b5-1 plan (which would permit shares to be repurchased when we might otherwise be precluded from doing so under securities laws). Any repurchased shares were constructively retired and returned to an unissued status.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the fourth quarter of fiscal 2024, the Board approved a new share repurchase program (the "2024 Share Repurchase Program"), which replaced the Company’s 2021 Share Repurchase Program, under which $9.4 million previously remained available for repurchase. The 2024 Share Repurchase Program does not have an expiration date and authorizes us to repurchase up to $100.0 million of our outstanding common stock (inclusive of fees and commissions) utilizing a variety of methods including open-market purchases, accelerated equity repurchase programs, privately negotiated transactions, block trades and under a Rule 10b5-1 plan. Any repurchased shares are constructively retired and returned to an unissued status.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presents activity related to the share repurchase programs (amounts in thousands except share and per share amounts). We repurchased these shares in open-market transactions pursuant to a Rule 10b5-1 plan.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08"/>
        </w:trPr>
        <w:tc>
          <w:tcPr>
            <w:tcW w:w="6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180" w:type="dxa"/>
            <w:vAlign w:val="bottom"/>
          </w:tcPr>
          <w:p>
            <w:pPr>
              <w:spacing w:after="0"/>
              <w:rPr>
                <w:sz w:val="9"/>
                <w:szCs w:val="9"/>
                <w:color w:val="auto"/>
              </w:rPr>
            </w:pPr>
          </w:p>
        </w:tc>
        <w:tc>
          <w:tcPr>
            <w:tcW w:w="138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260" w:type="dxa"/>
            <w:vAlign w:val="bottom"/>
          </w:tcPr>
          <w:p>
            <w:pPr>
              <w:spacing w:after="0"/>
              <w:rPr>
                <w:sz w:val="9"/>
                <w:szCs w:val="9"/>
                <w:color w:val="auto"/>
              </w:rPr>
            </w:pPr>
          </w:p>
        </w:tc>
        <w:tc>
          <w:tcPr>
            <w:tcW w:w="1220" w:type="dxa"/>
            <w:vAlign w:val="bottom"/>
          </w:tcPr>
          <w:p>
            <w:pPr>
              <w:jc w:val="right"/>
              <w:ind w:right="335"/>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6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3,977,163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254,516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139,718</w:t>
            </w:r>
          </w:p>
        </w:tc>
      </w:tr>
      <w:tr>
        <w:trPr>
          <w:trHeight w:val="180"/>
        </w:trPr>
        <w:tc>
          <w:tcPr>
            <w:tcW w:w="66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Amount repurchased </w:t>
            </w:r>
            <w:r>
              <w:rPr>
                <w:rFonts w:ascii="Times New Roman" w:cs="Times New Roman" w:eastAsia="Times New Roman" w:hAnsi="Times New Roman"/>
                <w:sz w:val="18"/>
                <w:szCs w:val="18"/>
                <w:color w:val="auto"/>
                <w:vertAlign w:val="superscript"/>
              </w:rPr>
              <w:t>(1)</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80,439</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repurchase price per share</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w:t>
      </w:r>
    </w:p>
    <w:p>
      <w:pPr>
        <w:spacing w:after="0" w:line="55" w:lineRule="exact"/>
        <w:rPr>
          <w:sz w:val="20"/>
          <w:szCs w:val="20"/>
          <w:color w:val="auto"/>
        </w:rPr>
      </w:pPr>
    </w:p>
    <w:p>
      <w:pPr>
        <w:ind w:left="380" w:hanging="375"/>
        <w:spacing w:after="0" w:line="264" w:lineRule="auto"/>
        <w:tabs>
          <w:tab w:leader="none" w:pos="38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commissions for the shares repurchased for the fiscal years ended December 28, 2024, December 30, 2023 and December 31, 2022 and excludes excise tax due of $0.3 million under the Inflation Reduction Act for the fiscal year ended December 28, 2024.</w:t>
      </w:r>
    </w:p>
    <w:p>
      <w:pPr>
        <w:spacing w:after="0" w:line="49" w:lineRule="exact"/>
        <w:rPr>
          <w:rFonts w:ascii="Times New Roman" w:cs="Times New Roman" w:eastAsia="Times New Roman" w:hAnsi="Times New Roman"/>
          <w:sz w:val="13"/>
          <w:szCs w:val="13"/>
          <w:color w:val="auto"/>
        </w:rPr>
      </w:pPr>
    </w:p>
    <w:p>
      <w:pPr>
        <w:ind w:left="3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As of December 28, 2024, we had $100.0 million of repurchase authority remaining under the 2024 Share Repurchase Program.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8—Share-based Awards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Incentive Plans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Globe Holding Corp. 2014 Stock Incentive Plan (the "2014 Plan") became effective on October 21, 2014. Under the 2014 Plan, we granted stock options and RSUs to purchase shares of our common stock. Effective as of June 19, 2019, we terminated the 2014 Plan and as a result no further equity awards may be issued under the 2014 Plan. Any outstanding awards granted under the 2014 Plan will remain subject to the terms of the 2014 Plan and the applicable equity award agreements.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June 4, 2019, our Board and stockholders approved the Grocery Outlet Holding Corp. 2019 Incentive Plan (the "2019 Plan"). A total of 4,597,862 shares of common stock were reserved for issuance under the 2019 Plan at that time.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 on the first day of each fiscal year beginning in fiscal 2020 and ending in fiscal 2029, the 2019 Plan provides for an annual automatic increase of the shares reserved for issuance in an amount equal to the positive difference between (i) 4% of the "outstanding common stock" (as defined in the 2019 Plan) on the last day of the immediately preceding fiscal year and (ii) the plan share reserve on the last day of the immediately preceding fiscal year, or a lesser number as determined by our Board. As of December 28, 2024, there were a total of 8,443,140 shares of common stock reserved for issuance under the 2019 Plan, which included 1,190,591 shares added effective December 31, 2023 per the above noted annual automatic increase. As of December 28, 2024, there were 3,183,688 remaining shares available for issuance of new equity awards under the 2019 Plan.</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Long-term incentive programs ("LTIPs") under the 2019 Plan include time-based RSUs, PSUs and stock options. In fiscal 2024, we granted RSUs and PSUs to our employees. RSUs granted under the LTIPs generally vest over one to three years. PSUs granted under the LTIPs will vest upon the achievement of certain performance targets as determined by the Compensation Committee following the last day of a three-year performance period. The number of PSUs ultimately earned will equal the number of PSUs granted multiplied by the applicable percentage of performance target levels achieved, and can range from 0% to 200% of the number of PSUs granted. PSUs granted during fiscal 2024 will vest upon the achievement of certain revenue-based and adjusted EPS-based performance targets, and PSUs granted during fiscal 2023 and fiscal 2022 will vest upon the achievement of certain revenue-based and certain adjusted EBITDA-based performance targets.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Determination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fair value of stock option, RSU and PSU awards is determined as of the grant date. For time-based stock options, a Black-Scholes valuation model was utilized to estimate the fair value of the awards. For performance-based stock options, a Monte Carlo simulation approach implemented in a risk-neutral framework was utilized to estimate the fair value of the awards. For RSUs and PSUs, the closing price of our common stock as reported on the grant date is utilized to estimate the fair value of the awards.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respective valuation methods resulted in weighted-average grant date fair values for RSUs and PSUs granted during fiscal 2024, fiscal 2023 and fiscal 2022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08"/>
        </w:trPr>
        <w:tc>
          <w:tcPr>
            <w:tcW w:w="6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180" w:type="dxa"/>
            <w:vAlign w:val="bottom"/>
          </w:tcPr>
          <w:p>
            <w:pPr>
              <w:spacing w:after="0"/>
              <w:rPr>
                <w:sz w:val="9"/>
                <w:szCs w:val="9"/>
                <w:color w:val="auto"/>
              </w:rPr>
            </w:pPr>
          </w:p>
        </w:tc>
        <w:tc>
          <w:tcPr>
            <w:tcW w:w="138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260" w:type="dxa"/>
            <w:vAlign w:val="bottom"/>
          </w:tcPr>
          <w:p>
            <w:pPr>
              <w:spacing w:after="0"/>
              <w:rPr>
                <w:sz w:val="9"/>
                <w:szCs w:val="9"/>
                <w:color w:val="auto"/>
              </w:rPr>
            </w:pPr>
          </w:p>
        </w:tc>
        <w:tc>
          <w:tcPr>
            <w:tcW w:w="1220" w:type="dxa"/>
            <w:vAlign w:val="bottom"/>
          </w:tcPr>
          <w:p>
            <w:pPr>
              <w:jc w:val="right"/>
              <w:ind w:right="336"/>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6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r>
      <w:tr>
        <w:trPr>
          <w:trHeight w:val="184"/>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PSUs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r>
    </w:tbl>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did not award any time-based or performance-based stock options during fiscal 2024, fiscal 2023 and fiscal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Award Activity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stock option activity under all equity incentive plans during fiscal 2024, fiscal 2023 and fiscal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00" w:type="dxa"/>
            <w:vAlign w:val="bottom"/>
          </w:tcPr>
          <w:p>
            <w:pPr>
              <w:spacing w:after="0"/>
              <w:rPr>
                <w:sz w:val="13"/>
                <w:szCs w:val="13"/>
                <w:color w:val="auto"/>
              </w:rPr>
            </w:pPr>
          </w:p>
        </w:tc>
        <w:tc>
          <w:tcPr>
            <w:tcW w:w="3140" w:type="dxa"/>
            <w:vAlign w:val="bottom"/>
            <w:gridSpan w:val="5"/>
          </w:tcPr>
          <w:p>
            <w:pPr>
              <w:ind w:left="880"/>
              <w:spacing w:after="0"/>
              <w:rPr>
                <w:sz w:val="20"/>
                <w:szCs w:val="20"/>
                <w:color w:val="auto"/>
              </w:rPr>
            </w:pPr>
            <w:r>
              <w:rPr>
                <w:rFonts w:ascii="Times New Roman" w:cs="Times New Roman" w:eastAsia="Times New Roman" w:hAnsi="Times New Roman"/>
                <w:sz w:val="11"/>
                <w:szCs w:val="11"/>
                <w:b w:val="1"/>
                <w:bCs w:val="1"/>
                <w:color w:val="auto"/>
              </w:rPr>
              <w:t>Time-Based Stock Options</w:t>
            </w:r>
          </w:p>
        </w:tc>
        <w:tc>
          <w:tcPr>
            <w:tcW w:w="3040" w:type="dxa"/>
            <w:vAlign w:val="bottom"/>
            <w:gridSpan w:val="4"/>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Performance-Based Stock Options</w:t>
            </w: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1480" w:type="dxa"/>
            <w:vAlign w:val="bottom"/>
            <w:tcBorders>
              <w:top w:val="single" w:sz="8" w:color="auto"/>
            </w:tcBorders>
            <w:vMerge w:val="restart"/>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131"/>
              <w:spacing w:after="0" w:line="108" w:lineRule="exact"/>
              <w:rPr>
                <w:sz w:val="20"/>
                <w:szCs w:val="20"/>
                <w:color w:val="auto"/>
              </w:rPr>
            </w:pPr>
            <w:r>
              <w:rPr>
                <w:rFonts w:ascii="Times New Roman" w:cs="Times New Roman" w:eastAsia="Times New Roman" w:hAnsi="Times New Roman"/>
                <w:sz w:val="11"/>
                <w:szCs w:val="11"/>
                <w:b w:val="1"/>
                <w:bCs w:val="1"/>
                <w:color w:val="auto"/>
              </w:rPr>
              <w:t>Weighted-Average</w:t>
            </w:r>
          </w:p>
        </w:tc>
        <w:tc>
          <w:tcPr>
            <w:tcW w:w="100" w:type="dxa"/>
            <w:vAlign w:val="bottom"/>
          </w:tcPr>
          <w:p>
            <w:pPr>
              <w:spacing w:after="0"/>
              <w:rPr>
                <w:sz w:val="9"/>
                <w:szCs w:val="9"/>
                <w:color w:val="auto"/>
              </w:rPr>
            </w:pPr>
          </w:p>
        </w:tc>
        <w:tc>
          <w:tcPr>
            <w:tcW w:w="1480" w:type="dxa"/>
            <w:vAlign w:val="bottom"/>
            <w:tcBorders>
              <w:top w:val="single" w:sz="8" w:color="auto"/>
            </w:tcBorders>
            <w:vMerge w:val="restart"/>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jc w:val="right"/>
              <w:ind w:right="231"/>
              <w:spacing w:after="0" w:line="108" w:lineRule="exact"/>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53"/>
        </w:trPr>
        <w:tc>
          <w:tcPr>
            <w:tcW w:w="51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0" w:type="dxa"/>
            <w:vAlign w:val="bottom"/>
          </w:tcPr>
          <w:p>
            <w:pPr>
              <w:spacing w:after="0"/>
              <w:rPr>
                <w:sz w:val="1"/>
                <w:szCs w:val="1"/>
                <w:color w:val="auto"/>
              </w:rPr>
            </w:pPr>
          </w:p>
        </w:tc>
      </w:tr>
      <w:tr>
        <w:trPr>
          <w:trHeight w:val="175"/>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as of January 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3,135,141</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1,696,194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(894,559)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8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(296,345)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as of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2,562,774</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801,635</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(462,972)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(574,030)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18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as of December 30,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2,091,523</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227,605</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(1,157,529)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8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(54,637)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outstanding as of December 28,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879,357</w:t>
            </w:r>
          </w:p>
        </w:tc>
        <w:tc>
          <w:tcPr>
            <w:tcW w:w="2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99,384</w:t>
            </w:r>
          </w:p>
        </w:tc>
        <w:tc>
          <w:tcPr>
            <w:tcW w:w="2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0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Options vested and exercisable as of December 28, 2024</w:t>
            </w:r>
          </w:p>
        </w:tc>
        <w:tc>
          <w:tcPr>
            <w:tcW w:w="1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879,357</w:t>
            </w:r>
          </w:p>
        </w:tc>
        <w:tc>
          <w:tcPr>
            <w:tcW w:w="260" w:type="dxa"/>
            <w:vAlign w:val="bottom"/>
            <w:gridSpan w:val="2"/>
          </w:tcPr>
          <w:p>
            <w:pPr>
              <w:jc w:val="right"/>
              <w:ind w:right="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19.98</w:t>
            </w:r>
          </w:p>
        </w:tc>
        <w:tc>
          <w:tcPr>
            <w:tcW w:w="100" w:type="dxa"/>
            <w:vAlign w:val="bottom"/>
          </w:tcPr>
          <w:p>
            <w:pPr>
              <w:spacing w:after="0"/>
              <w:rPr>
                <w:sz w:val="12"/>
                <w:szCs w:val="12"/>
                <w:color w:val="auto"/>
              </w:rPr>
            </w:pPr>
          </w:p>
        </w:tc>
        <w:tc>
          <w:tcPr>
            <w:tcW w:w="1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99,384</w:t>
            </w:r>
          </w:p>
        </w:tc>
        <w:tc>
          <w:tcPr>
            <w:tcW w:w="280" w:type="dxa"/>
            <w:vAlign w:val="bottom"/>
            <w:gridSpan w:val="2"/>
          </w:tcPr>
          <w:p>
            <w:pPr>
              <w:jc w:val="right"/>
              <w:ind w:right="2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total intrinsic value of time-based stock options exercised was $16.3 million, $11.7 million and $7.1 million for fiscal 2024, fiscal 2023 and fiscal 2022, respectively. The total intrinsic value of performance-based stock options exercised was $2.2 million, $15.9 million and $29.9 million for fiscal 2024, fiscal 2023 and fiscal 2022, respectively. Intrinsic value represents the difference between the current fair value of the underlying stock and the exercise price of the stock option.</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RSU activity under all equity incentive plans during fiscal 2024, fiscal 2023 and fiscal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80" w:type="dxa"/>
            <w:vAlign w:val="bottom"/>
            <w:vMerge w:val="restart"/>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54"/>
        </w:trPr>
        <w:tc>
          <w:tcPr>
            <w:tcW w:w="4020" w:type="dxa"/>
            <w:vAlign w:val="bottom"/>
            <w:tcBorders>
              <w:bottom w:val="single" w:sz="8" w:color="CCEEFF"/>
            </w:tcBorders>
          </w:tcPr>
          <w:p>
            <w:pPr>
              <w:spacing w:after="0"/>
              <w:rPr>
                <w:sz w:val="13"/>
                <w:szCs w:val="13"/>
                <w:color w:val="auto"/>
              </w:rPr>
            </w:pPr>
          </w:p>
        </w:tc>
        <w:tc>
          <w:tcPr>
            <w:tcW w:w="422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balance as of January 1, 2022</w:t>
            </w:r>
          </w:p>
        </w:tc>
        <w:tc>
          <w:tcPr>
            <w:tcW w:w="4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836,496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449,438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5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(95,884)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0" w:type="dxa"/>
            <w:vAlign w:val="bottom"/>
          </w:tcPr>
          <w:p>
            <w:pPr>
              <w:spacing w:after="0"/>
              <w:rPr>
                <w:sz w:val="1"/>
                <w:szCs w:val="1"/>
                <w:color w:val="auto"/>
              </w:rPr>
            </w:pPr>
          </w:p>
        </w:tc>
      </w:tr>
      <w:tr>
        <w:trPr>
          <w:trHeight w:val="17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balance as of December 31, 2022</w:t>
            </w:r>
          </w:p>
        </w:tc>
        <w:tc>
          <w:tcPr>
            <w:tcW w:w="42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690,354</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552,372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5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(345,887)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(39,019)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17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balance as of December 30, 2023</w:t>
            </w:r>
          </w:p>
        </w:tc>
        <w:tc>
          <w:tcPr>
            <w:tcW w:w="42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857,820</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1,015,470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5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(440,389)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(253,830)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balance as of December 28, 2024</w:t>
            </w:r>
          </w:p>
        </w:tc>
        <w:tc>
          <w:tcPr>
            <w:tcW w:w="42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1,179,071</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449"/>
              <w:spacing w:after="0"/>
              <w:rPr>
                <w:sz w:val="20"/>
                <w:szCs w:val="20"/>
                <w:color w:val="auto"/>
              </w:rPr>
            </w:pPr>
            <w:r>
              <w:rPr>
                <w:rFonts w:ascii="Times New Roman" w:cs="Times New Roman" w:eastAsia="Times New Roman" w:hAnsi="Times New Roman"/>
                <w:sz w:val="14"/>
                <w:szCs w:val="14"/>
                <w:color w:val="auto"/>
              </w:rPr>
              <w:t>84</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40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9A9A9A"/>
            </w:tcBorders>
          </w:tcPr>
          <w:p>
            <w:pPr>
              <w:spacing w:after="0"/>
              <w:rPr>
                <w:sz w:val="7"/>
                <w:szCs w:val="7"/>
                <w:color w:val="auto"/>
              </w:rPr>
            </w:pPr>
          </w:p>
        </w:tc>
        <w:tc>
          <w:tcPr>
            <w:tcW w:w="42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PSU activity under the 2019 Plan during fiscal 2024, fiscal 2023 and fiscal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40" w:type="dxa"/>
            <w:vAlign w:val="bottom"/>
          </w:tcPr>
          <w:p>
            <w:pPr>
              <w:spacing w:after="0"/>
              <w:rPr>
                <w:sz w:val="11"/>
                <w:szCs w:val="11"/>
                <w:color w:val="auto"/>
              </w:rPr>
            </w:pP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53"/>
        </w:trPr>
        <w:tc>
          <w:tcPr>
            <w:tcW w:w="82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balance as of January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0" w:type="dxa"/>
            <w:vAlign w:val="bottom"/>
          </w:tcPr>
          <w:p>
            <w:pPr>
              <w:spacing w:after="0"/>
              <w:rPr>
                <w:sz w:val="1"/>
                <w:szCs w:val="1"/>
                <w:color w:val="auto"/>
              </w:rPr>
            </w:pPr>
          </w:p>
        </w:tc>
      </w:tr>
      <w:tr>
        <w:trPr>
          <w:trHeight w:val="180"/>
        </w:trPr>
        <w:tc>
          <w:tcPr>
            <w:tcW w:w="82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Granted </w:t>
            </w:r>
            <w:r>
              <w:rPr>
                <w:rFonts w:ascii="Times New Roman" w:cs="Times New Roman" w:eastAsia="Times New Roman" w:hAnsi="Times New Roman"/>
                <w:sz w:val="20"/>
                <w:szCs w:val="20"/>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404,382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Adjustment for expected performance achievement </w:t>
            </w:r>
            <w:r>
              <w:rPr>
                <w:rFonts w:ascii="Times New Roman" w:cs="Times New Roman" w:eastAsia="Times New Roman" w:hAnsi="Times New Roman"/>
                <w:sz w:val="20"/>
                <w:szCs w:val="20"/>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423,347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0" w:type="dxa"/>
            <w:vAlign w:val="bottom"/>
          </w:tcPr>
          <w:p>
            <w:pPr>
              <w:spacing w:after="0"/>
              <w:rPr>
                <w:sz w:val="1"/>
                <w:szCs w:val="1"/>
                <w:color w:val="auto"/>
              </w:rPr>
            </w:pPr>
          </w:p>
        </w:tc>
      </w:tr>
      <w:tr>
        <w:trPr>
          <w:trHeight w:val="18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(72,651)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balance as of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1,331,803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0" w:type="dxa"/>
            <w:vAlign w:val="bottom"/>
          </w:tcPr>
          <w:p>
            <w:pPr>
              <w:spacing w:after="0"/>
              <w:rPr>
                <w:sz w:val="1"/>
                <w:szCs w:val="1"/>
                <w:color w:val="auto"/>
              </w:rPr>
            </w:pPr>
          </w:p>
        </w:tc>
      </w:tr>
      <w:tr>
        <w:trPr>
          <w:trHeight w:val="180"/>
        </w:trPr>
        <w:tc>
          <w:tcPr>
            <w:tcW w:w="82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Granted </w:t>
            </w:r>
            <w:r>
              <w:rPr>
                <w:rFonts w:ascii="Times New Roman" w:cs="Times New Roman" w:eastAsia="Times New Roman" w:hAnsi="Times New Roman"/>
                <w:sz w:val="20"/>
                <w:szCs w:val="20"/>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451,077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Adjustment for expected performance achievement </w:t>
            </w:r>
            <w:r>
              <w:rPr>
                <w:rFonts w:ascii="Times New Roman" w:cs="Times New Roman" w:eastAsia="Times New Roman" w:hAnsi="Times New Roman"/>
                <w:sz w:val="20"/>
                <w:szCs w:val="20"/>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432,774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0" w:type="dxa"/>
            <w:vAlign w:val="bottom"/>
          </w:tcPr>
          <w:p>
            <w:pPr>
              <w:spacing w:after="0"/>
              <w:rPr>
                <w:sz w:val="1"/>
                <w:szCs w:val="1"/>
                <w:color w:val="auto"/>
              </w:rPr>
            </w:pPr>
          </w:p>
        </w:tc>
      </w:tr>
      <w:tr>
        <w:trPr>
          <w:trHeight w:val="18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(441,346)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0" w:type="dxa"/>
            <w:vAlign w:val="bottom"/>
          </w:tcPr>
          <w:p>
            <w:pPr>
              <w:spacing w:after="0"/>
              <w:rPr>
                <w:sz w:val="1"/>
                <w:szCs w:val="1"/>
                <w:color w:val="auto"/>
              </w:rPr>
            </w:pPr>
          </w:p>
        </w:tc>
      </w:tr>
      <w:tr>
        <w:trPr>
          <w:trHeight w:val="17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balance as of December 30,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1,753,989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Granted </w:t>
            </w:r>
            <w:r>
              <w:rPr>
                <w:rFonts w:ascii="Times New Roman" w:cs="Times New Roman" w:eastAsia="Times New Roman" w:hAnsi="Times New Roman"/>
                <w:sz w:val="20"/>
                <w:szCs w:val="20"/>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572,987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0" w:type="dxa"/>
            <w:vAlign w:val="bottom"/>
          </w:tcPr>
          <w:p>
            <w:pPr>
              <w:spacing w:after="0"/>
              <w:rPr>
                <w:sz w:val="1"/>
                <w:szCs w:val="1"/>
                <w:color w:val="auto"/>
              </w:rPr>
            </w:pPr>
          </w:p>
        </w:tc>
      </w:tr>
      <w:tr>
        <w:trPr>
          <w:trHeight w:val="180"/>
        </w:trPr>
        <w:tc>
          <w:tcPr>
            <w:tcW w:w="824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Adjustment for expected performance achievement </w:t>
            </w:r>
            <w:r>
              <w:rPr>
                <w:rFonts w:ascii="Times New Roman" w:cs="Times New Roman" w:eastAsia="Times New Roman" w:hAnsi="Times New Roman"/>
                <w:sz w:val="20"/>
                <w:szCs w:val="20"/>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(758,632)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27.54</w:t>
            </w:r>
          </w:p>
        </w:tc>
        <w:tc>
          <w:tcPr>
            <w:tcW w:w="0" w:type="dxa"/>
            <w:vAlign w:val="bottom"/>
          </w:tcPr>
          <w:p>
            <w:pPr>
              <w:spacing w:after="0"/>
              <w:rPr>
                <w:sz w:val="1"/>
                <w:szCs w:val="1"/>
                <w:color w:val="auto"/>
              </w:rPr>
            </w:pPr>
          </w:p>
        </w:tc>
      </w:tr>
      <w:tr>
        <w:trPr>
          <w:trHeight w:val="18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(301,392)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0" w:type="dxa"/>
            <w:vAlign w:val="bottom"/>
          </w:tcPr>
          <w:p>
            <w:pPr>
              <w:spacing w:after="0"/>
              <w:rPr>
                <w:sz w:val="1"/>
                <w:szCs w:val="1"/>
                <w:color w:val="auto"/>
              </w:rPr>
            </w:pPr>
          </w:p>
        </w:tc>
      </w:tr>
      <w:tr>
        <w:trPr>
          <w:trHeight w:val="18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(475,068)</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Unvested balance as of December 28, 2024 </w:t>
            </w:r>
            <w:r>
              <w:rPr>
                <w:rFonts w:ascii="Times New Roman" w:cs="Times New Roman" w:eastAsia="Times New Roman" w:hAnsi="Times New Roman"/>
                <w:sz w:val="18"/>
                <w:szCs w:val="18"/>
                <w:color w:val="auto"/>
                <w:vertAlign w:val="superscript"/>
              </w:rPr>
              <w:t>(3)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791,884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w:t>
      </w:r>
    </w:p>
    <w:p>
      <w:pPr>
        <w:spacing w:after="0" w:line="45" w:lineRule="exact"/>
        <w:rPr>
          <w:sz w:val="20"/>
          <w:szCs w:val="20"/>
          <w:color w:val="auto"/>
        </w:rPr>
      </w:pPr>
    </w:p>
    <w:p>
      <w:pPr>
        <w:ind w:left="380" w:hanging="375"/>
        <w:spacing w:after="0"/>
        <w:tabs>
          <w:tab w:leader="none" w:pos="3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initial grant of PSUs based on performance target level achievement of 100%.</w:t>
      </w:r>
    </w:p>
    <w:p>
      <w:pPr>
        <w:spacing w:after="0" w:line="52"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adjustment to previously granted PSUs based on performance expectations as of the end of each respective reporting period.</w:t>
      </w:r>
    </w:p>
    <w:p>
      <w:pPr>
        <w:spacing w:after="0" w:line="41"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additional 1,283,626 PSUs could potentially be included if the maximum performance level of 200% is reached for all PSUs outstanding as of December 28,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 Expense</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 recognize compensation expense for stock options, RSUs, and PSUs by amortizing the grant date fair value on a straight-line basis over the expected vesting period to the extent we determine the vesting of the grant is probable.</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Share-based compensation expense and the related tax benefit consisted of the following (amounts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08"/>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right"/>
              <w:ind w:right="333"/>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Time-based stock options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14,855</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PSUs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17,125</w:t>
            </w:r>
          </w:p>
        </w:tc>
      </w:tr>
      <w:tr>
        <w:trPr>
          <w:trHeight w:val="180"/>
        </w:trPr>
        <w:tc>
          <w:tcPr>
            <w:tcW w:w="66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Dividends </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96"/>
        </w:trPr>
        <w:tc>
          <w:tcPr>
            <w:tcW w:w="6640" w:type="dxa"/>
            <w:vAlign w:val="bottom"/>
            <w:tcBorders>
              <w:top w:val="single" w:sz="8" w:color="CCEEFF"/>
              <w:bottom w:val="single" w:sz="8" w:color="CCEEFF"/>
            </w:tcBorders>
            <w:shd w:val="clear" w:color="auto" w:fill="CCEEFF"/>
          </w:tcPr>
          <w:p>
            <w:pPr>
              <w:ind w:left="180"/>
              <w:spacing w:after="0" w:line="171" w:lineRule="exact"/>
              <w:rPr>
                <w:sz w:val="20"/>
                <w:szCs w:val="20"/>
                <w:color w:val="auto"/>
              </w:rPr>
            </w:pPr>
            <w:r>
              <w:rPr>
                <w:rFonts w:ascii="Times New Roman" w:cs="Times New Roman" w:eastAsia="Times New Roman" w:hAnsi="Times New Roman"/>
                <w:sz w:val="14"/>
                <w:szCs w:val="14"/>
                <w:color w:val="auto"/>
              </w:rPr>
              <w:t xml:space="preserve">Share-based compensation expense </w:t>
            </w:r>
            <w:r>
              <w:rPr>
                <w:rFonts w:ascii="Times New Roman" w:cs="Times New Roman" w:eastAsia="Times New Roman" w:hAnsi="Times New Roman"/>
                <w:sz w:val="18"/>
                <w:szCs w:val="18"/>
                <w:color w:val="auto"/>
                <w:vertAlign w:val="superscript"/>
              </w:rPr>
              <w:t>(2)</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w:t>
      </w:r>
    </w:p>
    <w:p>
      <w:pPr>
        <w:spacing w:after="0" w:line="45" w:lineRule="exact"/>
        <w:rPr>
          <w:sz w:val="20"/>
          <w:szCs w:val="20"/>
          <w:color w:val="auto"/>
        </w:rPr>
      </w:pPr>
    </w:p>
    <w:p>
      <w:pPr>
        <w:ind w:left="380" w:hanging="375"/>
        <w:spacing w:after="0"/>
        <w:tabs>
          <w:tab w:leader="none" w:pos="3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dividends paid upon vesting of share-based awards as a result of dividends declared in connection with a recapitalization that occurred in fiscal 2018.</w:t>
      </w:r>
    </w:p>
    <w:p>
      <w:pPr>
        <w:spacing w:after="0" w:line="52"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recognized income tax benefit related to share-based compensation expense was $2.9 million, $8.3 million and $8.7 million for fiscal 2024, fiscal 2023 and fiscal 2022, respectively.</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Share-based compensation expense qualifying for capitalization was insignificant for each of the fiscal years ended December 28, 2024, December 30, 2023 and December 31,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no share-based compensation expense was capitalized during these years.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had no unamortized compensation cost related to time-based stock options and performance-based stock options, as all awards were fully vested as of December 28, 2024.</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Time-Based RSUs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Unamortized compensation expense for RSUs was $17.7 million as of December 28, 2024, which is expected to be amortized over a weighted average period of approximately 1.7 years.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RSUs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Unamortized compensation cost related to the expected level of achievement of unvested PSUs was $4.3 million as of December 28, 2024, which is expected to be amortized over a weighted average period of approximately 1.4 years.</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time-based stock options and RSU share-based awards that were outstanding on the dividend date of October 22, 2018 and that vested in fiscal 2023, fiscal 2022, and fiscal 2021, we made dividend payments as these awards vested.</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paid $0.1 million of dividends during the fiscal year ended December 31, 2022, which was included in share-based compensation expense. We paid less than $0.1 million of dividends during the fiscal year ended December 30, 2023. There was no unamortized compensation cost related to future dividend payments on unvested time-based stock options and RSU share-based awards as of December 28, 2024.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9—Retirement Plans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make contributions to the UFCW—Northern California Employers Joint Pension Trust Fund (the "Pension Fund") and the UFCW—Benefits Trust Fund ("Benefits Fund"), each a multiemployer plan, established for the benefit of union employees at two company operated stores under the terms of a collective bargaining agreement. We currently operate under a collective bargaining agreement that expires on February 28, 2026. Minimum contributions outside of the agreed upon contractual rates are not required for the Pension Fund. Payments into the Pension Fund were $0.8 million, $0.6 million, and $0.5 million for the fiscal years ended December 28, 2024, December 30, 2023, and December 31, 2022, respectively. We paid no surcharges to the Pension Fund.</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risks of participating in a multiemployer pension plan such as the Pension Fund are different from single-employer pension plans in the following aspects:</w:t>
      </w:r>
    </w:p>
    <w:p>
      <w:pPr>
        <w:spacing w:after="0" w:line="94" w:lineRule="exact"/>
        <w:rPr>
          <w:sz w:val="20"/>
          <w:szCs w:val="20"/>
          <w:color w:val="auto"/>
        </w:rPr>
      </w:pPr>
    </w:p>
    <w:p>
      <w:pPr>
        <w:ind w:left="880" w:hanging="239"/>
        <w:spacing w:after="0"/>
        <w:tabs>
          <w:tab w:leader="none" w:pos="8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contributed to the multiemployer plan by one employer may be used to provide benefits to employees of other participating employers.</w:t>
      </w:r>
    </w:p>
    <w:p>
      <w:pPr>
        <w:spacing w:after="0" w:line="93"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participating employer stops contributing to the plan, the unfunded obligations of the plan may be borne by the remaining participating employers.</w:t>
      </w:r>
    </w:p>
    <w:p>
      <w:pPr>
        <w:spacing w:after="0" w:line="93" w:lineRule="exact"/>
        <w:rPr>
          <w:rFonts w:ascii="Times New Roman" w:cs="Times New Roman" w:eastAsia="Times New Roman" w:hAnsi="Times New Roman"/>
          <w:sz w:val="14"/>
          <w:szCs w:val="14"/>
          <w:color w:val="auto"/>
        </w:rPr>
      </w:pPr>
    </w:p>
    <w:p>
      <w:pPr>
        <w:ind w:left="900" w:hanging="259"/>
        <w:spacing w:after="0" w:line="287" w:lineRule="auto"/>
        <w:tabs>
          <w:tab w:leader="none" w:pos="8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stop participating in its multiemployer pension plan, we may be required to pay those plans an amount based on our proportionate share of the underfunded status of such plan, referred to as a withdrawal liability.</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information represents our participation in the Pension Fund for the annual period ended December 30, 2023, the latest available information from the Pension Fund. All such information is based on information we received from the Pension Fund.</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Pension Fund's Employer Identification Number is 946313554 and the Plan Number is -001. Our contributions represented less than 5% of the total contributions to the Pension Fund. Under the provisions of the Pension Protection Act (PPA) zone status, the Pension Fund was in critical and declining status during the plan year. Among other factors, generally, plans in critical status are less than 65 percent funded. In an effort to improve the Pension Fund's funding situation, the trustees adopted a rehabilitation plan on July 8, 2010 and most recently updated it on May 3, 2022. The rehabilitation plan changes the benefits for participants who retire and commence a pension on or after January 1, 2012, and changes future benefit accruals earned on or after January 1, 2012. Except in limited circumstances, the pensions of participants and beneficiaries whose pension effective date is before January 1, 2012, are not affected.</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Benefits Fund provides medical, dental, pharmacy, vision, and other ancillary benefits to active employees and retirees. The majority of our contributions cover active employees and as such, may not constitute contributions to a postretirement benefit plan. However, we are unable to separate contribution amounts to the postretirement benefit part of the Benefits Fund from contribution amounts paid to the active employee part of the Benefits Fund. Payments into the Benefits Fund were $1.4 million, $1.4 million, and $1.2 million for the fiscal years ended December 28, 2024, December 30, 2023, and December 31, 2022, respectively.</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our nonunion employees, we offered the following plans during fiscal 2024, fiscal 2023 or fiscal 2022:</w:t>
      </w:r>
    </w:p>
    <w:p>
      <w:pPr>
        <w:spacing w:after="0" w:line="94" w:lineRule="exact"/>
        <w:rPr>
          <w:sz w:val="20"/>
          <w:szCs w:val="20"/>
          <w:color w:val="auto"/>
        </w:rPr>
      </w:pPr>
    </w:p>
    <w:p>
      <w:pPr>
        <w:ind w:left="1020" w:hanging="379"/>
        <w:spacing w:after="0" w:line="287" w:lineRule="auto"/>
        <w:tabs>
          <w:tab w:leader="none" w:pos="101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2022, a defined contribution retirement plan for warehouse employees, which required an annual contribution of 15% of eligible salaries. This defined contribution retirement plan was available to nonunion employees who met certain service criteria.</w:t>
      </w:r>
    </w:p>
    <w:p>
      <w:pPr>
        <w:spacing w:after="0" w:line="39" w:lineRule="exact"/>
        <w:rPr>
          <w:rFonts w:ascii="Times New Roman" w:cs="Times New Roman" w:eastAsia="Times New Roman" w:hAnsi="Times New Roman"/>
          <w:sz w:val="14"/>
          <w:szCs w:val="14"/>
          <w:color w:val="auto"/>
        </w:rPr>
      </w:pPr>
    </w:p>
    <w:p>
      <w:pPr>
        <w:jc w:val="both"/>
        <w:ind w:left="1020" w:hanging="379"/>
        <w:spacing w:after="0" w:line="280" w:lineRule="auto"/>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2022, a noncontributory profit-sharing plan for administrative personnel and, for fiscal 2023 and fiscal 2024, for administrative and warehouse personnel, in each case under which the Board may authorize an annual contribution of up to 15% of eligible salaries. This profit-sharing plan is available to nonunion employees who meet certain service criteria.</w:t>
      </w:r>
    </w:p>
    <w:p>
      <w:pPr>
        <w:spacing w:after="0" w:line="218" w:lineRule="exact"/>
        <w:rPr>
          <w:rFonts w:ascii="Times New Roman" w:cs="Times New Roman" w:eastAsia="Times New Roman" w:hAnsi="Times New Roman"/>
          <w:sz w:val="14"/>
          <w:szCs w:val="14"/>
          <w:color w:val="auto"/>
        </w:rPr>
      </w:pPr>
    </w:p>
    <w:p>
      <w:pPr>
        <w:ind w:left="102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expensed zero, $6.8 million and $6.9 million for contributions to the two plans described above in (a) and (b) for the fiscal years ended December 28, 2024, December 30, 2023, and December 31, 2022, respectively.</w:t>
      </w:r>
    </w:p>
    <w:p>
      <w:pPr>
        <w:spacing w:after="0" w:line="39"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401(k) retirement plan for warehouse employees, which is available to those employees who meet certain service criteria.</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401(k) retirement plan for administrative personnel, which is available to those employees who meet certain service criteria.</w:t>
      </w:r>
    </w:p>
    <w:p>
      <w:pPr>
        <w:spacing w:after="0" w:line="9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obligated to match any employee contributions for the 401(k) retirement plans.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10—Income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Components of income tax expense</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Income before income taxes consisted entirely of income from domestic operations of $56.2 million, $104.1 million, and $75.7 million for the fiscal years ended December 28, 2024, December 30, 2023, and December 31, 2022, respectively.</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income tax expense consisted of the following (amounts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9"/>
        </w:trPr>
        <w:tc>
          <w:tcPr>
            <w:tcW w:w="6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4"/>
          </w:tcPr>
          <w:p>
            <w:pPr>
              <w:ind w:left="260"/>
              <w:spacing w:after="0" w:line="99"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120" w:type="dxa"/>
            <w:vAlign w:val="bottom"/>
          </w:tcPr>
          <w:p>
            <w:pPr>
              <w:spacing w:after="0"/>
              <w:rPr>
                <w:sz w:val="8"/>
                <w:szCs w:val="8"/>
                <w:color w:val="auto"/>
              </w:rPr>
            </w:pPr>
          </w:p>
        </w:tc>
        <w:tc>
          <w:tcPr>
            <w:tcW w:w="1460" w:type="dxa"/>
            <w:vAlign w:val="bottom"/>
            <w:gridSpan w:val="4"/>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20" w:type="dxa"/>
            <w:vAlign w:val="bottom"/>
          </w:tcPr>
          <w:p>
            <w:pPr>
              <w:spacing w:after="0"/>
              <w:rPr>
                <w:sz w:val="8"/>
                <w:szCs w:val="8"/>
                <w:color w:val="auto"/>
              </w:rPr>
            </w:pPr>
          </w:p>
        </w:tc>
        <w:tc>
          <w:tcPr>
            <w:tcW w:w="1260" w:type="dxa"/>
            <w:vAlign w:val="bottom"/>
          </w:tcPr>
          <w:p>
            <w:pPr>
              <w:jc w:val="right"/>
              <w:ind w:right="332"/>
              <w:spacing w:after="0" w:line="99"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63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6"/>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3,388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4,774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71"/>
        </w:trPr>
        <w:tc>
          <w:tcPr>
            <w:tcW w:w="6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current</w:t>
            </w:r>
          </w:p>
        </w:tc>
        <w:tc>
          <w:tcPr>
            <w:tcW w:w="140" w:type="dxa"/>
            <w:vAlign w:val="bottom"/>
          </w:tcPr>
          <w:p>
            <w:pPr>
              <w:spacing w:after="0"/>
              <w:rPr>
                <w:sz w:val="14"/>
                <w:szCs w:val="14"/>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4,583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4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10,781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16,127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7,308</w:t>
            </w:r>
          </w:p>
        </w:tc>
        <w:tc>
          <w:tcPr>
            <w:tcW w:w="0" w:type="dxa"/>
            <w:vAlign w:val="bottom"/>
          </w:tcPr>
          <w:p>
            <w:pPr>
              <w:spacing w:after="0"/>
              <w:rPr>
                <w:sz w:val="1"/>
                <w:szCs w:val="1"/>
                <w:color w:val="auto"/>
              </w:rPr>
            </w:pPr>
          </w:p>
        </w:tc>
      </w:tr>
      <w:tr>
        <w:trPr>
          <w:trHeight w:val="180"/>
        </w:trPr>
        <w:tc>
          <w:tcPr>
            <w:tcW w:w="6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2,692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Total deferred</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12,123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18,819</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10,367</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16,706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24,644</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Statutory rate reconciliation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 reconciliation of the U.S. federal statutory income tax rate to our effective income tax rate is as follows:</w:t>
            </w: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4"/>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6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4"/>
          </w:tcPr>
          <w:p>
            <w:pPr>
              <w:jc w:val="right"/>
              <w:ind w:right="720"/>
              <w:spacing w:after="0" w:line="97"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120" w:type="dxa"/>
            <w:vAlign w:val="bottom"/>
          </w:tcPr>
          <w:p>
            <w:pPr>
              <w:spacing w:after="0"/>
              <w:rPr>
                <w:sz w:val="8"/>
                <w:szCs w:val="8"/>
                <w:color w:val="auto"/>
              </w:rPr>
            </w:pPr>
          </w:p>
        </w:tc>
        <w:tc>
          <w:tcPr>
            <w:tcW w:w="1460" w:type="dxa"/>
            <w:vAlign w:val="bottom"/>
            <w:gridSpan w:val="4"/>
          </w:tcPr>
          <w:p>
            <w:pPr>
              <w:jc w:val="center"/>
              <w:ind w:right="480"/>
              <w:spacing w:after="0" w:line="97"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220" w:type="dxa"/>
            <w:vAlign w:val="bottom"/>
          </w:tcPr>
          <w:p>
            <w:pPr>
              <w:spacing w:after="0"/>
              <w:rPr>
                <w:sz w:val="8"/>
                <w:szCs w:val="8"/>
                <w:color w:val="auto"/>
              </w:rPr>
            </w:pPr>
          </w:p>
        </w:tc>
        <w:tc>
          <w:tcPr>
            <w:tcW w:w="1260" w:type="dxa"/>
            <w:vAlign w:val="bottom"/>
          </w:tcPr>
          <w:p>
            <w:pPr>
              <w:jc w:val="right"/>
              <w:ind w:right="392"/>
              <w:spacing w:after="0" w:line="97"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63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at federal statutory rates</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8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8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Section 162(m) compensation limitation on covered employees</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Excess federal tax benefits from exercise and vest of share-based awards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to provision</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7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 and integration costs</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71"/>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w:t>
      </w:r>
    </w:p>
    <w:p>
      <w:pPr>
        <w:spacing w:after="0" w:line="45" w:lineRule="exact"/>
        <w:rPr>
          <w:sz w:val="20"/>
          <w:szCs w:val="20"/>
          <w:color w:val="auto"/>
        </w:rPr>
      </w:pPr>
    </w:p>
    <w:p>
      <w:pPr>
        <w:ind w:left="380" w:hanging="375"/>
        <w:spacing w:after="0"/>
        <w:tabs>
          <w:tab w:leader="none" w:pos="3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costs related to the acquisition and integration of United Grocery Outlet. See NOTE 15—Business Combination, for additional information.</w:t>
      </w:r>
    </w:p>
    <w:p>
      <w:pPr>
        <w:spacing w:after="0" w:line="200" w:lineRule="exact"/>
        <w:rPr>
          <w:rFonts w:ascii="Times New Roman" w:cs="Times New Roman" w:eastAsia="Times New Roman" w:hAnsi="Times New Roman"/>
          <w:sz w:val="13"/>
          <w:szCs w:val="13"/>
          <w:color w:val="auto"/>
        </w:rPr>
      </w:pPr>
    </w:p>
    <w:p>
      <w:pPr>
        <w:spacing w:after="0" w:line="272" w:lineRule="exact"/>
        <w:rPr>
          <w:rFonts w:ascii="Times New Roman" w:cs="Times New Roman" w:eastAsia="Times New Roman" w:hAnsi="Times New Roman"/>
          <w:sz w:val="13"/>
          <w:szCs w:val="13"/>
          <w:color w:val="auto"/>
        </w:rPr>
      </w:pPr>
    </w:p>
    <w:p>
      <w:pPr>
        <w:ind w:left="5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income taxes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Deferred income taxes reflect the net tax effect of temporary differences between the carrying amounts of assets and liabilities for financial reporting purposes and the amounts used for income tax purposes.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Significant components of our deferred tax assets and liabilities were as follows (amounts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28,</w:t>
            </w:r>
          </w:p>
        </w:tc>
        <w:tc>
          <w:tcPr>
            <w:tcW w:w="240" w:type="dxa"/>
            <w:vAlign w:val="bottom"/>
          </w:tcPr>
          <w:p>
            <w:pPr>
              <w:spacing w:after="0"/>
              <w:rPr>
                <w:sz w:val="11"/>
                <w:szCs w:val="11"/>
                <w:color w:val="auto"/>
              </w:rPr>
            </w:pPr>
          </w:p>
        </w:tc>
        <w:tc>
          <w:tcPr>
            <w:tcW w:w="1240" w:type="dxa"/>
            <w:vAlign w:val="bottom"/>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December 30,</w:t>
            </w:r>
          </w:p>
        </w:tc>
      </w:tr>
      <w:tr>
        <w:trPr>
          <w:trHeight w:val="153"/>
        </w:trPr>
        <w:tc>
          <w:tcPr>
            <w:tcW w:w="8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5,902</w:t>
            </w: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11,543</w:t>
            </w:r>
          </w:p>
        </w:tc>
      </w:tr>
      <w:tr>
        <w:trPr>
          <w:trHeight w:val="180"/>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Merchandise inventories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6,534</w:t>
            </w: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costs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180"/>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liability obligations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308,776</w:t>
            </w: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operating loss and other carryforwards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32,299</w:t>
            </w:r>
          </w:p>
        </w:tc>
      </w:tr>
      <w:tr>
        <w:trPr>
          <w:trHeight w:val="180"/>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transaction costs</w:t>
            </w:r>
          </w:p>
        </w:tc>
        <w:tc>
          <w:tcPr>
            <w:tcW w:w="2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Accruals and reserves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w:t>
            </w:r>
          </w:p>
        </w:tc>
      </w:tr>
      <w:tr>
        <w:trPr>
          <w:trHeight w:val="212"/>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387,622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371,721</w:t>
            </w:r>
          </w:p>
        </w:tc>
      </w:tr>
      <w:tr>
        <w:trPr>
          <w:trHeight w:val="16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r>
      <w:tr>
        <w:trPr>
          <w:trHeight w:val="180"/>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expenses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(85,261)</w:t>
            </w: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(5,876)</w:t>
            </w:r>
          </w:p>
        </w:tc>
      </w:tr>
      <w:tr>
        <w:trPr>
          <w:trHeight w:val="180"/>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right-of-use assets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(288,347)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(267,696)</w:t>
            </w: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(48,865)</w:t>
            </w:r>
          </w:p>
        </w:tc>
      </w:tr>
      <w:tr>
        <w:trPr>
          <w:trHeight w:val="180"/>
        </w:trPr>
        <w:tc>
          <w:tcPr>
            <w:tcW w:w="8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Software development costs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r>
      <w:tr>
        <w:trPr>
          <w:trHeight w:val="171"/>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2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(443,800)</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(410,322)</w:t>
            </w:r>
          </w:p>
        </w:tc>
      </w:tr>
      <w:tr>
        <w:trPr>
          <w:trHeight w:val="196"/>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have net operating loss carryforwards of $119.6 million for federal income tax purposes, which carries forward indefinitely. There are also net operating loss carryforwards of $12.6 million for state income tax purposes, which begin to expire in 2034. Utilization of some of the federal net operating loss and state net operating loss and credit carryforward are subject to annual limitations due to the "change in ownership" provisions of the Internal Revenue Code of 1986, as amended, and similar state provisions. The Company believes that no such limitation has occurred through December 28, 2024.</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Management assesses the available positive and negative evidence to estimate whether sufficient future taxable income will be generated to permit the use of the existing deferred tax assets. A significant piece of objective positive evidence was the cumulative income incurred over the three-year period ended December 28, 2024. Based on our current assessment, we anticipate it is more likely than not that we will generate sufficient taxable income to realize all of our material deferred tax assets. As such we did not record a valuation allowance against these material deferred tax assets as of December 28, 2024.</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policy is to recognize interest and penalties associated with uncertain tax positions as part of the income tax provision in our consolidated statements of operations and comprehensive income and include accrued interest and penalties with the related income tax liability on our consolidated balance sheets. To date, we have not recognized any interest and penalties, nor have we accrued for or made payments for interest and penalties. We had no uncertain tax positions as of December 28, 2024 and December 30, 2023, respectively, and do not anticipate having any material uncertain tax positions within the next 12 months.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subject to taxation in the United States and various state jurisdictions. As of December 28, 2024, our tax returns remain open to examination by the tax authorities for tax years 2012 to 2023 for U.S. federal and for various state jurisdictions.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11—Related Party Transactions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Party Lease</w:t>
      </w:r>
      <w:r>
        <w:rPr>
          <w:rFonts w:ascii="Times New Roman" w:cs="Times New Roman" w:eastAsia="Times New Roman" w:hAnsi="Times New Roman"/>
          <w:sz w:val="14"/>
          <w:szCs w:val="14"/>
          <w:color w:val="auto"/>
        </w:rPr>
        <w:t>s</w:t>
      </w:r>
    </w:p>
    <w:p>
      <w:pPr>
        <w:spacing w:after="0" w:line="96"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 xml:space="preserve">As of December 28, 2024 and December 30, 2023, we leased 14 store locations and one warehouse location from entities in which </w:t>
      </w:r>
      <w:r>
        <w:rPr>
          <w:rFonts w:ascii="Times New Roman" w:cs="Times New Roman" w:eastAsia="Times New Roman" w:hAnsi="Times New Roman"/>
          <w:sz w:val="14"/>
          <w:szCs w:val="14"/>
          <w:color w:val="231F20"/>
        </w:rPr>
        <w:t>Eric Lindberg, Jr., Chairman of the Board and former Chief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Executive Officer (who also served as Interim President and Chief Executive Officer for a portion of fiscal 2024), and MacGregor Read, Jr., who served as Vice Chairman of our Board until September 1, 2022, or their respective families, had a direct or indirect financial interest</w:t>
      </w:r>
      <w:r>
        <w:rPr>
          <w:rFonts w:ascii="Times New Roman" w:cs="Times New Roman" w:eastAsia="Times New Roman" w:hAnsi="Times New Roman"/>
          <w:sz w:val="14"/>
          <w:szCs w:val="14"/>
          <w:color w:val="000000"/>
        </w:rPr>
        <w:t>. As of December 28, 2024, the right-of-use assets and lease liabilities related to these properties were $38.7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million and $43.8 million, respectively. As of December 30, 2023, the right-of-use assets and lease liabilities related to these properties were $42.6 million and $47.6 million, respectively. These related parties received aggregate lease payments from us of $7.4 million, $6.8 million, and $6.8 million for the fiscal years ended December 28, 2024, December 30, 2023, and December 31, 2022,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Independent Operator Notes and Independent Operator Receivables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offer interest-bearing notes to IOs and the gross amount of IO operating notes and IO receivables due was $71.0 million and $59.2 million as of December 28, 2024 and December 30, 2023, respectively. See NOTE 2—Independent Operator Notes and Independent Operator Receivables,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12—Commitments and Contingencies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231F20"/>
        </w:rPr>
        <w:t>We are involved from time to time in claims, proceedings and litigation arising in the normal course of business. We establish an accrual for legal proceedings if and when those matters reach a stage where they present loss contingencies that are both probable and reasonably estimable. In such cases, there may be a possible exposure to loss in excess of any amounts accrued. We monitor those matters for developments that would affect the likelihood of a loss and the accrued amount, if any, thereof, and adjust the amount as appropriate. If the loss contingency at issue is not both probable and reasonably estimable, we do not establish an accrual, but will continue to monitor the matter for developments that will make the loss contingency both probable and reasonably estimable. If there is at least a reasonable possibility that a material loss will occur, we will provide disclosure regarding the contingency. Management believes that we do not have any pending litigation that, separately or in the aggregate, would have a material adverse effect on our results of operations, financial condition or cash flows.</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NOTE 17—Subsequent Events, for information on a federal securities class action lawsuit filed on January 30,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13—Earnings Per Share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calculation of basic and diluted earnings per share (amounts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08"/>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right"/>
              <w:ind w:right="332"/>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6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and comprehensive income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39,465</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79,437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65,052</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basic</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96,812</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dilutive options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w:t>
            </w:r>
          </w:p>
        </w:tc>
      </w:tr>
      <w:tr>
        <w:trPr>
          <w:trHeight w:val="18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dilutive RSUs and PSUs</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171"/>
        </w:trPr>
        <w:tc>
          <w:tcPr>
            <w:tcW w:w="66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3"/>
                <w:szCs w:val="13"/>
                <w:color w:val="auto"/>
              </w:rPr>
              <w:t xml:space="preserve">Weighted-average shares outstanding - diluted </w:t>
            </w:r>
            <w:r>
              <w:rPr>
                <w:rFonts w:ascii="Times New Roman" w:cs="Times New Roman" w:eastAsia="Times New Roman" w:hAnsi="Times New Roman"/>
                <w:sz w:val="19"/>
                <w:szCs w:val="19"/>
                <w:color w:val="auto"/>
                <w:vertAlign w:val="superscript"/>
              </w:rPr>
              <w:t>(1)</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100,162</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0.67</w:t>
            </w:r>
          </w:p>
        </w:tc>
      </w:tr>
      <w:tr>
        <w:trPr>
          <w:trHeight w:val="184"/>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0.65</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w:t>
      </w:r>
    </w:p>
    <w:p>
      <w:pPr>
        <w:spacing w:after="0" w:line="45" w:lineRule="exact"/>
        <w:rPr>
          <w:sz w:val="20"/>
          <w:szCs w:val="20"/>
          <w:color w:val="auto"/>
        </w:rPr>
      </w:pPr>
    </w:p>
    <w:p>
      <w:pPr>
        <w:ind w:left="380" w:hanging="375"/>
        <w:spacing w:after="0" w:line="281" w:lineRule="auto"/>
        <w:tabs>
          <w:tab w:leader="none" w:pos="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required to include in diluted weighted-average shares outstanding contingently issuable shares that would be issued assuming the end of our reporting period was the end of the relevant PSU award contingency period.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weighted-average common share equivalents were excluded from the calculation of diluted earnings per share because their effect would have been anti-dilutive (amounts in thousands):</w:t>
      </w:r>
    </w:p>
    <w:p>
      <w:pPr>
        <w:spacing w:after="0" w:line="151"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1"/>
          <w:szCs w:val="11"/>
          <w:b w:val="1"/>
          <w:bCs w:val="1"/>
          <w:color w:val="auto"/>
        </w:rPr>
        <w:t>Fiscal Year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640" w:type="dxa"/>
            <w:vAlign w:val="bottom"/>
          </w:tcPr>
          <w:p>
            <w:pPr>
              <w:spacing w:after="0"/>
              <w:rPr>
                <w:sz w:val="10"/>
                <w:szCs w:val="10"/>
                <w:color w:val="auto"/>
              </w:rPr>
            </w:pPr>
          </w:p>
        </w:tc>
        <w:tc>
          <w:tcPr>
            <w:tcW w:w="1080" w:type="dxa"/>
            <w:vAlign w:val="bottom"/>
            <w:tcBorders>
              <w:top w:val="single" w:sz="8" w:color="auto"/>
            </w:tcBorders>
          </w:tcPr>
          <w:p>
            <w:pPr>
              <w:jc w:val="center"/>
              <w:ind w:left="323"/>
              <w:spacing w:after="0" w:line="11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left="243"/>
              <w:spacing w:after="0" w:line="118"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7720" w:type="dxa"/>
            <w:vAlign w:val="bottom"/>
            <w:gridSpan w:val="2"/>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80" w:type="dxa"/>
            <w:vAlign w:val="bottom"/>
            <w:gridSpan w:val="3"/>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10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98</w:t>
            </w:r>
          </w:p>
        </w:tc>
      </w:tr>
      <w:tr>
        <w:trPr>
          <w:trHeight w:val="191"/>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98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14—Segment Information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a retailer of quality, name-brand consumables and fresh products sold primarily through a network of independently operated stores. We manage our business on a consolidated basis and have one reportable segment. The accounting policies of the segment are the same as those described in the summary of significant accounting policies. In addition, all of our sales were made to customers located in the U.S. and all property and equipment is located in the U.S.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chief operating decision maker ("CODM"), who is our President and Chief Executive Officer, assesses performance for the segment and decides how to allocate resources based on net income and comprehensive income, which is reported on the consolidated statements of operations and comprehensive income. The CODM uses this measure in deciding where to reinvest profits and to monitor budget versus actual results. The measure of segment assets is reported on the consolidated balance sheets as total assets.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Information for the segment, including the significant expenses regularly reviewed by the CODM, is provided in the following tables for the periods indicated (amounts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06"/>
        </w:trPr>
        <w:tc>
          <w:tcPr>
            <w:tcW w:w="6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ind w:left="160"/>
              <w:spacing w:after="0" w:line="106"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80" w:type="dxa"/>
            <w:vAlign w:val="bottom"/>
            <w:gridSpan w:val="2"/>
          </w:tcPr>
          <w:p>
            <w:pPr>
              <w:jc w:val="center"/>
              <w:ind w:right="300"/>
              <w:spacing w:after="0" w:line="106" w:lineRule="exact"/>
              <w:rPr>
                <w:sz w:val="20"/>
                <w:szCs w:val="20"/>
                <w:color w:val="auto"/>
              </w:rPr>
            </w:pPr>
            <w:r>
              <w:rPr>
                <w:rFonts w:ascii="Times New Roman" w:cs="Times New Roman" w:eastAsia="Times New Roman" w:hAnsi="Times New Roman"/>
                <w:sz w:val="11"/>
                <w:szCs w:val="11"/>
                <w:b w:val="1"/>
                <w:bCs w:val="1"/>
                <w:color w:val="auto"/>
                <w:w w:val="99"/>
              </w:rPr>
              <w:t>December 30,</w:t>
            </w:r>
          </w:p>
        </w:tc>
        <w:tc>
          <w:tcPr>
            <w:tcW w:w="240" w:type="dxa"/>
            <w:vAlign w:val="bottom"/>
          </w:tcPr>
          <w:p>
            <w:pPr>
              <w:spacing w:after="0"/>
              <w:rPr>
                <w:sz w:val="9"/>
                <w:szCs w:val="9"/>
                <w:color w:val="auto"/>
              </w:rPr>
            </w:pPr>
          </w:p>
        </w:tc>
        <w:tc>
          <w:tcPr>
            <w:tcW w:w="1240" w:type="dxa"/>
            <w:vAlign w:val="bottom"/>
          </w:tcPr>
          <w:p>
            <w:pPr>
              <w:jc w:val="right"/>
              <w:ind w:right="331"/>
              <w:spacing w:after="0" w:line="106"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66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4,371,501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3,969,453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3,578,101</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66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Cost of sales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3,045,097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2,724,449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2,482,958</w:t>
            </w:r>
          </w:p>
        </w:tc>
      </w:tr>
      <w:tr>
        <w:trPr>
          <w:trHeight w:val="180"/>
        </w:trPr>
        <w:tc>
          <w:tcPr>
            <w:tcW w:w="66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Commission expenses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637,246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533,068</w:t>
            </w:r>
          </w:p>
        </w:tc>
      </w:tr>
      <w:tr>
        <w:trPr>
          <w:trHeight w:val="180"/>
        </w:trPr>
        <w:tc>
          <w:tcPr>
            <w:tcW w:w="66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selling expenses </w:t>
            </w:r>
            <w:r>
              <w:rPr>
                <w:rFonts w:ascii="Times New Roman" w:cs="Times New Roman" w:eastAsia="Times New Roman" w:hAnsi="Times New Roman"/>
                <w:sz w:val="18"/>
                <w:szCs w:val="18"/>
                <w:color w:val="auto"/>
                <w:vertAlign w:val="superscript"/>
              </w:rPr>
              <w:t>(3)</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196,263</w:t>
            </w:r>
          </w:p>
        </w:tc>
      </w:tr>
      <w:tr>
        <w:trPr>
          <w:trHeight w:val="180"/>
        </w:trPr>
        <w:tc>
          <w:tcPr>
            <w:tcW w:w="66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General and administrative expenses </w:t>
            </w:r>
            <w:r>
              <w:rPr>
                <w:rFonts w:ascii="Times New Roman" w:cs="Times New Roman" w:eastAsia="Times New Roman" w:hAnsi="Times New Roman"/>
                <w:sz w:val="18"/>
                <w:szCs w:val="18"/>
                <w:color w:val="auto"/>
                <w:vertAlign w:val="superscript"/>
              </w:rPr>
              <w:t>(4)</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160,015</w:t>
            </w:r>
          </w:p>
        </w:tc>
      </w:tr>
      <w:tr>
        <w:trPr>
          <w:trHeight w:val="180"/>
        </w:trPr>
        <w:tc>
          <w:tcPr>
            <w:tcW w:w="66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(5)</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32,556</w:t>
            </w: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expenses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78,251</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w:t>
            </w:r>
          </w:p>
        </w:tc>
      </w:tr>
      <w:tr>
        <w:trPr>
          <w:trHeight w:val="180"/>
        </w:trPr>
        <w:tc>
          <w:tcPr>
            <w:tcW w:w="6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21,356</w:t>
            </w:r>
          </w:p>
        </w:tc>
      </w:tr>
      <w:tr>
        <w:trPr>
          <w:trHeight w:val="18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debt extinguishment and modification</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r>
      <w:tr>
        <w:trPr>
          <w:trHeight w:val="180"/>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10,697</w:t>
            </w:r>
          </w:p>
        </w:tc>
      </w:tr>
      <w:tr>
        <w:trPr>
          <w:trHeight w:val="19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and comprehensive income</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79,437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65,052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w:t>
      </w:r>
    </w:p>
    <w:p>
      <w:pPr>
        <w:spacing w:after="0" w:line="55" w:lineRule="exact"/>
        <w:rPr>
          <w:sz w:val="20"/>
          <w:szCs w:val="20"/>
          <w:color w:val="auto"/>
        </w:rPr>
      </w:pPr>
    </w:p>
    <w:p>
      <w:pPr>
        <w:ind w:left="380" w:hanging="375"/>
        <w:spacing w:after="0" w:line="264" w:lineRule="auto"/>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of sales includes merchandise costs, inventory markdowns, inventory losses, transportation costs and distribution and warehousing costs and excludes depreciation and amortization expenses of $4.5 million, $3.3 million and $3.0 million in fiscal 2024, fiscal 2023 and fiscal 2022, respectively.</w:t>
      </w:r>
    </w:p>
    <w:p>
      <w:pPr>
        <w:spacing w:after="0" w:line="10"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Commission expenses represent commissions paid to IOs.</w:t>
      </w:r>
    </w:p>
    <w:p>
      <w:pPr>
        <w:spacing w:after="0" w:line="52" w:lineRule="exact"/>
        <w:rPr>
          <w:rFonts w:ascii="Times New Roman" w:cs="Times New Roman" w:eastAsia="Times New Roman" w:hAnsi="Times New Roman"/>
          <w:sz w:val="13"/>
          <w:szCs w:val="13"/>
          <w:color w:val="auto"/>
        </w:rPr>
      </w:pPr>
    </w:p>
    <w:p>
      <w:pPr>
        <w:ind w:left="380" w:hanging="375"/>
        <w:spacing w:after="0" w:line="264" w:lineRule="auto"/>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selling expenses include occupancy for all stores, our portion of maintenance costs for IO stores, the cost of opening new IO stores and payroll, benefits, maintenance, supplies and utilities for company-operated stores.</w:t>
      </w:r>
    </w:p>
    <w:p>
      <w:pPr>
        <w:spacing w:after="0" w:line="21"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and administrative expenses include payroll and benefits for corporate and field support, marketing and advertising, insurance and professional services and operator recruiting and training costs.</w:t>
      </w:r>
    </w:p>
    <w:p>
      <w:pPr>
        <w:spacing w:after="0" w:line="41"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segment items represent share-based compensation expenses and impairment of long-lived assets related to the Restructuring Plan, as defined in NOTE 16—Restructuring Plan.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08"/>
        </w:trPr>
        <w:tc>
          <w:tcPr>
            <w:tcW w:w="6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1"/>
                <w:szCs w:val="11"/>
                <w:b w:val="1"/>
                <w:bCs w:val="1"/>
                <w:color w:val="auto"/>
              </w:rPr>
              <w:t>December 28,</w:t>
            </w:r>
          </w:p>
        </w:tc>
        <w:tc>
          <w:tcPr>
            <w:tcW w:w="200" w:type="dxa"/>
            <w:vAlign w:val="bottom"/>
          </w:tcPr>
          <w:p>
            <w:pPr>
              <w:spacing w:after="0"/>
              <w:rPr>
                <w:sz w:val="9"/>
                <w:szCs w:val="9"/>
                <w:color w:val="auto"/>
              </w:rPr>
            </w:pPr>
          </w:p>
        </w:tc>
        <w:tc>
          <w:tcPr>
            <w:tcW w:w="136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rPr>
              <w:t>December 30,</w:t>
            </w:r>
          </w:p>
        </w:tc>
        <w:tc>
          <w:tcPr>
            <w:tcW w:w="240" w:type="dxa"/>
            <w:vAlign w:val="bottom"/>
          </w:tcPr>
          <w:p>
            <w:pPr>
              <w:spacing w:after="0"/>
              <w:rPr>
                <w:sz w:val="9"/>
                <w:szCs w:val="9"/>
                <w:color w:val="auto"/>
              </w:rPr>
            </w:pPr>
          </w:p>
        </w:tc>
        <w:tc>
          <w:tcPr>
            <w:tcW w:w="1240" w:type="dxa"/>
            <w:vAlign w:val="bottom"/>
          </w:tcPr>
          <w:p>
            <w:pPr>
              <w:jc w:val="right"/>
              <w:ind w:right="355"/>
              <w:spacing w:after="0" w:line="108"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65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7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130,482</w:t>
            </w:r>
          </w:p>
        </w:tc>
      </w:tr>
      <w:tr>
        <w:trPr>
          <w:trHeight w:val="18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Investments in intangible assets and licenses</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20,305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16,586</w:t>
            </w: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206,916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191,990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147,068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15—Business Combination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 of United Grocery Outlet</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 February 14, 2024, Grocery Outlet Inc., our wholly owned subsidiary, entered into a Stock Purchase Agreement with BBGO Acquisition, Inc., a Delaware corporation ("Holdings"), specified parties therein that beneficially owned Holdings, and Southvest Fund VII, L.P., a Delaware limited partnership, to acquire all of the issued and outstanding capital stock of Holdings (the "Transaction"). On April 1, 2024, the Transaction was completed for the total purchase consideration of $62.5 million, including $2.0 million of cash and cash equivalents on hand, after post-closing adjustments, and was funded with cash on hand.</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Holdings is the owner of all of the issued and outstanding capital stock of The Bargain Barn, Inc., a Tennessee corporation doing business as United Grocery Outlet ("United Grocery Outlet"). United Grocery Outlet operated 40 discount grocery stores across six states in the Southeastern United States as of April 1, 2024. The acquisition provides us with the opportunity to scale in a new region and is a platform for potential future expansion in the Southeast.</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accounted for the acquisition as a business combination using the acquisition method of accounting, which requires, among other things, that we allocate the purchase consideration to the identifiable assets acquired and liabilities assumed based on their acquisition-date fair values. The fair values of the acquired assets and assumed liabilities recorded on our consolidated financial statements may be subject to adjustment pending completion of final valuation. These fair value estimates will be reevaluated and adjusted, if needed, during the measurement period of up to one year from the acquisition date, and recorded as adjustments to goodwill.</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preliminary purchase price allocation as of December 28, 2024 recorded for acquired assets and assumed liabilities at the acquisition date (amounts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400" w:type="dxa"/>
            <w:vAlign w:val="bottom"/>
            <w:gridSpan w:val="2"/>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accounts receivable</w:t>
            </w:r>
          </w:p>
        </w:tc>
        <w:tc>
          <w:tcPr>
            <w:tcW w:w="5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Merchandise inventories</w:t>
            </w:r>
          </w:p>
        </w:tc>
        <w:tc>
          <w:tcPr>
            <w:tcW w:w="5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14,208</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5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5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6,950</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5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35,266</w:t>
            </w: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5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34,790</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58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 assets acquired</w:t>
            </w:r>
          </w:p>
        </w:tc>
        <w:tc>
          <w:tcPr>
            <w:tcW w:w="58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95,581</w:t>
            </w:r>
          </w:p>
        </w:tc>
        <w:tc>
          <w:tcPr>
            <w:tcW w:w="0" w:type="dxa"/>
            <w:vAlign w:val="bottom"/>
          </w:tcPr>
          <w:p>
            <w:pPr>
              <w:spacing w:after="0"/>
              <w:rPr>
                <w:sz w:val="1"/>
                <w:szCs w:val="1"/>
                <w:color w:val="auto"/>
              </w:rPr>
            </w:pPr>
          </w:p>
        </w:tc>
      </w:tr>
      <w:tr>
        <w:trPr>
          <w:trHeight w:val="192"/>
        </w:trPr>
        <w:tc>
          <w:tcPr>
            <w:tcW w:w="3960" w:type="dxa"/>
            <w:vAlign w:val="bottom"/>
            <w:shd w:val="clear" w:color="auto" w:fill="CCEEFF"/>
          </w:tcPr>
          <w:p>
            <w:pPr>
              <w:spacing w:after="0"/>
              <w:rPr>
                <w:sz w:val="16"/>
                <w:szCs w:val="16"/>
                <w:color w:val="auto"/>
              </w:rPr>
            </w:pPr>
          </w:p>
        </w:tc>
        <w:tc>
          <w:tcPr>
            <w:tcW w:w="58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5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accounts payable</w:t>
            </w:r>
          </w:p>
        </w:tc>
        <w:tc>
          <w:tcPr>
            <w:tcW w:w="5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3,090</w:t>
            </w: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5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5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5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and other taxes payable</w:t>
            </w:r>
          </w:p>
        </w:tc>
        <w:tc>
          <w:tcPr>
            <w:tcW w:w="5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 net</w:t>
            </w:r>
          </w:p>
        </w:tc>
        <w:tc>
          <w:tcPr>
            <w:tcW w:w="5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5,454</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58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17,921</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58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33,052</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net assets acquired</w:t>
            </w:r>
          </w:p>
        </w:tc>
        <w:tc>
          <w:tcPr>
            <w:tcW w:w="58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bottom w:val="single" w:sz="8" w:color="CCEEFF"/>
            </w:tcBorders>
            <w:vMerge w:val="restart"/>
          </w:tcPr>
          <w:p>
            <w:pPr>
              <w:jc w:val="right"/>
              <w:ind w:right="4009"/>
              <w:spacing w:after="0"/>
              <w:rPr>
                <w:sz w:val="20"/>
                <w:szCs w:val="20"/>
                <w:color w:val="auto"/>
              </w:rPr>
            </w:pPr>
            <w:r>
              <w:rPr>
                <w:rFonts w:ascii="Times New Roman" w:cs="Times New Roman" w:eastAsia="Times New Roman" w:hAnsi="Times New Roman"/>
                <w:sz w:val="14"/>
                <w:szCs w:val="14"/>
                <w:color w:val="auto"/>
              </w:rPr>
              <w:t>92</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6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58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goodwill recognized reflects the expected future benefits from certain synergies and intangible assets that do not qualify for separate recognition. The goodwill will not be deductible for income tax purposes.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fiscal year ended December 28, 2024, we recognized $8.6 million in acquisition and integration costs related to due diligence, legal, other consulting and retention bonus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costs were included within selling, general and administrative expenses on the consolidated statements of operations and comprehensive income.</w:t>
      </w:r>
    </w:p>
    <w:p>
      <w:pPr>
        <w:spacing w:after="0" w:line="7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Pro forma results are not presented as the impact of this acquisition is not material to our consolidated financial results. United Grocery Outlet's financial statements constituted 3% of net sales and less than 1% of net income and comprehensive income of the consolidated financial statement amounts as of and for the year ended December 28,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16—Restructuring Plan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During the fourth quarter of fiscal 2024, we began to initiate a restructuring plan that is intended to improve our profitability and cash flow generation, optimize the footprint of new store growth, and lower our cost base (the "Restructuring Plan"). We currently estimate that we will incur total costs of between $52 million and $61 million, of which between $36 million and $45 million are expected to be cash expenditures. The actions under the Restructuring Plan are expected to be substantially completed by the first half of fiscal 2025. Under the Restructuring Plan:</w:t>
      </w:r>
    </w:p>
    <w:p>
      <w:pPr>
        <w:spacing w:after="0" w:line="51" w:lineRule="exact"/>
        <w:rPr>
          <w:sz w:val="20"/>
          <w:szCs w:val="20"/>
          <w:color w:val="auto"/>
        </w:rPr>
      </w:pPr>
    </w:p>
    <w:p>
      <w:pPr>
        <w:jc w:val="both"/>
        <w:ind w:left="640" w:hanging="253"/>
        <w:spacing w:after="0" w:line="270" w:lineRule="auto"/>
        <w:tabs>
          <w:tab w:leader="none" w:pos="636" w:val="left"/>
        </w:tabs>
        <w:numPr>
          <w:ilvl w:val="0"/>
          <w:numId w:val="4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We have determined to terminate leases for unopened stores in suboptimal locations, 15 of which we had planned to open in fiscal 2025 and eight of which we had planned to open in fiscal 2026. We incurred $9.2 million of non-cash impairment of long-lived assets related to lease terminations in the fourth quarter of fiscal 2024, which is included in selling, general and administrative expenses. We estimate we will incur an additional $30 million to $37 million of cash lease termination expense in the first half of fiscal 2025.</w:t>
      </w:r>
    </w:p>
    <w:p>
      <w:pPr>
        <w:spacing w:after="0" w:line="50" w:lineRule="exact"/>
        <w:rPr>
          <w:rFonts w:ascii="Times New Roman" w:cs="Times New Roman" w:eastAsia="Times New Roman" w:hAnsi="Times New Roman"/>
          <w:sz w:val="14"/>
          <w:szCs w:val="14"/>
          <w:color w:val="231F20"/>
        </w:rPr>
      </w:pPr>
    </w:p>
    <w:p>
      <w:pPr>
        <w:jc w:val="both"/>
        <w:ind w:left="640" w:hanging="253"/>
        <w:spacing w:after="0" w:line="270" w:lineRule="auto"/>
        <w:tabs>
          <w:tab w:leader="none" w:pos="636" w:val="left"/>
        </w:tabs>
        <w:numPr>
          <w:ilvl w:val="0"/>
          <w:numId w:val="4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We are shifting our planned investments in our distribution infrastructure in fiscal 2025 and fiscal 2026 away from highly capital-intensive projects. We will instead invest in lower cost distribution centers for dry goods to enhance capacity and improve inventory management and overall execution. In connection with such strategy, we cancelled certain warehouse projects, resulting in $6.7 million of non-cash impairment of long-lived assets in the fourth quarter of fiscal 2024, which is included in selling, general and administrative expenses.</w:t>
      </w:r>
    </w:p>
    <w:p>
      <w:pPr>
        <w:spacing w:after="0" w:line="50" w:lineRule="exact"/>
        <w:rPr>
          <w:rFonts w:ascii="Times New Roman" w:cs="Times New Roman" w:eastAsia="Times New Roman" w:hAnsi="Times New Roman"/>
          <w:sz w:val="14"/>
          <w:szCs w:val="14"/>
          <w:color w:val="231F20"/>
        </w:rPr>
      </w:pPr>
    </w:p>
    <w:p>
      <w:pPr>
        <w:ind w:left="640" w:hanging="253"/>
        <w:spacing w:after="0" w:line="287" w:lineRule="auto"/>
        <w:tabs>
          <w:tab w:leader="none" w:pos="636" w:val="left"/>
        </w:tabs>
        <w:numPr>
          <w:ilvl w:val="0"/>
          <w:numId w:val="4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We reduced headcount by approximately 40 full-time employees in the first quarter of fiscal 2025 with total cash costs incurred of $1.6 million, including employee severance, employee benefit and related costs.</w:t>
      </w:r>
    </w:p>
    <w:p>
      <w:pPr>
        <w:spacing w:after="0" w:line="39" w:lineRule="exact"/>
        <w:rPr>
          <w:rFonts w:ascii="Times New Roman" w:cs="Times New Roman" w:eastAsia="Times New Roman" w:hAnsi="Times New Roman"/>
          <w:sz w:val="14"/>
          <w:szCs w:val="14"/>
          <w:color w:val="231F20"/>
        </w:rPr>
      </w:pPr>
    </w:p>
    <w:p>
      <w:pPr>
        <w:ind w:left="640" w:hanging="253"/>
        <w:spacing w:after="0" w:line="287" w:lineRule="auto"/>
        <w:tabs>
          <w:tab w:leader="none" w:pos="636" w:val="left"/>
        </w:tabs>
        <w:numPr>
          <w:ilvl w:val="0"/>
          <w:numId w:val="4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 connection with the Restructuring Plan, we estimate that we will incur cash costs of between $4.5 million and $6.5 million in legal and other professional fees in the first half of fiscal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17—Subsequent Events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Plan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first quarter of 2025, we actioned certain initiatives under the Restructuring Plan, as more fully described in NOTE 16—Restructuring Plan.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Class Action Litigation</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On January 30, 2025, a federal securities class action lawsuit was filed in the United States District Court in the Northern District of California against Grocery Outlet Holding Corp. and certain of its former officers on behalf of purchasers of our common stock between November 7, 2023 and May 7, 2024. The lawsuit alleges that the defendants violated federal securities laws by making materially false and misleading statements and/or failing to disclose material adverse facts regarding our transition to new and upgraded internal systems. The lawsuit seeks remedies under the Securities Exchange Act of 1934, as amended, including an undisclosed amount of monetary damages, interest, fees and other costs. We intend to defend the lawsuit vigorously. It is reasonably possible that a loss may be incurred; however, the possible range of losses is not reasonably estimable given the pending status of the case.</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NOTE 12—Commitments and Contingencies, for additional information.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Principal Executive Officer and Principal Financial Officer, we evaluated the effectiveness of the design and operation of our disclosure controls and procedures pursuant to Rule 13a-15(e) and 15d-15(e) under the Exchange Act as of the end of the period covered by this report. Our disclosure controls and procedures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Based on that evaluation, our Principal Executive Officer and Principal Financial Officer have concluded our disclosure controls and procedures were not effective as of December 28, 2024 due to the ongoing remediation of our previously identified material weakness in our internal control over financial reporting. A "material weakness" is a deficiency, or a combination of deficiencies, in internal control over financial reporting, such that there is a reasonable possibility that a material misstatement in annual or interim financial statements will not be prevented or detected on a timely basis.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Company's management is responsible for establishing and maintaining adequate internal control over financial reporting, as defined by Rule 13a-15(f) of the Exchange Act. The Company's management conducted an assessment of the Company's internal control over financial reporting based on the framework established by the Committee of Sponsoring Organizations of the Treadway Commission in Internal Control - Integrated Framework (2013).</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connection with this assessment, the Company’s management identified deficiencies in the design and operating effectiveness of controls in its internal control over financial reporting related to certain information technology general computer controls ("ITGCs") during fiscal 2023. The replacement of components of our enterprise resource planning system in late August 2023 led to a significant increase in the volume of transactions across user access, program change management, and IT operations for which our existing controls were not designed to address. As a result, certain of the Company’s related business controls that are dependent upon the affected ITGCs were also deemed ineffective.</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of December 28, 2024 management’s assessment concluded that the controls required to remediate the material weakness were designed and implemented appropriately, however, certain controls have not consistently operated effectively for a sufficient period of time to conclude the material weakness was remediated. We did not identify any material misstatements to the consolidated financial statements as of and for the year ended December 28, 2024 because of these control deficiencies. However, the pervasive impact of these control deficiencies to the Company's internal control over financial reporting created a reasonable possibility that a material misstatement to the consolidated financial statements would not be prevented or detected on a timely basis. Therefore, we concluded that the deficiencies represent a material weakness in our internal control over financial reporting and, as such, our internal control over financial reporting was not effective as of December 28, 2024.</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Deloitte &amp; Touche LLP, an independent registered public accounting firm, who audited the fiscal 2024 consolidated financial statements included in this Form 10-K, issued an adverse report on the Company’s internal control over financial reporting reflecting this material weakness as of December 28, 2024 as stated in its report which is set forth below.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Weakness and Remediation Plan</w:t>
      </w:r>
    </w:p>
    <w:p>
      <w:pPr>
        <w:spacing w:after="0" w:line="96"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We have taken steps to remediate the control deficiencies contributing to the material weakness described above. Management has redesigned certain controls and implemented additional training for user access, program change management, and information technology operations controls. Our remediation progress has also included hiring additional internal and external resources. The corrective controls were implemented during the fiscal year ending December 28, 2024, but need to continue operating effectively for a sufficient period of time to conclude the material weakness has been remediated. The remediation will thereafter be completed after management has concluded through testing that these controls have operated effectively for a sufficient period of time.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On April 1, 2024, Grocery Outlet Inc., our wholly owned subsidiary, acquired BBGO Acquisition, Inc., a holding company that owns all of the outstanding capital stock of The Bargain Barn Inc., which does business as United Grocery Outlet (See NOTE 15—Business Combination to our Consolidated Financial Statements for additional information). United Grocery Outlet's financial statements constitute less than 1% and 1% of net and total assets, respectively, 3% of revenues, and less than 1% of net income of the consolidated financial statement amounts as of and for the year ended December 28, 2024. We are currently integrating United Grocery Outlet into our internal control framework and processes and, pursuant to the SEC's guidance that an assessment of a recently acquired business may be omitted from the scope of an assessment in the year of acquisition, the scope of our assessment of the effectiveness of our internal control over financial reporting as of December 28, 2024 did not include United Grocery Outlet.</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Other than the remediation efforts and changes identified above, during the fiscal quarter ended December 28, 2024,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Effectiveness of Controls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Grocery Outlet Holding Corp.: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Grocery Outlet Holding Corp. and subsidiaries (the "Company") as of December 28, 2024, based on criteria established in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Control — Integrated Framework (2013) </w:t>
      </w:r>
      <w:r>
        <w:rPr>
          <w:rFonts w:ascii="Times New Roman" w:cs="Times New Roman" w:eastAsia="Times New Roman" w:hAnsi="Times New Roman"/>
          <w:sz w:val="14"/>
          <w:szCs w:val="14"/>
          <w:color w:val="auto"/>
        </w:rPr>
        <w:t>issued by the Committee of Sponsoring Organizations of the Treadway Commission (COSO). In our opinion, because of the effect of the material weakness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identified below on the achievement of the objectives of the control criteria, the Company has not maintained effective internal control over financial reporting as of December 28, 2024,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COSO.</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28, 2024, of the Company and our report dated February 26, 2025, expressed an unqualified opinion on those financial statements.</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As described in Management’s Annual Report on Internal Control over Financial Reporting, management excluded from its assessment the internal control over financial reporting at United Grocery Outlet, which was acquired on April 1, 2024, and whose financial statements constitute less than 1% and 1% of net and total assets, respectively, 3% of revenues, and less than 1% of net income of the consolidated financial statement amounts as of and for the year ended December 28, 2024. Accordingly, our audit did not include the internal control over financial reporting at United Grocery Outlet.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Weakness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General Information Technology Controls (GITCs)</w:t>
      </w:r>
    </w:p>
    <w:p>
      <w:pPr>
        <w:spacing w:after="0" w:line="181" w:lineRule="exact"/>
        <w:rPr>
          <w:sz w:val="20"/>
          <w:szCs w:val="20"/>
          <w:color w:val="auto"/>
        </w:rPr>
      </w:pPr>
    </w:p>
    <w:p>
      <w:pPr>
        <w:jc w:val="both"/>
        <w:ind w:left="520"/>
        <w:spacing w:after="0" w:line="259" w:lineRule="auto"/>
        <w:rPr>
          <w:sz w:val="20"/>
          <w:szCs w:val="20"/>
          <w:color w:val="auto"/>
        </w:rPr>
      </w:pPr>
      <w:r>
        <w:rPr>
          <w:rFonts w:ascii="Times New Roman" w:cs="Times New Roman" w:eastAsia="Times New Roman" w:hAnsi="Times New Roman"/>
          <w:sz w:val="14"/>
          <w:szCs w:val="14"/>
          <w:color w:val="auto"/>
        </w:rPr>
        <w:t>The Company identified deficiencies in the design and operating effectiveness of controls in its internal control over financial reporting related to certain information technology general computer controls ("ITGC's"). The replacement of components of the Company's enterprise resource planning system in late August 2023 led to a significant increase in the volume of transactions across user access, program change management, and IT operations for which their existing controls were not designed to address. As a result, certain of the Company's related business controls that are dependent upon the affected ITGC's were also deemed ineffective. The Company concluded that the pervasive impact of these control deficiencies to the Company's internal control over financial reporting created a reasonable possibility that a material misstatement to the consolidated financial statements would not be prevented or detected on a timely basis.</w:t>
      </w:r>
    </w:p>
    <w:p>
      <w:pPr>
        <w:spacing w:after="0" w:line="14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This material weakness was considered in determining the nature, timing, and extent of audit tests applied in our audit of the consolidated financial statements as of and for the year ended December 28, 2024, of the Company, and this report does not affect our report on such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10b5-1 Trading Plans - Directors and Section 16 Officers</w:t>
      </w:r>
    </w:p>
    <w:p>
      <w:pPr>
        <w:spacing w:after="0" w:line="18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During the 13 weeks ended December 28, 2024, none of our directors or Officers (as such term is defined under Section 16 of the Exchange Act) adopted or terminated any contract, instruction or written plan for the purchase or sale of Company securities that was intended to satisfy the affirmative defense conditions of Rule 10b5-1(c) of the Exchange Act or any "non-Rule 10b5-1 trading arrangement."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from sections entitled "Corporate Governance and Board Matters," "Executive Officers," "Proposals for Consideration at Annual Meeting – Proposal 1 – Election of Class III Directors," "Compensation Discussion and Analysis—Securities Trading Policy," and "Additional Information" in our definitive Proxy Statement related to the 2025 Annual Meeting of Stockholders to be filed with the SEC within 120 days of our fiscal year ended December 28, 2024 (the "2025 Proxy Statement").</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There were no material changes to the procedures by which stockholders may recommend nominees to our Board.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from sections entitled "Compensation Discussion and Analysis," "Named Executive Officer Compensation Tables" (excluding the information under the subheading "Pay Versus Performance"), "Corporate Governance and Board Matters – Director Compensation," and "Compensation Committee Report" in our 2025 Proxy Statement. However, the Compensation Committee Report included in such 2025 Proxy Statement shall not be deemed "filed" with the SEC for the purposes of Section 18 of the Exchange Act or otherwise subject to the liabilities of that section, nor shall it be deemed incorporated by reference in any filing made by us with the SEC pursuant to the Securities Act or the Exchange Act, except as expressly set forth by specific reference in such a filing.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from sections entitled "Security Ownership of Certain Beneficial Owners and Management," and "Securities Authorized for Issuance Under Equity Compensation Plans" in our 2025 Proxy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from sections entitled "Certain Relationships and Related Party Transactions," and "Corporate Governance and Board Matters – Board of Directors – Director Independence" in our 2025 Proxy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from the section entitled "Other Audit and Risk Committee Matters" in our 2025 Proxy Statement.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The following documents are filed as part of this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Consolidated Financial Statements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u w:val="single" w:color="auto"/>
          <w:color w:val="0000FF"/>
        </w:rPr>
        <w:t>Index to Consolidated Financial Statements</w:t>
      </w:r>
      <w:r>
        <w:rPr>
          <w:rFonts w:ascii="Times New Roman" w:cs="Times New Roman" w:eastAsia="Times New Roman" w:hAnsi="Times New Roman"/>
          <w:sz w:val="14"/>
          <w:szCs w:val="14"/>
          <w:color w:val="auto"/>
        </w:rPr>
        <w:t xml:space="preserve"> at "Item 8. Financial Statements and Supplementary Data."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Financial Statement Schedules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All schedules have been omitted because they are either not required, not applicable, not present in amounts sufficient to require submission of the schedule, or the required information is included elsewhere in this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3"/>
                <w:szCs w:val="13"/>
                <w:b w:val="1"/>
                <w:bCs w:val="1"/>
                <w:color w:val="auto"/>
              </w:rPr>
              <w:t>Exhibit</w:t>
            </w: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20" w:type="dxa"/>
            <w:vAlign w:val="bottom"/>
            <w:gridSpan w:val="21"/>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Form</w:t>
            </w:r>
          </w:p>
        </w:tc>
        <w:tc>
          <w:tcPr>
            <w:tcW w:w="132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1280" w:type="dxa"/>
            <w:vAlign w:val="bottom"/>
            <w:gridSpan w:val="2"/>
          </w:tcPr>
          <w:p>
            <w:pPr>
              <w:jc w:val="right"/>
              <w:ind w:right="540"/>
              <w:spacing w:after="0" w:line="123" w:lineRule="exact"/>
              <w:rPr>
                <w:sz w:val="20"/>
                <w:szCs w:val="20"/>
                <w:color w:val="auto"/>
              </w:rPr>
            </w:pPr>
            <w:r>
              <w:rPr>
                <w:rFonts w:ascii="Times New Roman" w:cs="Times New Roman" w:eastAsia="Times New Roman" w:hAnsi="Times New Roman"/>
                <w:sz w:val="13"/>
                <w:szCs w:val="13"/>
                <w:b w:val="1"/>
                <w:bCs w:val="1"/>
                <w:color w:val="auto"/>
              </w:rPr>
              <w:t>Filing</w:t>
            </w:r>
          </w:p>
        </w:tc>
        <w:tc>
          <w:tcPr>
            <w:tcW w:w="800" w:type="dxa"/>
            <w:vAlign w:val="bottom"/>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97"/>
              </w:rPr>
              <w:t>Exhibit</w:t>
            </w:r>
          </w:p>
        </w:tc>
        <w:tc>
          <w:tcPr>
            <w:tcW w:w="0" w:type="dxa"/>
            <w:vAlign w:val="bottom"/>
          </w:tcPr>
          <w:p>
            <w:pPr>
              <w:spacing w:after="0"/>
              <w:rPr>
                <w:sz w:val="1"/>
                <w:szCs w:val="1"/>
                <w:color w:val="auto"/>
              </w:rPr>
            </w:pPr>
          </w:p>
        </w:tc>
      </w:tr>
      <w:tr>
        <w:trPr>
          <w:trHeight w:val="16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No.</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20" w:type="dxa"/>
            <w:vAlign w:val="bottom"/>
            <w:gridSpan w:val="21"/>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No.</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Date</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w:t>
            </w:r>
          </w:p>
        </w:tc>
        <w:tc>
          <w:tcPr>
            <w:tcW w:w="0" w:type="dxa"/>
            <w:vAlign w:val="bottom"/>
          </w:tcPr>
          <w:p>
            <w:pPr>
              <w:spacing w:after="0"/>
              <w:rPr>
                <w:sz w:val="1"/>
                <w:szCs w:val="1"/>
                <w:color w:val="auto"/>
              </w:rPr>
            </w:pPr>
          </w:p>
        </w:tc>
      </w:tr>
      <w:tr>
        <w:trPr>
          <w:trHeight w:val="140"/>
        </w:trPr>
        <w:tc>
          <w:tcPr>
            <w:tcW w:w="10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2.1#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960" w:type="dxa"/>
            <w:vAlign w:val="bottom"/>
            <w:tcBorders>
              <w:top w:val="single" w:sz="8" w:color="auto"/>
            </w:tcBorders>
            <w:gridSpan w:val="28"/>
          </w:tcPr>
          <w:p>
            <w:pPr>
              <w:spacing w:after="0" w:line="141"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Stock Purchase Agreement, dated February 14, 2024, by and among Grocery Outlet Inc., BBGO</w:t>
              </w:r>
            </w:hyperlink>
          </w:p>
        </w:tc>
        <w:tc>
          <w:tcPr>
            <w:tcW w:w="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10-Q</w:t>
            </w:r>
          </w:p>
        </w:tc>
        <w:tc>
          <w:tcPr>
            <w:tcW w:w="1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001-38950</w:t>
            </w:r>
          </w:p>
        </w:tc>
        <w:tc>
          <w:tcPr>
            <w:tcW w:w="10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5/8/2024</w:t>
            </w: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1"/>
              </w:rPr>
              <w:t>2.1</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2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Acquisition, Inc. the sellers party thereto, and Southvest Fund VII, L.P.</w:t>
              </w:r>
            </w:hyperlink>
          </w:p>
        </w:tc>
        <w:tc>
          <w:tcPr>
            <w:tcW w:w="180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Restated Certificate of Incorporation of Grocery Outlet Holding Corp.</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6/10/2022</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0" w:type="dxa"/>
            <w:vAlign w:val="bottom"/>
          </w:tcPr>
          <w:p>
            <w:pPr>
              <w:spacing w:after="0"/>
              <w:rPr>
                <w:sz w:val="1"/>
                <w:szCs w:val="1"/>
                <w:color w:val="auto"/>
              </w:rPr>
            </w:pPr>
          </w:p>
        </w:tc>
      </w:tr>
      <w:tr>
        <w:trPr>
          <w:trHeight w:val="160"/>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13"/>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Amended and Restated Bylaws of Grocery Outlet Holding Corp.</w:t>
              </w:r>
            </w:hyperlink>
          </w:p>
        </w:tc>
        <w:tc>
          <w:tcPr>
            <w:tcW w:w="2020" w:type="dxa"/>
            <w:vAlign w:val="bottom"/>
            <w:gridSpan w:val="16"/>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4/8/2022</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0" w:type="dxa"/>
            <w:vAlign w:val="bottom"/>
          </w:tcPr>
          <w:p>
            <w:pPr>
              <w:spacing w:after="0"/>
              <w:rPr>
                <w:sz w:val="1"/>
                <w:szCs w:val="1"/>
                <w:color w:val="auto"/>
              </w:rPr>
            </w:pPr>
          </w:p>
        </w:tc>
      </w:tr>
      <w:tr>
        <w:trPr>
          <w:trHeight w:val="160"/>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12"/>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Form of Stock Certificate for Common Stock</w:t>
              </w:r>
            </w:hyperlink>
          </w:p>
        </w:tc>
        <w:tc>
          <w:tcPr>
            <w:tcW w:w="2320" w:type="dxa"/>
            <w:vAlign w:val="bottom"/>
            <w:gridSpan w:val="17"/>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333-231428</w:t>
            </w: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6/10/2019</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Amended and Restated Stockholders Agreement by and among Grocery Outlet Holding Corp. and the</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3/25/2020</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other parties named therein</w:t>
              </w:r>
            </w:hyperlink>
          </w:p>
        </w:tc>
        <w:tc>
          <w:tcPr>
            <w:tcW w:w="438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Description of Grocery Outlet Holding Corp.'s Securities</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3/1/2023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4.3</w:t>
            </w:r>
          </w:p>
        </w:tc>
        <w:tc>
          <w:tcPr>
            <w:tcW w:w="0" w:type="dxa"/>
            <w:vAlign w:val="bottom"/>
          </w:tcPr>
          <w:p>
            <w:pPr>
              <w:spacing w:after="0"/>
              <w:rPr>
                <w:sz w:val="1"/>
                <w:szCs w:val="1"/>
                <w:color w:val="auto"/>
              </w:rPr>
            </w:pPr>
          </w:p>
        </w:tc>
      </w:tr>
      <w:tr>
        <w:trPr>
          <w:trHeight w:val="17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Globe Holding Corp. 2014 Stock Incentive Plan</w:t>
              </w:r>
            </w:hyperlink>
          </w:p>
        </w:tc>
        <w:tc>
          <w:tcPr>
            <w:tcW w:w="500" w:type="dxa"/>
            <w:vAlign w:val="bottom"/>
            <w:tcBorders>
              <w:top w:val="single" w:sz="8" w:color="0000FF"/>
            </w:tcBorders>
            <w:gridSpan w:val="2"/>
          </w:tcPr>
          <w:p>
            <w:pPr>
              <w:spacing w:after="0"/>
              <w:rPr>
                <w:sz w:val="14"/>
                <w:szCs w:val="14"/>
                <w:color w:val="auto"/>
              </w:rPr>
            </w:pPr>
          </w:p>
        </w:tc>
        <w:tc>
          <w:tcPr>
            <w:tcW w:w="2760" w:type="dxa"/>
            <w:vAlign w:val="bottom"/>
            <w:gridSpan w:val="18"/>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333-231428</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5/22/2019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0" w:type="dxa"/>
            <w:vAlign w:val="bottom"/>
          </w:tcPr>
          <w:p>
            <w:pPr>
              <w:spacing w:after="0"/>
              <w:rPr>
                <w:sz w:val="1"/>
                <w:szCs w:val="1"/>
                <w:color w:val="auto"/>
              </w:rPr>
            </w:pPr>
          </w:p>
        </w:tc>
      </w:tr>
      <w:tr>
        <w:trPr>
          <w:trHeight w:val="16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3"/>
                <w:szCs w:val="13"/>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Amended and Restated Time Vesting Stock Option Grant Notice and Agreement (Globe Holding</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333-231428</w:t>
            </w: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5/22/2019</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0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Corp. 2014 Stock Incentive Plan) (Eric J. Lindberg, Jr.), dated October 21, 2014</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4"/>
                <w:szCs w:val="14"/>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Form of Performance Vesting Stock Option Grant Notice and Agreement (Globe Holding Corp. 2014</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333-231428</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5/22/2019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Stock Incentive Plan) (Charles C. Bracher, Robert J. Sheedy, Jr., Steven K. Wilson)</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4"/>
                <w:szCs w:val="14"/>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Form of Time Vesting Stock Option Grant Notice and Agreement (Globe Holding Corp. 2014 Stock</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333-231428</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5/22/2019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6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Incentive Plan) (Charles C. Bracher, Robert J. Sheedy, Jr., Steven K. Wilson)</w:t>
              </w:r>
            </w:hyperlink>
          </w:p>
        </w:tc>
        <w:tc>
          <w:tcPr>
            <w:tcW w:w="150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4"/>
                <w:szCs w:val="14"/>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Grocery Outlet Holding Corp. 2019 Incentive Plan</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333-231428</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6/10/2019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13"/>
                <w:szCs w:val="13"/>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Form of Nonqualified Option Grant and Award Agreement (Grocery Outlet Holding Corp. 2019</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S-1/A</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333-231428</w:t>
            </w: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6/10/2019</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Incentive Plan)</w:t>
              </w:r>
            </w:hyperlink>
          </w:p>
        </w:tc>
        <w:tc>
          <w:tcPr>
            <w:tcW w:w="5000" w:type="dxa"/>
            <w:vAlign w:val="bottom"/>
            <w:tcBorders>
              <w:top w:val="single" w:sz="8" w:color="0000FF"/>
            </w:tcBorders>
            <w:gridSpan w:val="2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4"/>
                <w:szCs w:val="14"/>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2021 Form of Restricted Stock Unit Grant and Agreement (Grocery Outlet Holding Corp. 2019 Stock</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3/2/2021</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Incentive Plan)</w:t>
              </w:r>
            </w:hyperlink>
          </w:p>
        </w:tc>
        <w:tc>
          <w:tcPr>
            <w:tcW w:w="5080" w:type="dxa"/>
            <w:vAlign w:val="bottom"/>
            <w:tcBorders>
              <w:top w:val="single" w:sz="8" w:color="0000FF"/>
            </w:tcBorders>
            <w:gridSpan w:val="26"/>
          </w:tcPr>
          <w:p>
            <w:pPr>
              <w:spacing w:after="0"/>
              <w:rPr>
                <w:sz w:val="10"/>
                <w:szCs w:val="10"/>
                <w:color w:val="auto"/>
              </w:rPr>
            </w:pPr>
          </w:p>
        </w:tc>
        <w:tc>
          <w:tcPr>
            <w:tcW w:w="4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4"/>
                <w:szCs w:val="14"/>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2021 Form of Performance Stock Unit Grant and Agreement (Grocery Outlet Holding Corp. 2019</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3/2/2021</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Stock Incentive Plan)</w:t>
              </w:r>
            </w:hyperlink>
          </w:p>
        </w:tc>
        <w:tc>
          <w:tcPr>
            <w:tcW w:w="4600" w:type="dxa"/>
            <w:vAlign w:val="bottom"/>
            <w:tcBorders>
              <w:top w:val="single" w:sz="8" w:color="0000FF"/>
            </w:tcBorders>
            <w:gridSpan w:val="18"/>
          </w:tcPr>
          <w:p>
            <w:pPr>
              <w:spacing w:after="0"/>
              <w:rPr>
                <w:sz w:val="10"/>
                <w:szCs w:val="10"/>
                <w:color w:val="auto"/>
              </w:rPr>
            </w:pPr>
          </w:p>
        </w:tc>
        <w:tc>
          <w:tcPr>
            <w:tcW w:w="140" w:type="dxa"/>
            <w:vAlign w:val="bottom"/>
            <w:gridSpan w:val="7"/>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14"/>
                <w:szCs w:val="14"/>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Form of Performance Stock Unit Grant and Agreement (Grocery Outlet Holding Corp. 2019 Stock</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3/2/2022</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Incentive Plan) (effective October 2021)</w:t>
              </w:r>
            </w:hyperlink>
          </w:p>
        </w:tc>
        <w:tc>
          <w:tcPr>
            <w:tcW w:w="3280" w:type="dxa"/>
            <w:vAlign w:val="bottom"/>
            <w:tcBorders>
              <w:top w:val="single" w:sz="8" w:color="0000FF"/>
            </w:tcBorders>
            <w:gridSpan w:val="12"/>
          </w:tcPr>
          <w:p>
            <w:pPr>
              <w:spacing w:after="0"/>
              <w:rPr>
                <w:sz w:val="12"/>
                <w:szCs w:val="12"/>
                <w:color w:val="auto"/>
              </w:rPr>
            </w:pPr>
          </w:p>
        </w:tc>
        <w:tc>
          <w:tcPr>
            <w:tcW w:w="400" w:type="dxa"/>
            <w:vAlign w:val="bottom"/>
            <w:gridSpan w:val="10"/>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10.10†</w:t>
            </w:r>
          </w:p>
        </w:tc>
        <w:tc>
          <w:tcPr>
            <w:tcW w:w="20" w:type="dxa"/>
            <w:vAlign w:val="bottom"/>
          </w:tcPr>
          <w:p>
            <w:pPr>
              <w:spacing w:after="0"/>
              <w:rPr>
                <w:sz w:val="15"/>
                <w:szCs w:val="15"/>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Form of Restricted Stock Unit Grant and Agreement (Grocery Outlet Holding Corp. 2019 Stock</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3/2/2022</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4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Incentive Plan) (effective October 2021)</w:t>
              </w:r>
            </w:hyperlink>
          </w:p>
        </w:tc>
        <w:tc>
          <w:tcPr>
            <w:tcW w:w="540" w:type="dxa"/>
            <w:vAlign w:val="bottom"/>
            <w:gridSpan w:val="11"/>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700" w:type="dxa"/>
            <w:vAlign w:val="bottom"/>
            <w:gridSpan w:val="2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10.11†</w:t>
            </w:r>
          </w:p>
        </w:tc>
        <w:tc>
          <w:tcPr>
            <w:tcW w:w="20" w:type="dxa"/>
            <w:vAlign w:val="bottom"/>
          </w:tcPr>
          <w:p>
            <w:pPr>
              <w:spacing w:after="0"/>
              <w:rPr>
                <w:sz w:val="14"/>
                <w:szCs w:val="14"/>
                <w:color w:val="auto"/>
              </w:rPr>
            </w:pPr>
          </w:p>
        </w:tc>
        <w:tc>
          <w:tcPr>
            <w:tcW w:w="5980" w:type="dxa"/>
            <w:vAlign w:val="bottom"/>
            <w:gridSpan w:val="29"/>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2023 Form of Performance Stock Unit Grant and Agreement (Grocery Outlet Holding Corp. 2019</w:t>
              </w:r>
            </w:hyperlink>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5/10/2023</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10.8</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Stock Incentive Plan)</w:t>
              </w:r>
            </w:hyperlink>
          </w:p>
        </w:tc>
        <w:tc>
          <w:tcPr>
            <w:tcW w:w="4620" w:type="dxa"/>
            <w:vAlign w:val="bottom"/>
            <w:tcBorders>
              <w:top w:val="single" w:sz="8" w:color="0000FF"/>
            </w:tcBorders>
            <w:gridSpan w:val="19"/>
          </w:tcPr>
          <w:p>
            <w:pPr>
              <w:spacing w:after="0"/>
              <w:rPr>
                <w:sz w:val="10"/>
                <w:szCs w:val="10"/>
                <w:color w:val="auto"/>
              </w:rPr>
            </w:pPr>
          </w:p>
        </w:tc>
        <w:tc>
          <w:tcPr>
            <w:tcW w:w="140" w:type="dxa"/>
            <w:vAlign w:val="bottom"/>
            <w:gridSpan w:val="7"/>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8"/>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18"/>
          </w:tcPr>
          <w:p>
            <w:pPr>
              <w:jc w:val="right"/>
              <w:ind w:right="140"/>
              <w:spacing w:after="0"/>
              <w:rPr>
                <w:sz w:val="20"/>
                <w:szCs w:val="20"/>
                <w:color w:val="auto"/>
              </w:rPr>
            </w:pPr>
            <w:r>
              <w:rPr>
                <w:rFonts w:ascii="Times New Roman" w:cs="Times New Roman" w:eastAsia="Times New Roman" w:hAnsi="Times New Roman"/>
                <w:sz w:val="14"/>
                <w:szCs w:val="14"/>
                <w:color w:val="auto"/>
              </w:rPr>
              <w:t>102</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818"/>
        </w:trPr>
        <w:tc>
          <w:tcPr>
            <w:tcW w:w="1000" w:type="dxa"/>
            <w:vAlign w:val="bottom"/>
            <w:tcBorders>
              <w:top w:val="single" w:sz="8" w:color="0000FF"/>
            </w:tcBorders>
          </w:tcPr>
          <w:p>
            <w:pPr>
              <w:jc w:val="center"/>
              <w:ind w:left="29"/>
              <w:spacing w:after="0"/>
              <w:rPr>
                <w:sz w:val="20"/>
                <w:szCs w:val="20"/>
                <w:color w:val="auto"/>
              </w:rPr>
            </w:pPr>
            <w:r>
              <w:rPr>
                <w:rFonts w:ascii="Times New Roman" w:cs="Times New Roman" w:eastAsia="Times New Roman" w:hAnsi="Times New Roman"/>
                <w:sz w:val="14"/>
                <w:szCs w:val="14"/>
                <w:color w:val="auto"/>
                <w:w w:val="98"/>
              </w:rPr>
              <w:t>10.12†</w:t>
            </w:r>
          </w:p>
        </w:tc>
        <w:tc>
          <w:tcPr>
            <w:tcW w:w="200" w:type="dxa"/>
            <w:vAlign w:val="bottom"/>
          </w:tcPr>
          <w:p>
            <w:pPr>
              <w:spacing w:after="0"/>
              <w:rPr>
                <w:sz w:val="24"/>
                <w:szCs w:val="24"/>
                <w:color w:val="auto"/>
              </w:rPr>
            </w:pPr>
          </w:p>
        </w:tc>
        <w:tc>
          <w:tcPr>
            <w:tcW w:w="6100" w:type="dxa"/>
            <w:vAlign w:val="bottom"/>
            <w:gridSpan w:val="35"/>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2024 Form of Performance Stock Unit Grant and Agreement (Grocery Outlet Holding Corp. 2019</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Stock Incentive Plan)</w:t>
              </w:r>
            </w:hyperlink>
          </w:p>
        </w:tc>
        <w:tc>
          <w:tcPr>
            <w:tcW w:w="466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10.13†</w:t>
            </w:r>
          </w:p>
        </w:tc>
        <w:tc>
          <w:tcPr>
            <w:tcW w:w="6100" w:type="dxa"/>
            <w:vAlign w:val="bottom"/>
            <w:gridSpan w:val="35"/>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Form of Restricted Stock Unit Grant Notice and Agreement (Grocery Outlet Holding Corp. 2019</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2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Incentive Plan) (Interim CEO)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10.14†</w:t>
            </w:r>
          </w:p>
        </w:tc>
        <w:tc>
          <w:tcPr>
            <w:tcW w:w="6100" w:type="dxa"/>
            <w:vAlign w:val="bottom"/>
            <w:gridSpan w:val="35"/>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Restricted Stock Unit Grant and Agreement (Grocery Outlet Holding Corp. 2019 Stock Incentive</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Plan) (Form for Mr. Sheedy)</w:t>
              </w:r>
            </w:hyperlink>
          </w:p>
        </w:tc>
        <w:tc>
          <w:tcPr>
            <w:tcW w:w="4240" w:type="dxa"/>
            <w:vAlign w:val="bottom"/>
            <w:tcBorders>
              <w:top w:val="single" w:sz="8" w:color="0000FF"/>
            </w:tcBorders>
            <w:gridSpan w:val="19"/>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10.15†</w:t>
            </w:r>
          </w:p>
        </w:tc>
        <w:tc>
          <w:tcPr>
            <w:tcW w:w="6100" w:type="dxa"/>
            <w:vAlign w:val="bottom"/>
            <w:gridSpan w:val="35"/>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Form of Restricted Stock Unit Grant and Agreement for Non-Employee Directors (Grocery Outlet</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2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Holding Corp. 2019 Stock Incentive Plan) (effective June 2023)</w:t>
              </w:r>
            </w:hyperlink>
          </w:p>
        </w:tc>
        <w:tc>
          <w:tcPr>
            <w:tcW w:w="232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10.16†</w:t>
            </w:r>
          </w:p>
        </w:tc>
        <w:tc>
          <w:tcPr>
            <w:tcW w:w="6100" w:type="dxa"/>
            <w:vAlign w:val="bottom"/>
            <w:gridSpan w:val="35"/>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Non-Employee Director Compensation Policy (as amended November 2, 2022 and as effective</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94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January 1,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10.17†</w:t>
            </w:r>
          </w:p>
        </w:tc>
        <w:tc>
          <w:tcPr>
            <w:tcW w:w="6100" w:type="dxa"/>
            <w:vAlign w:val="bottom"/>
            <w:gridSpan w:val="35"/>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Non-Employee Director Compensation Policy (as amended June 3, 2024)</w:t>
              </w:r>
            </w:hyperlink>
          </w:p>
        </w:tc>
      </w:tr>
      <w:tr>
        <w:trPr>
          <w:trHeight w:val="16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10.18†</w:t>
            </w:r>
          </w:p>
        </w:tc>
        <w:tc>
          <w:tcPr>
            <w:tcW w:w="306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Grocery Outlet Holding Corp. Directors Deferral Plan</w:t>
              </w:r>
            </w:hyperlink>
          </w:p>
        </w:tc>
        <w:tc>
          <w:tcPr>
            <w:tcW w:w="1100" w:type="dxa"/>
            <w:vAlign w:val="bottom"/>
            <w:tcBorders>
              <w:top w:val="single" w:sz="8" w:color="0000FF"/>
            </w:tcBorders>
            <w:gridSpan w:val="5"/>
          </w:tcPr>
          <w:p>
            <w:pPr>
              <w:spacing w:after="0"/>
              <w:rPr>
                <w:sz w:val="13"/>
                <w:szCs w:val="13"/>
                <w:color w:val="auto"/>
              </w:rPr>
            </w:pPr>
          </w:p>
        </w:tc>
        <w:tc>
          <w:tcPr>
            <w:tcW w:w="1940" w:type="dxa"/>
            <w:vAlign w:val="bottom"/>
            <w:gridSpan w:val="17"/>
          </w:tcPr>
          <w:p>
            <w:pPr>
              <w:spacing w:after="0"/>
              <w:rPr>
                <w:sz w:val="13"/>
                <w:szCs w:val="13"/>
                <w:color w:val="auto"/>
              </w:rPr>
            </w:pPr>
          </w:p>
        </w:tc>
      </w:tr>
      <w:tr>
        <w:trPr>
          <w:trHeight w:val="16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10.19†</w:t>
            </w:r>
          </w:p>
        </w:tc>
        <w:tc>
          <w:tcPr>
            <w:tcW w:w="6100" w:type="dxa"/>
            <w:vAlign w:val="bottom"/>
            <w:gridSpan w:val="35"/>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Grocery Outlet Holding Corp. Executive Severance Plan</w:t>
              </w:r>
            </w:hyperlink>
          </w:p>
        </w:tc>
      </w:tr>
      <w:tr>
        <w:trPr>
          <w:trHeight w:val="20"/>
        </w:trPr>
        <w:tc>
          <w:tcPr>
            <w:tcW w:w="12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10.20†</w:t>
            </w:r>
          </w:p>
        </w:tc>
        <w:tc>
          <w:tcPr>
            <w:tcW w:w="6100" w:type="dxa"/>
            <w:vAlign w:val="bottom"/>
            <w:gridSpan w:val="35"/>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Grocery Outlet Inc. 2019 Annual Incentive Plan (Amended and Restated Effective August 24, 2023)</w:t>
              </w:r>
            </w:hyperlink>
          </w:p>
        </w:tc>
      </w:tr>
      <w:tr>
        <w:trPr>
          <w:trHeight w:val="20"/>
        </w:trPr>
        <w:tc>
          <w:tcPr>
            <w:tcW w:w="12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10.21†</w:t>
            </w:r>
          </w:p>
        </w:tc>
        <w:tc>
          <w:tcPr>
            <w:tcW w:w="6100" w:type="dxa"/>
            <w:vAlign w:val="bottom"/>
            <w:gridSpan w:val="35"/>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Employment Agreement, effective January 1, 2023, by and among Robert J. Sheedy, Jr., Grocery</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Outlet Inc. and Grocery Outlet Holding Corp.</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10.22†</w:t>
            </w:r>
          </w:p>
        </w:tc>
        <w:tc>
          <w:tcPr>
            <w:tcW w:w="6100" w:type="dxa"/>
            <w:vAlign w:val="bottom"/>
            <w:gridSpan w:val="35"/>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Consulting Agreement, dated February 29, 2024, by and between Charles C. Bracher and Grocery</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98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Outlet Inc.</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10.23†</w:t>
            </w:r>
          </w:p>
        </w:tc>
        <w:tc>
          <w:tcPr>
            <w:tcW w:w="6100" w:type="dxa"/>
            <w:vAlign w:val="bottom"/>
            <w:gridSpan w:val="35"/>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Amendment to Consulting Agreement, dated as of September 1, 2024, by and between Charles C.</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96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Bracher and Grocery Outlet Inc.</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00" w:type="dxa"/>
            <w:vAlign w:val="bottom"/>
            <w:gridSpan w:val="2"/>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10.24†</w:t>
            </w:r>
          </w:p>
        </w:tc>
        <w:tc>
          <w:tcPr>
            <w:tcW w:w="6100" w:type="dxa"/>
            <w:vAlign w:val="bottom"/>
            <w:gridSpan w:val="35"/>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Interim Chief Executive Officer Agreement, dated October 29, 2024, by and between Eric J.</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80" w:type="dxa"/>
            <w:vAlign w:val="bottom"/>
            <w:tcBorders>
              <w:top w:val="single" w:sz="8" w:color="0000FF"/>
            </w:tcBorders>
            <w:gridSpan w:val="34"/>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Lindberg, Jr., Grocery Outlet Holding Corp. and Grocery Outlet Inc.</w:t>
              </w:r>
            </w:hyperlink>
          </w:p>
        </w:tc>
        <w:tc>
          <w:tcPr>
            <w:tcW w:w="20" w:type="dxa"/>
            <w:vAlign w:val="bottom"/>
          </w:tcPr>
          <w:p>
            <w:pPr>
              <w:spacing w:after="0"/>
              <w:rPr>
                <w:sz w:val="10"/>
                <w:szCs w:val="10"/>
                <w:color w:val="auto"/>
              </w:rPr>
            </w:pPr>
          </w:p>
        </w:tc>
      </w:tr>
      <w:tr>
        <w:trPr>
          <w:trHeight w:val="20"/>
        </w:trPr>
        <w:tc>
          <w:tcPr>
            <w:tcW w:w="1200" w:type="dxa"/>
            <w:vAlign w:val="bottom"/>
            <w:gridSpan w:val="2"/>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10.25†</w:t>
            </w:r>
          </w:p>
        </w:tc>
        <w:tc>
          <w:tcPr>
            <w:tcW w:w="6100" w:type="dxa"/>
            <w:vAlign w:val="bottom"/>
            <w:gridSpan w:val="35"/>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Form of Indemnification Agreement between Grocery Outlet Holding Corp. and directors and</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0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executive officers of Grocery Outlet Holding Corp.</w:t>
              </w:r>
            </w:hyperlink>
          </w:p>
        </w:tc>
        <w:tc>
          <w:tcPr>
            <w:tcW w:w="312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71"/>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10.26</w:t>
            </w:r>
          </w:p>
        </w:tc>
        <w:tc>
          <w:tcPr>
            <w:tcW w:w="200" w:type="dxa"/>
            <w:vAlign w:val="bottom"/>
          </w:tcPr>
          <w:p>
            <w:pPr>
              <w:spacing w:after="0"/>
              <w:rPr>
                <w:sz w:val="14"/>
                <w:szCs w:val="14"/>
                <w:color w:val="auto"/>
              </w:rPr>
            </w:pPr>
          </w:p>
        </w:tc>
        <w:tc>
          <w:tcPr>
            <w:tcW w:w="6100" w:type="dxa"/>
            <w:vAlign w:val="bottom"/>
            <w:gridSpan w:val="35"/>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Credit Agreement, dated as of February 21, 2023, by and among Grocery Outlet Holding Corp., the</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92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Lenders and Letter of Credit Issuers from time to time party thereto, and Bank of America, N.A., as</w:t>
              </w:r>
            </w:hyperlink>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29"/>
        </w:trPr>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40" w:type="dxa"/>
            <w:vAlign w:val="bottom"/>
            <w:tcBorders>
              <w:top w:val="single" w:sz="8" w:color="0000FF"/>
              <w:bottom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the Administrative Agent, Collateral Agent and Swingline Lender., the Lenders and Letter of Credit</w:t>
              </w:r>
            </w:hyperlink>
          </w:p>
        </w:tc>
        <w:tc>
          <w:tcPr>
            <w:tcW w:w="60" w:type="dxa"/>
            <w:vAlign w:val="bottom"/>
            <w:tcBorders>
              <w:bottom w:val="single" w:sz="8" w:color="0000FF"/>
            </w:tcBorders>
            <w:gridSpan w:val="3"/>
          </w:tcPr>
          <w:p>
            <w:pPr>
              <w:spacing w:after="0"/>
              <w:rPr>
                <w:sz w:val="11"/>
                <w:szCs w:val="11"/>
                <w:color w:val="auto"/>
              </w:rPr>
            </w:pPr>
          </w:p>
        </w:tc>
        <w:tc>
          <w:tcPr>
            <w:tcW w:w="140" w:type="dxa"/>
            <w:vAlign w:val="bottom"/>
            <w:tcBorders>
              <w:bottom w:val="single" w:sz="8" w:color="0000FF"/>
            </w:tcBorders>
            <w:gridSpan w:val="7"/>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60" w:type="dxa"/>
            <w:vAlign w:val="bottom"/>
            <w:gridSpan w:val="33"/>
          </w:tcPr>
          <w:p>
            <w:pPr>
              <w:spacing w:after="0" w:line="118"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Issuers from time to time party thereto, and Bank of America, N.A., as the Administrative Agent,</w:t>
              </w:r>
            </w:hyperlink>
          </w:p>
        </w:tc>
        <w:tc>
          <w:tcPr>
            <w:tcW w:w="40" w:type="dxa"/>
            <w:vAlign w:val="bottom"/>
            <w:gridSpan w:val="2"/>
          </w:tcPr>
          <w:p>
            <w:pPr>
              <w:spacing w:after="0"/>
              <w:rPr>
                <w:sz w:val="10"/>
                <w:szCs w:val="10"/>
                <w:color w:val="auto"/>
              </w:rPr>
            </w:pPr>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6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Collateral Agent and Swingline Lender.</w:t>
              </w:r>
            </w:hyperlink>
          </w:p>
        </w:tc>
        <w:tc>
          <w:tcPr>
            <w:tcW w:w="40" w:type="dxa"/>
            <w:vAlign w:val="bottom"/>
            <w:gridSpan w:val="2"/>
          </w:tcPr>
          <w:p>
            <w:pPr>
              <w:spacing w:after="0"/>
              <w:rPr>
                <w:sz w:val="10"/>
                <w:szCs w:val="10"/>
                <w:color w:val="auto"/>
              </w:rPr>
            </w:pPr>
          </w:p>
        </w:tc>
        <w:tc>
          <w:tcPr>
            <w:tcW w:w="140" w:type="dxa"/>
            <w:vAlign w:val="bottom"/>
            <w:gridSpan w:val="7"/>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71"/>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10.27</w:t>
            </w:r>
          </w:p>
        </w:tc>
        <w:tc>
          <w:tcPr>
            <w:tcW w:w="200" w:type="dxa"/>
            <w:vAlign w:val="bottom"/>
          </w:tcPr>
          <w:p>
            <w:pPr>
              <w:spacing w:after="0"/>
              <w:rPr>
                <w:sz w:val="14"/>
                <w:szCs w:val="14"/>
                <w:color w:val="auto"/>
              </w:rPr>
            </w:pPr>
          </w:p>
        </w:tc>
        <w:tc>
          <w:tcPr>
            <w:tcW w:w="6100" w:type="dxa"/>
            <w:vAlign w:val="bottom"/>
            <w:gridSpan w:val="35"/>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Pledge and Security Agreement, dated as of February 21, 2023, among Grocery Outlet Holding Corp.,</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4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the subsidiaries of Grocery Outlet Holding Corp. from time to time party thereto and Bank of</w:t>
              </w:r>
            </w:hyperlink>
          </w:p>
        </w:tc>
        <w:tc>
          <w:tcPr>
            <w:tcW w:w="60" w:type="dxa"/>
            <w:vAlign w:val="bottom"/>
            <w:gridSpan w:val="3"/>
          </w:tcPr>
          <w:p>
            <w:pPr>
              <w:spacing w:after="0"/>
              <w:rPr>
                <w:sz w:val="10"/>
                <w:szCs w:val="10"/>
                <w:color w:val="auto"/>
              </w:rPr>
            </w:pPr>
          </w:p>
        </w:tc>
      </w:tr>
      <w:tr>
        <w:trPr>
          <w:trHeight w:val="129"/>
        </w:trPr>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America, N.A., as Collateral Agent</w:t>
              </w:r>
            </w:hyperlink>
          </w:p>
        </w:tc>
        <w:tc>
          <w:tcPr>
            <w:tcW w:w="3820" w:type="dxa"/>
            <w:vAlign w:val="bottom"/>
            <w:tcBorders>
              <w:top w:val="single" w:sz="8" w:color="0000FF"/>
            </w:tcBorders>
            <w:gridSpan w:val="14"/>
          </w:tcPr>
          <w:p>
            <w:pPr>
              <w:spacing w:after="0"/>
              <w:rPr>
                <w:sz w:val="11"/>
                <w:szCs w:val="11"/>
                <w:color w:val="auto"/>
              </w:rPr>
            </w:pPr>
          </w:p>
        </w:tc>
        <w:tc>
          <w:tcPr>
            <w:tcW w:w="80" w:type="dxa"/>
            <w:vAlign w:val="bottom"/>
            <w:gridSpan w:val="4"/>
          </w:tcPr>
          <w:p>
            <w:pPr>
              <w:spacing w:after="0"/>
              <w:rPr>
                <w:sz w:val="11"/>
                <w:szCs w:val="11"/>
                <w:color w:val="auto"/>
              </w:rPr>
            </w:pPr>
          </w:p>
        </w:tc>
        <w:tc>
          <w:tcPr>
            <w:tcW w:w="200" w:type="dxa"/>
            <w:vAlign w:val="bottom"/>
            <w:gridSpan w:val="10"/>
          </w:tcPr>
          <w:p>
            <w:pPr>
              <w:spacing w:after="0"/>
              <w:rPr>
                <w:sz w:val="11"/>
                <w:szCs w:val="11"/>
                <w:color w:val="auto"/>
              </w:rPr>
            </w:pPr>
          </w:p>
        </w:tc>
      </w:tr>
      <w:tr>
        <w:trPr>
          <w:trHeight w:val="160"/>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10.28</w:t>
            </w:r>
          </w:p>
        </w:tc>
        <w:tc>
          <w:tcPr>
            <w:tcW w:w="200" w:type="dxa"/>
            <w:vAlign w:val="bottom"/>
          </w:tcPr>
          <w:p>
            <w:pPr>
              <w:spacing w:after="0"/>
              <w:rPr>
                <w:sz w:val="13"/>
                <w:szCs w:val="13"/>
                <w:color w:val="auto"/>
              </w:rPr>
            </w:pPr>
          </w:p>
        </w:tc>
        <w:tc>
          <w:tcPr>
            <w:tcW w:w="6100" w:type="dxa"/>
            <w:vAlign w:val="bottom"/>
            <w:gridSpan w:val="35"/>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Copyright Security Agreement, dated as of February 21, 2023, among Grocery Outlet Inc. and Bank</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2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of America, N.A., as Collateral Agent</w:t>
              </w:r>
            </w:hyperlink>
          </w:p>
        </w:tc>
        <w:tc>
          <w:tcPr>
            <w:tcW w:w="80" w:type="dxa"/>
            <w:vAlign w:val="bottom"/>
            <w:gridSpan w:val="4"/>
          </w:tcPr>
          <w:p>
            <w:pPr>
              <w:spacing w:after="0"/>
              <w:rPr>
                <w:sz w:val="10"/>
                <w:szCs w:val="10"/>
                <w:color w:val="auto"/>
              </w:rPr>
            </w:pPr>
          </w:p>
        </w:tc>
        <w:tc>
          <w:tcPr>
            <w:tcW w:w="200" w:type="dxa"/>
            <w:vAlign w:val="bottom"/>
            <w:gridSpan w:val="10"/>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171"/>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10.29</w:t>
            </w:r>
          </w:p>
        </w:tc>
        <w:tc>
          <w:tcPr>
            <w:tcW w:w="200" w:type="dxa"/>
            <w:vAlign w:val="bottom"/>
          </w:tcPr>
          <w:p>
            <w:pPr>
              <w:spacing w:after="0"/>
              <w:rPr>
                <w:sz w:val="14"/>
                <w:szCs w:val="14"/>
                <w:color w:val="auto"/>
              </w:rPr>
            </w:pPr>
          </w:p>
        </w:tc>
        <w:tc>
          <w:tcPr>
            <w:tcW w:w="6100" w:type="dxa"/>
            <w:vAlign w:val="bottom"/>
            <w:gridSpan w:val="35"/>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Trademark Security Agreement, dated as of February 21, 2023, among Grocery Outlet Inc. and Bank</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of America, N.A., as Collateral Agent</w:t>
              </w:r>
            </w:hyperlink>
          </w:p>
        </w:tc>
        <w:tc>
          <w:tcPr>
            <w:tcW w:w="100" w:type="dxa"/>
            <w:vAlign w:val="bottom"/>
            <w:gridSpan w:val="5"/>
          </w:tcPr>
          <w:p>
            <w:pPr>
              <w:spacing w:after="0"/>
              <w:rPr>
                <w:sz w:val="10"/>
                <w:szCs w:val="10"/>
                <w:color w:val="auto"/>
              </w:rPr>
            </w:pPr>
          </w:p>
        </w:tc>
        <w:tc>
          <w:tcPr>
            <w:tcW w:w="200" w:type="dxa"/>
            <w:vAlign w:val="bottom"/>
            <w:gridSpan w:val="10"/>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171"/>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10.30</w:t>
            </w:r>
          </w:p>
        </w:tc>
        <w:tc>
          <w:tcPr>
            <w:tcW w:w="200" w:type="dxa"/>
            <w:vAlign w:val="bottom"/>
          </w:tcPr>
          <w:p>
            <w:pPr>
              <w:spacing w:after="0"/>
              <w:rPr>
                <w:sz w:val="14"/>
                <w:szCs w:val="14"/>
                <w:color w:val="auto"/>
              </w:rPr>
            </w:pPr>
          </w:p>
        </w:tc>
        <w:tc>
          <w:tcPr>
            <w:tcW w:w="6100" w:type="dxa"/>
            <w:vAlign w:val="bottom"/>
            <w:gridSpan w:val="35"/>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Guarantee, dated as of February 21, 2023, among Grocery Outlet Holding Corp., the subsidiaries of</w:t>
              </w:r>
            </w:hyperlink>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2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Grocery Outlet Holding Corp. from time to time party thereto and Bank of America, N.A., as</w:t>
              </w:r>
            </w:hyperlink>
          </w:p>
        </w:tc>
        <w:tc>
          <w:tcPr>
            <w:tcW w:w="80" w:type="dxa"/>
            <w:vAlign w:val="bottom"/>
            <w:gridSpan w:val="4"/>
          </w:tcPr>
          <w:p>
            <w:pPr>
              <w:spacing w:after="0"/>
              <w:rPr>
                <w:sz w:val="10"/>
                <w:szCs w:val="10"/>
                <w:color w:val="auto"/>
              </w:rPr>
            </w:pPr>
          </w:p>
        </w:tc>
      </w:tr>
      <w:tr>
        <w:trPr>
          <w:trHeight w:val="129"/>
        </w:trPr>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Administrative Agent and Collateral Agent</w:t>
              </w:r>
            </w:hyperlink>
          </w:p>
        </w:tc>
        <w:tc>
          <w:tcPr>
            <w:tcW w:w="3460" w:type="dxa"/>
            <w:vAlign w:val="bottom"/>
            <w:tcBorders>
              <w:top w:val="single" w:sz="8" w:color="0000FF"/>
            </w:tcBorders>
            <w:gridSpan w:val="15"/>
          </w:tcPr>
          <w:p>
            <w:pPr>
              <w:spacing w:after="0"/>
              <w:rPr>
                <w:sz w:val="11"/>
                <w:szCs w:val="11"/>
                <w:color w:val="auto"/>
              </w:rPr>
            </w:pPr>
          </w:p>
        </w:tc>
        <w:tc>
          <w:tcPr>
            <w:tcW w:w="200" w:type="dxa"/>
            <w:vAlign w:val="bottom"/>
            <w:gridSpan w:val="10"/>
          </w:tcPr>
          <w:p>
            <w:pPr>
              <w:spacing w:after="0"/>
              <w:rPr>
                <w:sz w:val="11"/>
                <w:szCs w:val="11"/>
                <w:color w:val="auto"/>
              </w:rPr>
            </w:pPr>
          </w:p>
        </w:tc>
      </w:tr>
      <w:tr>
        <w:trPr>
          <w:trHeight w:val="160"/>
        </w:trPr>
        <w:tc>
          <w:tcPr>
            <w:tcW w:w="10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Pr>
          <w:p>
            <w:pPr>
              <w:spacing w:after="0"/>
              <w:rPr>
                <w:sz w:val="13"/>
                <w:szCs w:val="13"/>
                <w:color w:val="auto"/>
              </w:rPr>
            </w:pPr>
          </w:p>
        </w:tc>
        <w:tc>
          <w:tcPr>
            <w:tcW w:w="3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Grocery Outlet Securities Trading Policy (Revised August 24, 2023)</w:t>
            </w:r>
          </w:p>
        </w:tc>
        <w:tc>
          <w:tcPr>
            <w:tcW w:w="2220" w:type="dxa"/>
            <w:vAlign w:val="bottom"/>
            <w:gridSpan w:val="18"/>
          </w:tcPr>
          <w:p>
            <w:pPr>
              <w:spacing w:after="0"/>
              <w:rPr>
                <w:sz w:val="13"/>
                <w:szCs w:val="13"/>
                <w:color w:val="auto"/>
              </w:rPr>
            </w:pPr>
          </w:p>
        </w:tc>
      </w:tr>
      <w:tr>
        <w:trPr>
          <w:trHeight w:val="160"/>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21.1*</w:t>
            </w:r>
          </w:p>
        </w:tc>
        <w:tc>
          <w:tcPr>
            <w:tcW w:w="200" w:type="dxa"/>
            <w:vAlign w:val="bottom"/>
          </w:tcPr>
          <w:p>
            <w:pPr>
              <w:spacing w:after="0"/>
              <w:rPr>
                <w:sz w:val="13"/>
                <w:szCs w:val="13"/>
                <w:color w:val="auto"/>
              </w:rPr>
            </w:pPr>
          </w:p>
        </w:tc>
        <w:tc>
          <w:tcPr>
            <w:tcW w:w="6100" w:type="dxa"/>
            <w:vAlign w:val="bottom"/>
            <w:gridSpan w:val="35"/>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960" w:type="dxa"/>
            <w:vAlign w:val="bottom"/>
            <w:gridSpan w:val="27"/>
          </w:tcPr>
          <w:p>
            <w:pPr>
              <w:spacing w:after="0" w:line="20" w:lineRule="exact"/>
              <w:rPr>
                <w:sz w:val="1"/>
                <w:szCs w:val="1"/>
                <w:color w:val="auto"/>
              </w:rPr>
            </w:pPr>
          </w:p>
        </w:tc>
      </w:tr>
      <w:tr>
        <w:trPr>
          <w:trHeight w:val="160"/>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23.1*</w:t>
            </w:r>
          </w:p>
        </w:tc>
        <w:tc>
          <w:tcPr>
            <w:tcW w:w="200" w:type="dxa"/>
            <w:vAlign w:val="bottom"/>
          </w:tcPr>
          <w:p>
            <w:pPr>
              <w:spacing w:after="0"/>
              <w:rPr>
                <w:sz w:val="13"/>
                <w:szCs w:val="13"/>
                <w:color w:val="auto"/>
              </w:rPr>
            </w:pPr>
          </w:p>
        </w:tc>
        <w:tc>
          <w:tcPr>
            <w:tcW w:w="21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Consent of Deloitte and Touche LLP</w:t>
            </w:r>
          </w:p>
        </w:tc>
        <w:tc>
          <w:tcPr>
            <w:tcW w:w="3960" w:type="dxa"/>
            <w:vAlign w:val="bottom"/>
            <w:gridSpan w:val="27"/>
          </w:tcPr>
          <w:p>
            <w:pPr>
              <w:spacing w:after="0"/>
              <w:rPr>
                <w:sz w:val="13"/>
                <w:szCs w:val="13"/>
                <w:color w:val="auto"/>
              </w:rPr>
            </w:pPr>
          </w:p>
        </w:tc>
      </w:tr>
      <w:tr>
        <w:trPr>
          <w:trHeight w:val="807"/>
        </w:trPr>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9"/>
          </w:tcPr>
          <w:p>
            <w:pPr>
              <w:ind w:left="4340"/>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5/8/2024</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10.1</w:t>
            </w:r>
          </w:p>
        </w:tc>
      </w:tr>
      <w:tr>
        <w:trPr>
          <w:trHeight w:val="329"/>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10.2</w:t>
            </w:r>
          </w:p>
        </w:tc>
      </w:tr>
      <w:tr>
        <w:trPr>
          <w:trHeight w:val="329"/>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3/1/2023</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10.34</w:t>
            </w:r>
          </w:p>
        </w:tc>
      </w:tr>
      <w:tr>
        <w:trPr>
          <w:trHeight w:val="329"/>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8/9/2023</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10.1</w:t>
            </w:r>
          </w:p>
        </w:tc>
      </w:tr>
      <w:tr>
        <w:trPr>
          <w:trHeight w:val="329"/>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11/8/2022</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10.2</w:t>
            </w:r>
          </w:p>
        </w:tc>
      </w:tr>
      <w:tr>
        <w:trPr>
          <w:trHeight w:val="325"/>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8/7/2024</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10.1</w:t>
            </w:r>
          </w:p>
        </w:tc>
      </w:tr>
      <w:tr>
        <w:trPr>
          <w:trHeight w:val="180"/>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11/10/2020</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10.1</w:t>
            </w:r>
          </w:p>
        </w:tc>
      </w:tr>
      <w:tr>
        <w:trPr>
          <w:trHeight w:val="180"/>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11/10/2020</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10.2</w:t>
            </w:r>
          </w:p>
        </w:tc>
      </w:tr>
      <w:tr>
        <w:trPr>
          <w:trHeight w:val="180"/>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11/8/2023</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10.1</w:t>
            </w:r>
          </w:p>
        </w:tc>
      </w:tr>
      <w:tr>
        <w:trPr>
          <w:trHeight w:val="184"/>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11/8/2022</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10.1</w:t>
            </w:r>
          </w:p>
        </w:tc>
      </w:tr>
      <w:tr>
        <w:trPr>
          <w:trHeight w:val="329"/>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3/1/2024</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10.1</w:t>
            </w:r>
          </w:p>
        </w:tc>
      </w:tr>
      <w:tr>
        <w:trPr>
          <w:trHeight w:val="329"/>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11/6/2024</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10.1</w:t>
            </w:r>
          </w:p>
        </w:tc>
      </w:tr>
      <w:tr>
        <w:trPr>
          <w:trHeight w:val="329"/>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10.1</w:t>
            </w:r>
          </w:p>
        </w:tc>
      </w:tr>
      <w:tr>
        <w:trPr>
          <w:trHeight w:val="329"/>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333-231428</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6/10/2019</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rPr>
              <w:t>10.31</w:t>
            </w:r>
          </w:p>
        </w:tc>
      </w:tr>
      <w:tr>
        <w:trPr>
          <w:trHeight w:val="329"/>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2/23/2023</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10.1</w:t>
            </w:r>
          </w:p>
        </w:tc>
      </w:tr>
      <w:tr>
        <w:trPr>
          <w:trHeight w:val="753"/>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5/10/2023</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10.2</w:t>
            </w:r>
          </w:p>
        </w:tc>
      </w:tr>
      <w:tr>
        <w:trPr>
          <w:trHeight w:val="467"/>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5/10/2023</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10.3</w:t>
            </w:r>
          </w:p>
        </w:tc>
      </w:tr>
      <w:tr>
        <w:trPr>
          <w:trHeight w:val="329"/>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5/10/2023</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10.4</w:t>
            </w:r>
          </w:p>
        </w:tc>
      </w:tr>
      <w:tr>
        <w:trPr>
          <w:trHeight w:val="329"/>
        </w:trPr>
        <w:tc>
          <w:tcPr>
            <w:tcW w:w="60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5/10/2023</w:t>
            </w:r>
          </w:p>
        </w:tc>
        <w:tc>
          <w:tcPr>
            <w:tcW w:w="6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7"/>
              </w:rPr>
              <w:t>10.5</w:t>
            </w:r>
          </w:p>
        </w:tc>
      </w:tr>
    </w:tbl>
    <w:p>
      <w:pPr>
        <w:sectPr>
          <w:pgSz w:w="11900" w:h="16838" w:orient="portrait"/>
          <w:cols w:equalWidth="0" w:num="2">
            <w:col w:w="7000" w:space="280"/>
            <w:col w:w="3760"/>
          </w:cols>
          <w:pgMar w:left="300" w:top="116" w:right="55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818"/>
        </w:trPr>
        <w:tc>
          <w:tcPr>
            <w:tcW w:w="1000" w:type="dxa"/>
            <w:vAlign w:val="bottom"/>
            <w:tcBorders>
              <w:top w:val="single" w:sz="8" w:color="0000FF"/>
            </w:tcBorders>
          </w:tcPr>
          <w:p>
            <w:pPr>
              <w:jc w:val="center"/>
              <w:ind w:left="9"/>
              <w:spacing w:after="0"/>
              <w:rPr>
                <w:sz w:val="20"/>
                <w:szCs w:val="20"/>
                <w:color w:val="auto"/>
              </w:rPr>
            </w:pPr>
            <w:r>
              <w:rPr>
                <w:rFonts w:ascii="Times New Roman" w:cs="Times New Roman" w:eastAsia="Times New Roman" w:hAnsi="Times New Roman"/>
                <w:sz w:val="14"/>
                <w:szCs w:val="14"/>
                <w:color w:val="auto"/>
              </w:rPr>
              <w:t>24.1*</w:t>
            </w:r>
          </w:p>
        </w:tc>
        <w:tc>
          <w:tcPr>
            <w:tcW w:w="200" w:type="dxa"/>
            <w:vAlign w:val="bottom"/>
          </w:tcPr>
          <w:p>
            <w:pPr>
              <w:spacing w:after="0"/>
              <w:rPr>
                <w:sz w:val="24"/>
                <w:szCs w:val="24"/>
                <w:color w:val="auto"/>
              </w:rPr>
            </w:pPr>
          </w:p>
        </w:tc>
        <w:tc>
          <w:tcPr>
            <w:tcW w:w="4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Power of Attorney (incorporated by reference to the signature page to this Form 10-K)</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0"/>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31.1*</w:t>
            </w:r>
          </w:p>
        </w:tc>
        <w:tc>
          <w:tcPr>
            <w:tcW w:w="200" w:type="dxa"/>
            <w:vAlign w:val="bottom"/>
          </w:tcPr>
          <w:p>
            <w:pPr>
              <w:spacing w:after="0"/>
              <w:rPr>
                <w:sz w:val="13"/>
                <w:szCs w:val="13"/>
                <w:color w:val="auto"/>
              </w:rPr>
            </w:pPr>
          </w:p>
        </w:tc>
        <w:tc>
          <w:tcPr>
            <w:tcW w:w="66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Exchange Act Rules 13a-14(a) and 15d-14(a),</w:t>
            </w: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0" w:type="dxa"/>
            <w:vAlign w:val="bottom"/>
            <w:tcBorders>
              <w:top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as adopted pursuant to Section 302 of the Sarbanes-Oxley Act of 2002</w:t>
            </w:r>
          </w:p>
        </w:tc>
        <w:tc>
          <w:tcPr>
            <w:tcW w:w="400" w:type="dxa"/>
            <w:vAlign w:val="bottom"/>
            <w:tcBorders>
              <w:top w:val="single" w:sz="8" w:color="0000FF"/>
            </w:tcBorders>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71"/>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31.2*</w:t>
            </w:r>
          </w:p>
        </w:tc>
        <w:tc>
          <w:tcPr>
            <w:tcW w:w="200" w:type="dxa"/>
            <w:vAlign w:val="bottom"/>
          </w:tcPr>
          <w:p>
            <w:pPr>
              <w:spacing w:after="0"/>
              <w:rPr>
                <w:sz w:val="14"/>
                <w:szCs w:val="14"/>
                <w:color w:val="auto"/>
              </w:rPr>
            </w:pPr>
          </w:p>
        </w:tc>
        <w:tc>
          <w:tcPr>
            <w:tcW w:w="66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Exchange Act Rules 13a-14(a) and 15d-14(a),</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0" w:type="dxa"/>
            <w:vAlign w:val="bottom"/>
            <w:tcBorders>
              <w:top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as adopted pursuant to Section 302 of the Sarbanes-Oxley Act of 2002</w:t>
            </w:r>
          </w:p>
        </w:tc>
        <w:tc>
          <w:tcPr>
            <w:tcW w:w="400" w:type="dxa"/>
            <w:vAlign w:val="bottom"/>
            <w:tcBorders>
              <w:top w:val="single" w:sz="8" w:color="0000FF"/>
            </w:tcBorders>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71"/>
        </w:trPr>
        <w:tc>
          <w:tcPr>
            <w:tcW w:w="10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8"/>
              </w:rPr>
              <w:t>32.1**</w:t>
            </w:r>
          </w:p>
        </w:tc>
        <w:tc>
          <w:tcPr>
            <w:tcW w:w="200" w:type="dxa"/>
            <w:vAlign w:val="bottom"/>
          </w:tcPr>
          <w:p>
            <w:pPr>
              <w:spacing w:after="0"/>
              <w:rPr>
                <w:sz w:val="14"/>
                <w:szCs w:val="14"/>
                <w:color w:val="auto"/>
              </w:rPr>
            </w:pPr>
          </w:p>
        </w:tc>
        <w:tc>
          <w:tcPr>
            <w:tcW w:w="66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 adopted pursuant</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0" w:type="dxa"/>
            <w:vAlign w:val="bottom"/>
            <w:tcBorders>
              <w:top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to Section 906 of the Sarbanes-Oxley Act of 2002</w:t>
            </w:r>
          </w:p>
        </w:tc>
        <w:tc>
          <w:tcPr>
            <w:tcW w:w="400" w:type="dxa"/>
            <w:vAlign w:val="bottom"/>
            <w:tcBorders>
              <w:top w:val="single" w:sz="8" w:color="0000FF"/>
            </w:tcBorders>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71"/>
        </w:trPr>
        <w:tc>
          <w:tcPr>
            <w:tcW w:w="10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8"/>
              </w:rPr>
              <w:t>32.2**</w:t>
            </w:r>
          </w:p>
        </w:tc>
        <w:tc>
          <w:tcPr>
            <w:tcW w:w="200" w:type="dxa"/>
            <w:vAlign w:val="bottom"/>
          </w:tcPr>
          <w:p>
            <w:pPr>
              <w:spacing w:after="0"/>
              <w:rPr>
                <w:sz w:val="14"/>
                <w:szCs w:val="14"/>
                <w:color w:val="auto"/>
              </w:rPr>
            </w:pPr>
          </w:p>
        </w:tc>
        <w:tc>
          <w:tcPr>
            <w:tcW w:w="66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 adopted pursuant to</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18"/>
        </w:trPr>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80" w:type="dxa"/>
            <w:vAlign w:val="bottom"/>
            <w:tcBorders>
              <w:top w:val="single" w:sz="8" w:color="0000FF"/>
              <w:bottom w:val="single" w:sz="8" w:color="0000FF"/>
            </w:tcBorders>
          </w:tcPr>
          <w:p>
            <w:pPr>
              <w:spacing w:after="0" w:line="118" w:lineRule="exact"/>
              <w:rPr>
                <w:sz w:val="20"/>
                <w:szCs w:val="20"/>
                <w:color w:val="auto"/>
              </w:rPr>
            </w:pPr>
            <w:r>
              <w:rPr>
                <w:rFonts w:ascii="Times New Roman" w:cs="Times New Roman" w:eastAsia="Times New Roman" w:hAnsi="Times New Roman"/>
                <w:sz w:val="13"/>
                <w:szCs w:val="13"/>
                <w:color w:val="0000FF"/>
              </w:rPr>
              <w:t>Section 906 of the Sarbanes-Oxley Act of 2002</w:t>
            </w:r>
          </w:p>
        </w:tc>
        <w:tc>
          <w:tcPr>
            <w:tcW w:w="2720" w:type="dxa"/>
            <w:vAlign w:val="bottom"/>
            <w:tcBorders>
              <w:top w:val="single" w:sz="8" w:color="0000FF"/>
            </w:tcBorders>
            <w:gridSpan w:val="5"/>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71"/>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97.1†</w:t>
            </w:r>
          </w:p>
        </w:tc>
        <w:tc>
          <w:tcPr>
            <w:tcW w:w="412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Grocery Outlet Holding Corp. Incentive Compensation Clawback Policy</w:t>
              </w:r>
            </w:hyperlink>
          </w:p>
        </w:tc>
        <w:tc>
          <w:tcPr>
            <w:tcW w:w="128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001-38950</w:t>
            </w:r>
          </w:p>
        </w:tc>
        <w:tc>
          <w:tcPr>
            <w:tcW w:w="12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2/28/2024</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r>
      <w:tr>
        <w:trPr>
          <w:trHeight w:val="150"/>
        </w:trPr>
        <w:tc>
          <w:tcPr>
            <w:tcW w:w="12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99"/>
              </w:rPr>
              <w:t>101.INS*</w:t>
            </w:r>
          </w:p>
        </w:tc>
        <w:tc>
          <w:tcPr>
            <w:tcW w:w="6680" w:type="dxa"/>
            <w:vAlign w:val="bottom"/>
            <w:gridSpan w:val="8"/>
          </w:tcPr>
          <w:p>
            <w:pPr>
              <w:spacing w:after="0" w:line="150" w:lineRule="exact"/>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w:t>
            </w: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4"/>
        </w:trPr>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because its XBRL tags are embedded within the Inline XBRL document.</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3"/>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101.SCH*</w:t>
            </w:r>
          </w:p>
        </w:tc>
        <w:tc>
          <w:tcPr>
            <w:tcW w:w="54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101.CAL*</w:t>
            </w:r>
          </w:p>
        </w:tc>
        <w:tc>
          <w:tcPr>
            <w:tcW w:w="54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Extension Calculation Linkbase Document</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101.DEF*</w:t>
            </w:r>
          </w:p>
        </w:tc>
        <w:tc>
          <w:tcPr>
            <w:tcW w:w="54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Extension Definition Linkbase Document</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101.LAB*</w:t>
            </w:r>
          </w:p>
        </w:tc>
        <w:tc>
          <w:tcPr>
            <w:tcW w:w="54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Extension Label Linkbase Document</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101.PRE*</w:t>
            </w:r>
          </w:p>
        </w:tc>
        <w:tc>
          <w:tcPr>
            <w:tcW w:w="54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Extension Presentation Linkbase Document</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54"/>
        </w:trPr>
        <w:tc>
          <w:tcPr>
            <w:tcW w:w="1000" w:type="dxa"/>
            <w:vAlign w:val="bottom"/>
          </w:tcPr>
          <w:p>
            <w:pPr>
              <w:jc w:val="center"/>
              <w:ind w:left="9"/>
              <w:spacing w:after="0" w:line="154" w:lineRule="exact"/>
              <w:rPr>
                <w:sz w:val="20"/>
                <w:szCs w:val="20"/>
                <w:color w:val="auto"/>
              </w:rPr>
            </w:pPr>
            <w:r>
              <w:rPr>
                <w:rFonts w:ascii="Times New Roman" w:cs="Times New Roman" w:eastAsia="Times New Roman" w:hAnsi="Times New Roman"/>
                <w:sz w:val="14"/>
                <w:szCs w:val="14"/>
                <w:color w:val="auto"/>
                <w:w w:val="99"/>
              </w:rPr>
              <w:t>104*</w:t>
            </w:r>
          </w:p>
        </w:tc>
        <w:tc>
          <w:tcPr>
            <w:tcW w:w="200" w:type="dxa"/>
            <w:vAlign w:val="bottom"/>
          </w:tcPr>
          <w:p>
            <w:pPr>
              <w:spacing w:after="0"/>
              <w:rPr>
                <w:sz w:val="13"/>
                <w:szCs w:val="13"/>
                <w:color w:val="auto"/>
              </w:rPr>
            </w:pPr>
          </w:p>
        </w:tc>
        <w:tc>
          <w:tcPr>
            <w:tcW w:w="5400" w:type="dxa"/>
            <w:vAlign w:val="bottom"/>
            <w:gridSpan w:val="6"/>
          </w:tcPr>
          <w:p>
            <w:pPr>
              <w:spacing w:after="0" w:line="154" w:lineRule="exact"/>
              <w:rPr>
                <w:sz w:val="20"/>
                <w:szCs w:val="20"/>
                <w:color w:val="auto"/>
              </w:rPr>
            </w:pPr>
            <w:r>
              <w:rPr>
                <w:rFonts w:ascii="Times New Roman" w:cs="Times New Roman" w:eastAsia="Times New Roman" w:hAnsi="Times New Roman"/>
                <w:sz w:val="14"/>
                <w:szCs w:val="14"/>
                <w:color w:val="auto"/>
              </w:rPr>
              <w:t>Cover Page Interactive Data File - the cover page interactive data file does not appear</w:t>
            </w:r>
          </w:p>
        </w:tc>
        <w:tc>
          <w:tcPr>
            <w:tcW w:w="128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4"/>
                <w:szCs w:val="14"/>
                <w:color w:val="auto"/>
              </w:rPr>
              <w:t>in the</w:t>
            </w: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r>
    </w:tbl>
    <w:p>
      <w:pPr>
        <w:ind w:left="1200" w:right="4200"/>
        <w:spacing w:after="0" w:line="235" w:lineRule="auto"/>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 document and included as Exhibit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6"/>
          <w:szCs w:val="6"/>
          <w:color w:val="auto"/>
        </w:rPr>
        <w:t>____________________________________</w:t>
      </w:r>
    </w:p>
    <w:p>
      <w:pPr>
        <w:spacing w:after="0" w:line="15" w:lineRule="exact"/>
        <w:rPr>
          <w:sz w:val="20"/>
          <w:szCs w:val="20"/>
          <w:color w:val="auto"/>
        </w:rPr>
      </w:pPr>
    </w:p>
    <w:p>
      <w:pPr>
        <w:ind w:left="540" w:right="360" w:hanging="521"/>
        <w:spacing w:after="0" w:line="239" w:lineRule="auto"/>
        <w:tabs>
          <w:tab w:leader="none" w:pos="5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to this agreement have been omitted pursuant to Item 601(a)(5) of Regulation S-K. The Company agrees to furnish any omitted schedules or exhibits upon the request of the SEC.</w:t>
      </w:r>
    </w:p>
    <w:p>
      <w:pPr>
        <w:spacing w:after="0" w:line="8" w:lineRule="exact"/>
        <w:rPr>
          <w:sz w:val="20"/>
          <w:szCs w:val="20"/>
          <w:color w:val="auto"/>
        </w:rPr>
      </w:pPr>
    </w:p>
    <w:p>
      <w:pPr>
        <w:ind w:left="540" w:hanging="521"/>
        <w:spacing w:after="0"/>
        <w:tabs>
          <w:tab w:leader="none" w:pos="5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23" w:lineRule="exact"/>
        <w:rPr>
          <w:sz w:val="20"/>
          <w:szCs w:val="20"/>
          <w:color w:val="auto"/>
        </w:rPr>
      </w:pPr>
    </w:p>
    <w:p>
      <w:pPr>
        <w:ind w:left="540" w:hanging="521"/>
        <w:spacing w:after="0"/>
        <w:tabs>
          <w:tab w:leader="none" w:pos="5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9" w:lineRule="exact"/>
        <w:rPr>
          <w:sz w:val="20"/>
          <w:szCs w:val="20"/>
          <w:color w:val="auto"/>
        </w:rPr>
      </w:pPr>
    </w:p>
    <w:p>
      <w:pPr>
        <w:jc w:val="both"/>
        <w:ind w:left="540" w:hanging="521"/>
        <w:spacing w:after="0" w:line="187" w:lineRule="auto"/>
        <w:tabs>
          <w:tab w:leader="none" w:pos="540" w:val="left"/>
        </w:tabs>
        <w:numPr>
          <w:ilvl w:val="0"/>
          <w:numId w:val="45"/>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Furnished herewith. The certifications attached as Exhibit 32.1 and 32.2 that accompany this Form 10-K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16" w:right="3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Grocery Outlet Holding Corp.</w:t>
      </w:r>
    </w:p>
    <w:p>
      <w:pPr>
        <w:spacing w:after="0" w:line="106" w:lineRule="exact"/>
        <w:rPr>
          <w:sz w:val="20"/>
          <w:szCs w:val="20"/>
          <w:color w:val="auto"/>
        </w:rPr>
      </w:pPr>
    </w:p>
    <w:p>
      <w:pPr>
        <w:ind w:left="20"/>
        <w:spacing w:after="0"/>
        <w:tabs>
          <w:tab w:leader="none" w:pos="700" w:val="left"/>
          <w:tab w:leader="none" w:pos="7020" w:val="left"/>
          <w:tab w:leader="none" w:pos="75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26,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color w:val="auto"/>
        </w:rPr>
        <w:t>/s/ Jason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14605</wp:posOffset>
            </wp:positionV>
            <wp:extent cx="238506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2385060" cy="6985"/>
                    </a:xfrm>
                    <a:prstGeom prst="rect">
                      <a:avLst/>
                    </a:prstGeom>
                    <a:noFill/>
                  </pic:spPr>
                </pic:pic>
              </a:graphicData>
            </a:graphic>
          </wp:anchor>
        </w:drawing>
      </w:r>
    </w:p>
    <w:p>
      <w:pPr>
        <w:spacing w:after="0" w:line="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3"/>
          <w:szCs w:val="13"/>
          <w:b w:val="1"/>
          <w:bCs w:val="1"/>
          <w:color w:val="auto"/>
        </w:rPr>
        <w:t>Jason Potter</w:t>
      </w:r>
    </w:p>
    <w:p>
      <w:pPr>
        <w:ind w:left="7540"/>
        <w:spacing w:after="0" w:line="204" w:lineRule="auto"/>
        <w:rPr>
          <w:sz w:val="20"/>
          <w:szCs w:val="20"/>
          <w:color w:val="auto"/>
        </w:rPr>
      </w:pPr>
      <w:r>
        <w:rPr>
          <w:rFonts w:ascii="Times New Roman" w:cs="Times New Roman" w:eastAsia="Times New Roman" w:hAnsi="Times New Roman"/>
          <w:sz w:val="13"/>
          <w:szCs w:val="13"/>
          <w:color w:val="auto"/>
        </w:rPr>
        <w:t>President and Chief Executive Officer</w:t>
      </w:r>
    </w:p>
    <w:p>
      <w:pPr>
        <w:ind w:left="7540"/>
        <w:spacing w:after="0"/>
        <w:rPr>
          <w:sz w:val="20"/>
          <w:szCs w:val="20"/>
          <w:color w:val="auto"/>
        </w:rPr>
      </w:pPr>
      <w:r>
        <w:rPr>
          <w:rFonts w:ascii="Times New Roman" w:cs="Times New Roman" w:eastAsia="Times New Roman" w:hAnsi="Times New Roman"/>
          <w:sz w:val="13"/>
          <w:szCs w:val="13"/>
          <w:color w:val="auto"/>
        </w:rPr>
        <w:t>(Principal Executive Officer)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hereby constitute and appoint Jason Potter, Christopher M. Miller and Luke D. Thompson, or any of them, his attorneys-in-fact, for such person in any and all capacities, to sign any amendments to this report and to file the same, with exhibits thereto, and other documents in connection therewith, with the Securities and Exchange Commission, hereby ratifying and confirming all that either of said attorneys-in-fact, or substitute or substitutes, may do or cause to be done by virtue hereof.</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80"/>
          </w:cols>
          <w:pgMar w:left="300" w:top="125" w:right="319" w:bottom="1440" w:gutter="0" w:footer="0" w:header="0"/>
        </w:sectPr>
      </w:pPr>
    </w:p>
    <w:p>
      <w:pPr>
        <w:spacing w:after="0" w:line="6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68795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6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/s/ Jason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68795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Jason Potter</w:t>
      </w:r>
    </w:p>
    <w:p>
      <w:pPr>
        <w:spacing w:after="0" w:line="6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/s/ Christopher 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68795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2"/>
          <w:szCs w:val="12"/>
          <w:b w:val="1"/>
          <w:bCs w:val="1"/>
          <w:color w:val="auto"/>
        </w:rPr>
        <w:t>Christopher M. Miller</w:t>
      </w:r>
    </w:p>
    <w:p>
      <w:pPr>
        <w:spacing w:after="0" w:line="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/s/ Lindsay E.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68795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Lindsay E. Gray</w:t>
      </w:r>
    </w:p>
    <w:p>
      <w:pPr>
        <w:spacing w:after="0" w:line="6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68795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b w:val="1"/>
          <w:bCs w:val="1"/>
          <w:color w:val="auto"/>
        </w:rPr>
        <w:t>Eric J. Lindberg, Jr.</w:t>
      </w:r>
    </w:p>
    <w:p>
      <w:pPr>
        <w:spacing w:after="0" w:line="6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3"/>
          <w:szCs w:val="13"/>
          <w:color w:val="auto"/>
        </w:rPr>
        <w:t>/s/ Erik D. Ragatz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68795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3"/>
          <w:szCs w:val="13"/>
          <w:b w:val="1"/>
          <w:bCs w:val="1"/>
          <w:color w:val="auto"/>
        </w:rPr>
        <w:t>Erik D. Ragatz</w:t>
      </w:r>
    </w:p>
    <w:p>
      <w:pPr>
        <w:spacing w:after="0" w:line="6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2"/>
          <w:szCs w:val="12"/>
          <w:color w:val="auto"/>
        </w:rPr>
        <w:t>/s/ Kenneth W. Alterman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68795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Kenneth W. Alterman</w:t>
      </w:r>
    </w:p>
    <w:p>
      <w:pPr>
        <w:spacing w:after="0" w:line="6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/s/ John E.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68795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color w:val="auto"/>
        </w:rPr>
        <w:t>John E. Bachman</w:t>
      </w:r>
    </w:p>
    <w:p>
      <w:pPr>
        <w:spacing w:after="0" w:line="6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color w:val="auto"/>
        </w:rPr>
        <w:t>/s/ Mary Kay Haben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68795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color w:val="auto"/>
        </w:rPr>
        <w:t>Mary Kay Haben</w:t>
      </w:r>
    </w:p>
    <w:p>
      <w:pPr>
        <w:spacing w:after="0" w:line="6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/s/ Thomas F.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68795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Thomas F. Herman</w:t>
      </w:r>
    </w:p>
    <w:p>
      <w:pPr>
        <w:spacing w:after="0" w:line="6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 Carey F. Jaros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68795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3"/>
          <w:szCs w:val="13"/>
          <w:b w:val="1"/>
          <w:bCs w:val="1"/>
          <w:color w:val="auto"/>
        </w:rPr>
        <w:t>Carey F. Jaros</w:t>
      </w:r>
    </w:p>
    <w:p>
      <w:pPr>
        <w:spacing w:after="0" w:line="6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3"/>
          <w:szCs w:val="13"/>
          <w:color w:val="auto"/>
        </w:rPr>
        <w:t>/s/ Gail Moody-Byrd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68795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3"/>
          <w:szCs w:val="13"/>
          <w:b w:val="1"/>
          <w:bCs w:val="1"/>
          <w:color w:val="auto"/>
        </w:rPr>
        <w:t>Gail Moody-Byrd</w:t>
      </w:r>
    </w:p>
    <w:p>
      <w:pPr>
        <w:spacing w:after="0" w:line="6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3"/>
          <w:szCs w:val="13"/>
          <w:color w:val="auto"/>
        </w:rPr>
        <w:t>/s/ Jeffrey R.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68795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2687955" cy="6985"/>
                    </a:xfrm>
                    <a:prstGeom prst="rect">
                      <a:avLst/>
                    </a:prstGeom>
                    <a:noFill/>
                  </pic:spPr>
                </pic:pic>
              </a:graphicData>
            </a:graphic>
          </wp:anchor>
        </w:drawing>
      </w:r>
    </w:p>
    <w:p>
      <w:pPr>
        <w:spacing w:after="0" w:line="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3"/>
          <w:szCs w:val="13"/>
          <w:b w:val="1"/>
          <w:bCs w:val="1"/>
          <w:color w:val="auto"/>
        </w:rPr>
        <w:t>Jeffrey R. York</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00" w:type="dxa"/>
            <w:vAlign w:val="bottom"/>
          </w:tcPr>
          <w:p>
            <w:pPr>
              <w:spacing w:after="0"/>
              <w:rPr>
                <w:sz w:val="13"/>
                <w:szCs w:val="13"/>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80"/>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President and Chief Executive Officer; Director</w:t>
            </w: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February 26, 2025</w:t>
            </w:r>
          </w:p>
        </w:tc>
        <w:tc>
          <w:tcPr>
            <w:tcW w:w="0" w:type="dxa"/>
            <w:vAlign w:val="bottom"/>
          </w:tcPr>
          <w:p>
            <w:pPr>
              <w:spacing w:after="0"/>
              <w:rPr>
                <w:sz w:val="1"/>
                <w:szCs w:val="1"/>
                <w:color w:val="auto"/>
              </w:rPr>
            </w:pPr>
          </w:p>
        </w:tc>
      </w:tr>
      <w:tr>
        <w:trPr>
          <w:trHeight w:val="102"/>
        </w:trPr>
        <w:tc>
          <w:tcPr>
            <w:tcW w:w="4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7"/>
              </w:rPr>
              <w:t>(Principal Executive Officer)</w:t>
            </w: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4340" w:type="dxa"/>
            <w:vAlign w:val="bottom"/>
            <w:gridSpan w:val="2"/>
            <w:vMerge w:val="continue"/>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Executive Vice President, Chief Financial Officer</w:t>
            </w: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February 26, 2025</w:t>
            </w:r>
          </w:p>
        </w:tc>
        <w:tc>
          <w:tcPr>
            <w:tcW w:w="0" w:type="dxa"/>
            <w:vAlign w:val="bottom"/>
          </w:tcPr>
          <w:p>
            <w:pPr>
              <w:spacing w:after="0"/>
              <w:rPr>
                <w:sz w:val="1"/>
                <w:szCs w:val="1"/>
                <w:color w:val="auto"/>
              </w:rPr>
            </w:pPr>
          </w:p>
        </w:tc>
      </w:tr>
      <w:tr>
        <w:trPr>
          <w:trHeight w:val="102"/>
        </w:trPr>
        <w:tc>
          <w:tcPr>
            <w:tcW w:w="4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7"/>
              </w:rPr>
              <w:t>(Principal Financial Officer)</w:t>
            </w: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4340" w:type="dxa"/>
            <w:vAlign w:val="bottom"/>
            <w:gridSpan w:val="2"/>
            <w:vMerge w:val="continue"/>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Senior Vice President, Accounting</w:t>
            </w:r>
          </w:p>
        </w:tc>
        <w:tc>
          <w:tcPr>
            <w:tcW w:w="2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February 26, 2025</w:t>
            </w:r>
          </w:p>
        </w:tc>
        <w:tc>
          <w:tcPr>
            <w:tcW w:w="0" w:type="dxa"/>
            <w:vAlign w:val="bottom"/>
          </w:tcPr>
          <w:p>
            <w:pPr>
              <w:spacing w:after="0"/>
              <w:rPr>
                <w:sz w:val="1"/>
                <w:szCs w:val="1"/>
                <w:color w:val="auto"/>
              </w:rPr>
            </w:pPr>
          </w:p>
        </w:tc>
      </w:tr>
      <w:tr>
        <w:trPr>
          <w:trHeight w:val="102"/>
        </w:trPr>
        <w:tc>
          <w:tcPr>
            <w:tcW w:w="4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7"/>
              </w:rPr>
              <w:t>(Principal Accounting Officer)</w:t>
            </w: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4340" w:type="dxa"/>
            <w:vAlign w:val="bottom"/>
            <w:gridSpan w:val="2"/>
            <w:vMerge w:val="continue"/>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Chairman of the Board</w:t>
            </w:r>
          </w:p>
        </w:tc>
        <w:tc>
          <w:tcPr>
            <w:tcW w:w="2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26, 2025</w:t>
            </w:r>
          </w:p>
        </w:tc>
        <w:tc>
          <w:tcPr>
            <w:tcW w:w="0" w:type="dxa"/>
            <w:vAlign w:val="bottom"/>
          </w:tcPr>
          <w:p>
            <w:pPr>
              <w:spacing w:after="0"/>
              <w:rPr>
                <w:sz w:val="1"/>
                <w:szCs w:val="1"/>
                <w:color w:val="auto"/>
              </w:rPr>
            </w:pPr>
          </w:p>
        </w:tc>
      </w:tr>
      <w:tr>
        <w:trPr>
          <w:trHeight w:val="393"/>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Lead Independent 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26, 2025</w:t>
            </w:r>
          </w:p>
        </w:tc>
        <w:tc>
          <w:tcPr>
            <w:tcW w:w="0" w:type="dxa"/>
            <w:vAlign w:val="bottom"/>
          </w:tcPr>
          <w:p>
            <w:pPr>
              <w:spacing w:after="0"/>
              <w:rPr>
                <w:sz w:val="1"/>
                <w:szCs w:val="1"/>
                <w:color w:val="auto"/>
              </w:rPr>
            </w:pPr>
          </w:p>
        </w:tc>
      </w:tr>
      <w:tr>
        <w:trPr>
          <w:trHeight w:val="393"/>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26, 2025</w:t>
            </w:r>
          </w:p>
        </w:tc>
        <w:tc>
          <w:tcPr>
            <w:tcW w:w="0" w:type="dxa"/>
            <w:vAlign w:val="bottom"/>
          </w:tcPr>
          <w:p>
            <w:pPr>
              <w:spacing w:after="0"/>
              <w:rPr>
                <w:sz w:val="1"/>
                <w:szCs w:val="1"/>
                <w:color w:val="auto"/>
              </w:rPr>
            </w:pPr>
          </w:p>
        </w:tc>
      </w:tr>
      <w:tr>
        <w:trPr>
          <w:trHeight w:val="393"/>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26, 2025</w:t>
            </w:r>
          </w:p>
        </w:tc>
        <w:tc>
          <w:tcPr>
            <w:tcW w:w="0" w:type="dxa"/>
            <w:vAlign w:val="bottom"/>
          </w:tcPr>
          <w:p>
            <w:pPr>
              <w:spacing w:after="0"/>
              <w:rPr>
                <w:sz w:val="1"/>
                <w:szCs w:val="1"/>
                <w:color w:val="auto"/>
              </w:rPr>
            </w:pPr>
          </w:p>
        </w:tc>
      </w:tr>
      <w:tr>
        <w:trPr>
          <w:trHeight w:val="393"/>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26, 2025</w:t>
            </w:r>
          </w:p>
        </w:tc>
        <w:tc>
          <w:tcPr>
            <w:tcW w:w="0" w:type="dxa"/>
            <w:vAlign w:val="bottom"/>
          </w:tcPr>
          <w:p>
            <w:pPr>
              <w:spacing w:after="0"/>
              <w:rPr>
                <w:sz w:val="1"/>
                <w:szCs w:val="1"/>
                <w:color w:val="auto"/>
              </w:rPr>
            </w:pPr>
          </w:p>
        </w:tc>
      </w:tr>
      <w:tr>
        <w:trPr>
          <w:trHeight w:val="393"/>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26, 2025</w:t>
            </w:r>
          </w:p>
        </w:tc>
        <w:tc>
          <w:tcPr>
            <w:tcW w:w="0" w:type="dxa"/>
            <w:vAlign w:val="bottom"/>
          </w:tcPr>
          <w:p>
            <w:pPr>
              <w:spacing w:after="0"/>
              <w:rPr>
                <w:sz w:val="1"/>
                <w:szCs w:val="1"/>
                <w:color w:val="auto"/>
              </w:rPr>
            </w:pPr>
          </w:p>
        </w:tc>
      </w:tr>
      <w:tr>
        <w:trPr>
          <w:trHeight w:val="393"/>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26, 2025</w:t>
            </w:r>
          </w:p>
        </w:tc>
        <w:tc>
          <w:tcPr>
            <w:tcW w:w="0" w:type="dxa"/>
            <w:vAlign w:val="bottom"/>
          </w:tcPr>
          <w:p>
            <w:pPr>
              <w:spacing w:after="0"/>
              <w:rPr>
                <w:sz w:val="1"/>
                <w:szCs w:val="1"/>
                <w:color w:val="auto"/>
              </w:rPr>
            </w:pPr>
          </w:p>
        </w:tc>
      </w:tr>
      <w:tr>
        <w:trPr>
          <w:trHeight w:val="393"/>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26, 2025</w:t>
            </w:r>
          </w:p>
        </w:tc>
        <w:tc>
          <w:tcPr>
            <w:tcW w:w="0" w:type="dxa"/>
            <w:vAlign w:val="bottom"/>
          </w:tcPr>
          <w:p>
            <w:pPr>
              <w:spacing w:after="0"/>
              <w:rPr>
                <w:sz w:val="1"/>
                <w:szCs w:val="1"/>
                <w:color w:val="auto"/>
              </w:rPr>
            </w:pPr>
          </w:p>
        </w:tc>
      </w:tr>
      <w:tr>
        <w:trPr>
          <w:trHeight w:val="393"/>
        </w:trPr>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February 26, 2025</w:t>
            </w:r>
          </w:p>
        </w:tc>
        <w:tc>
          <w:tcPr>
            <w:tcW w:w="0" w:type="dxa"/>
            <w:vAlign w:val="bottom"/>
          </w:tcPr>
          <w:p>
            <w:pPr>
              <w:spacing w:after="0"/>
              <w:rPr>
                <w:sz w:val="1"/>
                <w:szCs w:val="1"/>
                <w:color w:val="auto"/>
              </w:rPr>
            </w:pPr>
          </w:p>
        </w:tc>
      </w:tr>
    </w:tbl>
    <w:p>
      <w:pPr>
        <w:spacing w:after="0" w:line="277" w:lineRule="exact"/>
        <w:rPr>
          <w:sz w:val="20"/>
          <w:szCs w:val="20"/>
          <w:color w:val="auto"/>
        </w:rPr>
      </w:pPr>
    </w:p>
    <w:p>
      <w:pPr>
        <w:sectPr>
          <w:pgSz w:w="11900" w:h="16838" w:orient="portrait"/>
          <w:cols w:equalWidth="0" w:num="2">
            <w:col w:w="3620" w:space="720"/>
            <w:col w:w="6940"/>
          </w:cols>
          <w:pgMar w:left="300" w:top="12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1280"/>
          </w:cols>
          <w:pgMar w:left="300" w:top="125" w:right="319" w:bottom="1440" w:gutter="0" w:footer="0" w:header="0"/>
          <w:type w:val="continuous"/>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20" w:type="dxa"/>
            <w:vAlign w:val="bottom"/>
          </w:tcPr>
          <w:p>
            <w:pPr>
              <w:spacing w:after="0"/>
              <w:rPr>
                <w:sz w:val="19"/>
                <w:szCs w:val="19"/>
                <w:color w:val="auto"/>
              </w:rPr>
            </w:pPr>
          </w:p>
        </w:tc>
        <w:tc>
          <w:tcPr>
            <w:tcW w:w="7840" w:type="dxa"/>
            <w:vAlign w:val="bottom"/>
            <w:gridSpan w:val="3"/>
          </w:tcPr>
          <w:p>
            <w:pPr>
              <w:ind w:left="144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tc>
      </w:tr>
      <w:tr>
        <w:trPr>
          <w:trHeight w:val="38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4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167"/>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Grocery Outlet Inc.</w:t>
            </w: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r>
      <w:tr>
        <w:trPr>
          <w:trHeight w:val="180"/>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BBGO Acquisition, Inc.</w:t>
            </w:r>
          </w:p>
        </w:tc>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4"/>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The Bargain Barn, Inc.</w:t>
            </w:r>
          </w:p>
        </w:tc>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Tennessee</w:t>
            </w:r>
          </w:p>
        </w:tc>
      </w:tr>
    </w:tbl>
    <w:p>
      <w:pPr>
        <w:sectPr>
          <w:pgSz w:w="11900" w:h="16838" w:orient="portrait"/>
          <w:cols w:equalWidth="0" w:num="1">
            <w:col w:w="10960"/>
          </w:cols>
          <w:pgMar w:left="620" w:top="120"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Statements Nos. 333-232318, 333-253801, 333-263223 and 333-277454 on Form S-8 of our reports dated February 26, 2025, relating to the financial statements of Grocery Outlet Holding Corp. and the effectiveness of Grocery Outlet Holding Corp.'s internal control over financial reporting appearing in this Annual Report on Form 10-K of Grocery Outlet Holding Corp. for the year ended December 28,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2025</w:t>
      </w:r>
    </w:p>
    <w:p>
      <w:pPr>
        <w:sectPr>
          <w:pgSz w:w="11900" w:h="16838" w:orient="portrait"/>
          <w:cols w:equalWidth="0" w:num="1">
            <w:col w:w="11280"/>
          </w:cols>
          <w:pgMar w:left="300" w:top="120" w:right="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Jason Potter, certify that:</w:t>
      </w:r>
    </w:p>
    <w:p>
      <w:pPr>
        <w:spacing w:after="0" w:line="179" w:lineRule="exact"/>
        <w:rPr>
          <w:sz w:val="20"/>
          <w:szCs w:val="20"/>
          <w:color w:val="auto"/>
        </w:rPr>
      </w:pPr>
    </w:p>
    <w:p>
      <w:pPr>
        <w:ind w:left="260" w:hanging="255"/>
        <w:spacing w:after="0"/>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Grocery Outlet Holding Corp.;</w:t>
      </w:r>
    </w:p>
    <w:p>
      <w:pPr>
        <w:spacing w:after="0" w:line="17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520" w:hanging="260"/>
        <w:spacing w:after="0" w:line="284" w:lineRule="auto"/>
        <w:tabs>
          <w:tab w:leader="none" w:pos="5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84" w:lineRule="auto"/>
        <w:tabs>
          <w:tab w:leader="none" w:pos="5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84" w:lineRule="auto"/>
        <w:tabs>
          <w:tab w:leader="none" w:pos="5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87" w:lineRule="auto"/>
        <w:tabs>
          <w:tab w:leader="none" w:pos="5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520" w:hanging="260"/>
        <w:spacing w:after="0" w:line="284" w:lineRule="auto"/>
        <w:tabs>
          <w:tab w:leader="none" w:pos="5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20" w:hanging="260"/>
        <w:spacing w:after="0"/>
        <w:tabs>
          <w:tab w:leader="none" w:pos="5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26, 2025</w:t>
            </w:r>
          </w:p>
        </w:tc>
        <w:tc>
          <w:tcPr>
            <w:tcW w:w="6320" w:type="dxa"/>
            <w:vAlign w:val="bottom"/>
            <w:gridSpan w:val="2"/>
          </w:tcPr>
          <w:p>
            <w:pPr>
              <w:ind w:left="2500"/>
              <w:spacing w:after="0"/>
              <w:rPr>
                <w:sz w:val="20"/>
                <w:szCs w:val="20"/>
                <w:color w:val="auto"/>
              </w:rPr>
            </w:pPr>
            <w:r>
              <w:rPr>
                <w:rFonts w:ascii="Times New Roman" w:cs="Times New Roman" w:eastAsia="Times New Roman" w:hAnsi="Times New Roman"/>
                <w:sz w:val="14"/>
                <w:szCs w:val="14"/>
                <w:color w:val="auto"/>
              </w:rPr>
              <w:t>By: /s/ Jason Potter</w:t>
            </w:r>
          </w:p>
        </w:tc>
      </w:tr>
      <w:tr>
        <w:trPr>
          <w:trHeight w:val="167"/>
        </w:trPr>
        <w:tc>
          <w:tcPr>
            <w:tcW w:w="3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Jason Potter</w:t>
            </w:r>
          </w:p>
        </w:tc>
      </w:tr>
      <w:tr>
        <w:trPr>
          <w:trHeight w:val="180"/>
        </w:trPr>
        <w:tc>
          <w:tcPr>
            <w:tcW w:w="38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38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120"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M. Miller, certify that:</w:t>
      </w:r>
    </w:p>
    <w:p>
      <w:pPr>
        <w:spacing w:after="0" w:line="179" w:lineRule="exact"/>
        <w:rPr>
          <w:sz w:val="20"/>
          <w:szCs w:val="20"/>
          <w:color w:val="auto"/>
        </w:rPr>
      </w:pPr>
    </w:p>
    <w:p>
      <w:pPr>
        <w:ind w:left="260" w:hanging="255"/>
        <w:spacing w:after="0"/>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Grocery Outlet Holding Corp.;</w:t>
      </w:r>
    </w:p>
    <w:p>
      <w:pPr>
        <w:spacing w:after="0" w:line="178"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520" w:hanging="260"/>
        <w:spacing w:after="0" w:line="284" w:lineRule="auto"/>
        <w:tabs>
          <w:tab w:leader="none" w:pos="5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hanging="260"/>
        <w:spacing w:after="0" w:line="284" w:lineRule="auto"/>
        <w:tabs>
          <w:tab w:leader="none" w:pos="5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284" w:lineRule="auto"/>
        <w:tabs>
          <w:tab w:leader="none" w:pos="5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hanging="260"/>
        <w:spacing w:after="0" w:line="287" w:lineRule="auto"/>
        <w:tabs>
          <w:tab w:leader="none" w:pos="5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520" w:hanging="260"/>
        <w:spacing w:after="0" w:line="284" w:lineRule="auto"/>
        <w:tabs>
          <w:tab w:leader="none" w:pos="512"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20" w:hanging="260"/>
        <w:spacing w:after="0"/>
        <w:tabs>
          <w:tab w:leader="none" w:pos="52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26, 2025</w:t>
            </w:r>
          </w:p>
        </w:tc>
        <w:tc>
          <w:tcPr>
            <w:tcW w:w="5760" w:type="dxa"/>
            <w:vAlign w:val="bottom"/>
            <w:gridSpan w:val="2"/>
          </w:tcPr>
          <w:p>
            <w:pPr>
              <w:ind w:left="2500"/>
              <w:spacing w:after="0"/>
              <w:rPr>
                <w:sz w:val="20"/>
                <w:szCs w:val="20"/>
                <w:color w:val="auto"/>
              </w:rPr>
            </w:pPr>
            <w:r>
              <w:rPr>
                <w:rFonts w:ascii="Times New Roman" w:cs="Times New Roman" w:eastAsia="Times New Roman" w:hAnsi="Times New Roman"/>
                <w:sz w:val="14"/>
                <w:szCs w:val="14"/>
                <w:color w:val="auto"/>
              </w:rPr>
              <w:t>By: /s/ Christopher M. Miller</w:t>
            </w:r>
          </w:p>
        </w:tc>
      </w:tr>
      <w:tr>
        <w:trPr>
          <w:trHeight w:val="167"/>
        </w:trPr>
        <w:tc>
          <w:tcPr>
            <w:tcW w:w="3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Christopher M. Miller</w:t>
            </w:r>
          </w:p>
        </w:tc>
      </w:tr>
      <w:tr>
        <w:trPr>
          <w:trHeight w:val="180"/>
        </w:trPr>
        <w:tc>
          <w:tcPr>
            <w:tcW w:w="38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Chief Financial Officer</w:t>
            </w:r>
          </w:p>
        </w:tc>
      </w:tr>
      <w:tr>
        <w:trPr>
          <w:trHeight w:val="184"/>
        </w:trPr>
        <w:tc>
          <w:tcPr>
            <w:tcW w:w="38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120" w:right="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of Grocery Outlet Holding Corp. (the "Company") on Form 10-K for the period ended December 28, 2024 as filed with the Securities and Exchange Commission on the date hereof (the "Report"), I, Jason Potter, certify pursuant to 18 U.S.C. § 1350, as adopted pursuant to § 906 of the Sarbanes-Oxley Act of 2002, that:</w:t>
      </w:r>
    </w:p>
    <w:p>
      <w:pPr>
        <w:spacing w:after="0" w:line="124" w:lineRule="exact"/>
        <w:rPr>
          <w:sz w:val="20"/>
          <w:szCs w:val="20"/>
          <w:color w:val="auto"/>
        </w:rPr>
      </w:pPr>
    </w:p>
    <w:p>
      <w:pPr>
        <w:ind w:left="820" w:hanging="274"/>
        <w:spacing w:after="0"/>
        <w:tabs>
          <w:tab w:leader="none" w:pos="8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820" w:hanging="274"/>
        <w:spacing w:after="0"/>
        <w:tabs>
          <w:tab w:leader="none" w:pos="8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26, 2025</w:t>
            </w:r>
          </w:p>
        </w:tc>
        <w:tc>
          <w:tcPr>
            <w:tcW w:w="6160" w:type="dxa"/>
            <w:vAlign w:val="bottom"/>
            <w:gridSpan w:val="2"/>
          </w:tcPr>
          <w:p>
            <w:pPr>
              <w:ind w:left="2400"/>
              <w:spacing w:after="0"/>
              <w:rPr>
                <w:sz w:val="20"/>
                <w:szCs w:val="20"/>
                <w:color w:val="auto"/>
              </w:rPr>
            </w:pPr>
            <w:r>
              <w:rPr>
                <w:rFonts w:ascii="Times New Roman" w:cs="Times New Roman" w:eastAsia="Times New Roman" w:hAnsi="Times New Roman"/>
                <w:sz w:val="14"/>
                <w:szCs w:val="14"/>
                <w:color w:val="auto"/>
              </w:rPr>
              <w:t>By: /s/ Jason Potter</w:t>
            </w:r>
          </w:p>
        </w:tc>
      </w:tr>
      <w:tr>
        <w:trPr>
          <w:trHeight w:val="167"/>
        </w:trPr>
        <w:tc>
          <w:tcPr>
            <w:tcW w:w="37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Jason Potter</w:t>
            </w:r>
          </w:p>
        </w:tc>
      </w:tr>
      <w:tr>
        <w:trPr>
          <w:trHeight w:val="180"/>
        </w:trPr>
        <w:tc>
          <w:tcPr>
            <w:tcW w:w="37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37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120" w:right="3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of Grocery Outlet Holding Corp. (the "Company") on Form 10-K for the period ended December 28, 2024 as filed with the Securities and Exchange Commission on the date hereof (the "Report"), I, Christopher M. Miller, certify pursuant to 18 U.S.C. § 1350, as adopted pursuant to § 906 of the Sarbanes-Oxley Act of 2002, that:</w:t>
      </w:r>
    </w:p>
    <w:p>
      <w:pPr>
        <w:spacing w:after="0" w:line="124" w:lineRule="exact"/>
        <w:rPr>
          <w:sz w:val="20"/>
          <w:szCs w:val="20"/>
          <w:color w:val="auto"/>
        </w:rPr>
      </w:pPr>
    </w:p>
    <w:p>
      <w:pPr>
        <w:ind w:left="820" w:hanging="274"/>
        <w:spacing w:after="0"/>
        <w:tabs>
          <w:tab w:leader="none" w:pos="8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820" w:hanging="274"/>
        <w:spacing w:after="0"/>
        <w:tabs>
          <w:tab w:leader="none" w:pos="8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26, 2025</w:t>
            </w:r>
          </w:p>
        </w:tc>
        <w:tc>
          <w:tcPr>
            <w:tcW w:w="5600" w:type="dxa"/>
            <w:vAlign w:val="bottom"/>
            <w:gridSpan w:val="2"/>
          </w:tcPr>
          <w:p>
            <w:pPr>
              <w:ind w:left="2420"/>
              <w:spacing w:after="0"/>
              <w:rPr>
                <w:sz w:val="20"/>
                <w:szCs w:val="20"/>
                <w:color w:val="auto"/>
              </w:rPr>
            </w:pPr>
            <w:r>
              <w:rPr>
                <w:rFonts w:ascii="Times New Roman" w:cs="Times New Roman" w:eastAsia="Times New Roman" w:hAnsi="Times New Roman"/>
                <w:sz w:val="14"/>
                <w:szCs w:val="14"/>
                <w:color w:val="auto"/>
              </w:rPr>
              <w:t>By: /s/ Christopher M. Miller</w:t>
            </w:r>
          </w:p>
        </w:tc>
      </w:tr>
      <w:tr>
        <w:trPr>
          <w:trHeight w:val="167"/>
        </w:trPr>
        <w:tc>
          <w:tcPr>
            <w:tcW w:w="38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Christopher M. Miller</w:t>
            </w:r>
          </w:p>
        </w:tc>
      </w:tr>
      <w:tr>
        <w:trPr>
          <w:trHeight w:val="180"/>
        </w:trPr>
        <w:tc>
          <w:tcPr>
            <w:tcW w:w="38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Chief Financial Officer</w:t>
            </w:r>
          </w:p>
        </w:tc>
      </w:tr>
      <w:tr>
        <w:trPr>
          <w:trHeight w:val="184"/>
        </w:trPr>
        <w:tc>
          <w:tcPr>
            <w:tcW w:w="38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lvl w:ilvl="1">
      <w:lvlJc w:val="left"/>
      <w:lvlText w:val="\endash "/>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62"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24" Type="http://schemas.openxmlformats.org/officeDocument/2006/relationships/hyperlink" Target="https://www.sec.gov/Archives/edgar/data/1771515/000177151524000094/go2024q1exhibit21.htm" TargetMode="External"/><Relationship Id="rId125" Type="http://schemas.openxmlformats.org/officeDocument/2006/relationships/hyperlink" Target="https://www.sec.gov/Archives/edgar/data/1771515/000177151522000082/exhibit31.htm" TargetMode="External"/><Relationship Id="rId126" Type="http://schemas.openxmlformats.org/officeDocument/2006/relationships/hyperlink" Target="https://www.sec.gov/Archives/edgar/data/1771515/000177151522000045/go4-6x22exhibit31.htm" TargetMode="External"/><Relationship Id="rId127" Type="http://schemas.openxmlformats.org/officeDocument/2006/relationships/hyperlink" Target="https://www.sec.gov/Archives/edgar/data/1771515/000095012319005900/d710724dex41.htm" TargetMode="External"/><Relationship Id="rId128" Type="http://schemas.openxmlformats.org/officeDocument/2006/relationships/hyperlink" Target="https://www.sec.gov/Archives/edgar/data/1771515/000177151520000005/go201910-kexhibit42.htm" TargetMode="External"/><Relationship Id="rId129" Type="http://schemas.openxmlformats.org/officeDocument/2006/relationships/hyperlink" Target="https://www.sec.gov/Archives/edgar/data/1771515/000177151523000009/go202210-kexhibit43.htm" TargetMode="External"/><Relationship Id="rId130" Type="http://schemas.openxmlformats.org/officeDocument/2006/relationships/hyperlink" Target="https://www.sec.gov/Archives/edgar/data/1771515/000119312519154108/d710724dex1013.htm" TargetMode="External"/><Relationship Id="rId131" Type="http://schemas.openxmlformats.org/officeDocument/2006/relationships/hyperlink" Target="https://www.sec.gov/Archives/edgar/data/1771515/000119312519154108/d710724dex1015.htm" TargetMode="External"/><Relationship Id="rId132" Type="http://schemas.openxmlformats.org/officeDocument/2006/relationships/hyperlink" Target="https://www.sec.gov/Archives/edgar/data/1771515/000119312519154108/d710724dex1016.htm" TargetMode="External"/><Relationship Id="rId133" Type="http://schemas.openxmlformats.org/officeDocument/2006/relationships/hyperlink" Target="https://www.sec.gov/Archives/edgar/data/1771515/000119312519154108/d710724dex1017.htm" TargetMode="External"/><Relationship Id="rId134" Type="http://schemas.openxmlformats.org/officeDocument/2006/relationships/hyperlink" Target="https://www.sec.gov/Archives/edgar/data/1771515/000095012319005900/d710724dex1018.htm" TargetMode="External"/><Relationship Id="rId135" Type="http://schemas.openxmlformats.org/officeDocument/2006/relationships/hyperlink" Target="https://www.sec.gov/Archives/edgar/data/1771515/000095012319005900/d710724dex1019.htm" TargetMode="External"/><Relationship Id="rId136" Type="http://schemas.openxmlformats.org/officeDocument/2006/relationships/hyperlink" Target="https://www.sec.gov/Archives/edgar/data/1771515/000177151521000009/go202010-kexhibit1032.htm" TargetMode="External"/><Relationship Id="rId137" Type="http://schemas.openxmlformats.org/officeDocument/2006/relationships/hyperlink" Target="https://www.sec.gov/Archives/edgar/data/1771515/000177151521000009/go202010-kexhibit1033.htm" TargetMode="External"/><Relationship Id="rId138" Type="http://schemas.openxmlformats.org/officeDocument/2006/relationships/hyperlink" Target="https://www.sec.gov/Archives/edgar/data/1771515/000177151522000011/go202110-kexhibit1029.htm" TargetMode="External"/><Relationship Id="rId139" Type="http://schemas.openxmlformats.org/officeDocument/2006/relationships/hyperlink" Target="https://www.sec.gov/Archives/edgar/data/1771515/000177151522000011/go202110-kexhibit1030.htm" TargetMode="External"/><Relationship Id="rId140" Type="http://schemas.openxmlformats.org/officeDocument/2006/relationships/hyperlink" Target="https://www.sec.gov/Archives/edgar/data/1771515/000177151523000048/go2023q1exhibit108.htm" TargetMode="External"/><Relationship Id="rId143" Type="http://schemas.openxmlformats.org/officeDocument/2006/relationships/hyperlink" Target="https://www.sec.gov/Archives/edgar/data/1771515/000177151524000094/go2024q1exhibit101.htm" TargetMode="External"/><Relationship Id="rId144" Type="http://schemas.openxmlformats.org/officeDocument/2006/relationships/hyperlink" Target="https://www.sec.gov/Archives/edgar/data/1771515/000119312524246957/d905589dex102.htm" TargetMode="External"/><Relationship Id="rId145" Type="http://schemas.openxmlformats.org/officeDocument/2006/relationships/hyperlink" Target="https://www.sec.gov/Archives/edgar/data/1771515/000177151523000009/go202210-kexhibit1034.htm" TargetMode="External"/><Relationship Id="rId146" Type="http://schemas.openxmlformats.org/officeDocument/2006/relationships/hyperlink" Target="https://www.sec.gov/Archives/edgar/data/1771515/000177151523000087/go2022q2exhibit101.htm" TargetMode="External"/><Relationship Id="rId147" Type="http://schemas.openxmlformats.org/officeDocument/2006/relationships/hyperlink" Target="https://www.sec.gov/Archives/edgar/data/1771515/000177151522000149/a2022q3exhibit102.htm" TargetMode="External"/><Relationship Id="rId148" Type="http://schemas.openxmlformats.org/officeDocument/2006/relationships/hyperlink" Target="https://www.sec.gov/Archives/edgar/data/1771515/000177151524000130/go2024q2exhibit101.htm" TargetMode="External"/><Relationship Id="rId149" Type="http://schemas.openxmlformats.org/officeDocument/2006/relationships/hyperlink" Target="https://www.sec.gov/Archives/edgar/data/1771515/000177151520000025/go2020q3exhibit101.htm" TargetMode="External"/><Relationship Id="rId150" Type="http://schemas.openxmlformats.org/officeDocument/2006/relationships/hyperlink" Target="https://www.sec.gov/Archives/edgar/data/1771515/000177151520000025/go2020q3exhibit102.htm" TargetMode="External"/><Relationship Id="rId151" Type="http://schemas.openxmlformats.org/officeDocument/2006/relationships/hyperlink" Target="https://www.sec.gov/Archives/edgar/data/1771515/000177151523000103/go2023q3exhibit101.htm" TargetMode="External"/><Relationship Id="rId152" Type="http://schemas.openxmlformats.org/officeDocument/2006/relationships/hyperlink" Target="https://www.sec.gov/Archives/edgar/data/1771515/000177151522000149/a2022q3exhibit101.htm" TargetMode="External"/><Relationship Id="rId153" Type="http://schemas.openxmlformats.org/officeDocument/2006/relationships/hyperlink" Target="https://www.sec.gov/Archives/edgar/data/1771515/000177151524000023/go3-1x24exhibit101.htm" TargetMode="External"/><Relationship Id="rId154" Type="http://schemas.openxmlformats.org/officeDocument/2006/relationships/hyperlink" Target="https://www.sec.gov/Archives/edgar/data/1771515/000177151524000150/go2024q3exhibit101.htm" TargetMode="External"/><Relationship Id="rId155" Type="http://schemas.openxmlformats.org/officeDocument/2006/relationships/hyperlink" Target="https://www.sec.gov/Archives/edgar/data/1771515/000119312524246957/d905589dex101.htm" TargetMode="External"/><Relationship Id="rId156" Type="http://schemas.openxmlformats.org/officeDocument/2006/relationships/hyperlink" Target="https://www.sec.gov/Archives/edgar/data/1771515/000095012319005900/d710724dex1031.htm" TargetMode="External"/><Relationship Id="rId157" Type="http://schemas.openxmlformats.org/officeDocument/2006/relationships/hyperlink" Target="https://www.sec.gov/Archives/edgar/data/1771515/000110465923024754/tm236824d1_ex10-1.htm" TargetMode="External"/><Relationship Id="rId158" Type="http://schemas.openxmlformats.org/officeDocument/2006/relationships/hyperlink" Target="https://www.sec.gov/Archives/edgar/data/1771515/000177151523000048/go2023q1exhibit102.htm" TargetMode="External"/><Relationship Id="rId159" Type="http://schemas.openxmlformats.org/officeDocument/2006/relationships/hyperlink" Target="https://www.sec.gov/Archives/edgar/data/1771515/000177151523000048/go2023q1exhibit103.htm" TargetMode="External"/><Relationship Id="rId160" Type="http://schemas.openxmlformats.org/officeDocument/2006/relationships/hyperlink" Target="https://www.sec.gov/Archives/edgar/data/1771515/000177151523000048/go2023q1exhibit104.htm" TargetMode="External"/><Relationship Id="rId161" Type="http://schemas.openxmlformats.org/officeDocument/2006/relationships/hyperlink" Target="https://www.sec.gov/Archives/edgar/data/1771515/000177151523000048/go2023q1exhibit105.htm" TargetMode="External"/><Relationship Id="rId163" Type="http://schemas.openxmlformats.org/officeDocument/2006/relationships/hyperlink" Target="https://www.sec.gov/Archives/edgar/data/1771515/000177151524000016/go202310-k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2025-02-26T15:25:33Z</dcterms:created>
  <dcterms:modified xsi:type="dcterms:W3CDTF">2025-02-26T15:25:33Z</dcterms:modified>
</cp:coreProperties>
</file>