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49530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198120</wp:posOffset>
            </wp:positionV>
            <wp:extent cx="327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400" w:hanging="334"/>
        <w:spacing w:after="0"/>
        <w:tabs>
          <w:tab w:leader="none" w:pos="4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2,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400" w:hanging="334"/>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Grocery Outlet Holding Corp.</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00" w:type="dxa"/>
            <w:vAlign w:val="bottom"/>
            <w:gridSpan w:val="2"/>
          </w:tcPr>
          <w:p>
            <w:pPr>
              <w:jc w:val="center"/>
              <w:ind w:left="81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gridSpan w:val="2"/>
          </w:tcPr>
          <w:p>
            <w:pPr>
              <w:jc w:val="right"/>
              <w:ind w:right="753"/>
              <w:spacing w:after="0"/>
              <w:rPr>
                <w:sz w:val="20"/>
                <w:szCs w:val="20"/>
                <w:color w:val="auto"/>
              </w:rPr>
            </w:pPr>
            <w:r>
              <w:rPr>
                <w:rFonts w:ascii="Times New Roman" w:cs="Times New Roman" w:eastAsia="Times New Roman" w:hAnsi="Times New Roman"/>
                <w:sz w:val="18"/>
                <w:szCs w:val="18"/>
                <w:b w:val="1"/>
                <w:bCs w:val="1"/>
                <w:color w:val="auto"/>
              </w:rPr>
              <w:t>47-1874201</w:t>
            </w:r>
          </w:p>
        </w:tc>
        <w:tc>
          <w:tcPr>
            <w:tcW w:w="0" w:type="dxa"/>
            <w:vAlign w:val="bottom"/>
          </w:tcPr>
          <w:p>
            <w:pPr>
              <w:spacing w:after="0"/>
              <w:rPr>
                <w:sz w:val="1"/>
                <w:szCs w:val="1"/>
                <w:color w:val="auto"/>
              </w:rPr>
            </w:pPr>
          </w:p>
        </w:tc>
      </w:tr>
      <w:tr>
        <w:trPr>
          <w:trHeight w:val="189"/>
        </w:trPr>
        <w:tc>
          <w:tcPr>
            <w:tcW w:w="3700" w:type="dxa"/>
            <w:vAlign w:val="bottom"/>
            <w:gridSpan w:val="2"/>
          </w:tcPr>
          <w:p>
            <w:pPr>
              <w:jc w:val="center"/>
              <w:ind w:left="814"/>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40" w:type="dxa"/>
            <w:vAlign w:val="bottom"/>
          </w:tcPr>
          <w:p>
            <w:pPr>
              <w:ind w:left="110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c>
          <w:tcPr>
            <w:tcW w:w="0" w:type="dxa"/>
            <w:vAlign w:val="bottom"/>
          </w:tcPr>
          <w:p>
            <w:pPr>
              <w:spacing w:after="0"/>
              <w:rPr>
                <w:sz w:val="1"/>
                <w:szCs w:val="1"/>
                <w:color w:val="auto"/>
              </w:rPr>
            </w:pPr>
          </w:p>
        </w:tc>
      </w:tr>
      <w:tr>
        <w:trPr>
          <w:trHeight w:val="238"/>
        </w:trPr>
        <w:tc>
          <w:tcPr>
            <w:tcW w:w="3700" w:type="dxa"/>
            <w:vAlign w:val="bottom"/>
            <w:gridSpan w:val="2"/>
          </w:tcPr>
          <w:p>
            <w:pPr>
              <w:jc w:val="center"/>
              <w:ind w:left="814"/>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393"/>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35"/>
        </w:trPr>
        <w:tc>
          <w:tcPr>
            <w:tcW w:w="7560" w:type="dxa"/>
            <w:vAlign w:val="bottom"/>
            <w:gridSpan w:val="7"/>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5650 Hollis Street, Emeryville, California</w:t>
            </w:r>
          </w:p>
        </w:tc>
        <w:tc>
          <w:tcPr>
            <w:tcW w:w="3680" w:type="dxa"/>
            <w:vAlign w:val="bottom"/>
            <w:gridSpan w:val="2"/>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94608</w:t>
            </w:r>
          </w:p>
        </w:tc>
        <w:tc>
          <w:tcPr>
            <w:tcW w:w="0" w:type="dxa"/>
            <w:vAlign w:val="bottom"/>
          </w:tcPr>
          <w:p>
            <w:pPr>
              <w:spacing w:after="0"/>
              <w:rPr>
                <w:sz w:val="1"/>
                <w:szCs w:val="1"/>
                <w:color w:val="auto"/>
              </w:rPr>
            </w:pPr>
          </w:p>
        </w:tc>
      </w:tr>
      <w:tr>
        <w:trPr>
          <w:trHeight w:val="212"/>
        </w:trPr>
        <w:tc>
          <w:tcPr>
            <w:tcW w:w="3700" w:type="dxa"/>
            <w:vAlign w:val="bottom"/>
            <w:gridSpan w:val="2"/>
          </w:tcPr>
          <w:p>
            <w:pPr>
              <w:jc w:val="center"/>
              <w:ind w:left="814"/>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160" w:type="dxa"/>
            <w:vAlign w:val="bottom"/>
            <w:gridSpan w:val="3"/>
            <w:vMerge w:val="restart"/>
          </w:tcPr>
          <w:p>
            <w:pPr>
              <w:jc w:val="center"/>
              <w:ind w:left="596"/>
              <w:spacing w:after="0"/>
              <w:rPr>
                <w:sz w:val="20"/>
                <w:szCs w:val="20"/>
                <w:color w:val="auto"/>
              </w:rPr>
            </w:pPr>
            <w:r>
              <w:rPr>
                <w:rFonts w:ascii="Times New Roman" w:cs="Times New Roman" w:eastAsia="Times New Roman" w:hAnsi="Times New Roman"/>
                <w:sz w:val="18"/>
                <w:szCs w:val="18"/>
                <w:b w:val="1"/>
                <w:bCs w:val="1"/>
                <w:color w:val="auto"/>
                <w:w w:val="99"/>
              </w:rPr>
              <w:t>(510) 845-1999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33"/>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8"/>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00" w:type="dxa"/>
            <w:vAlign w:val="bottom"/>
            <w:gridSpan w:val="2"/>
          </w:tcPr>
          <w:p>
            <w:pPr>
              <w:jc w:val="center"/>
              <w:ind w:left="454"/>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80" w:type="dxa"/>
            <w:vAlign w:val="bottom"/>
            <w:gridSpan w:val="2"/>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7"/>
        </w:trPr>
        <w:tc>
          <w:tcPr>
            <w:tcW w:w="3700" w:type="dxa"/>
            <w:vAlign w:val="bottom"/>
            <w:tcBorders>
              <w:top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GO</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gridSpan w:val="2"/>
          </w:tcPr>
          <w:p>
            <w:pPr>
              <w:jc w:val="center"/>
              <w:ind w:right="493"/>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60" w:type="dxa"/>
        <w:tblCellMar>
          <w:top w:w="0" w:type="dxa"/>
          <w:left w:w="0" w:type="dxa"/>
          <w:bottom w:w="0" w:type="dxa"/>
          <w:right w:w="0" w:type="dxa"/>
        </w:tblCellMar>
      </w:tblPr>
      <w:tr>
        <w:trPr>
          <w:trHeight w:val="29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0"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74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5, 2022, the registrant had 96,367,403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20" w:type="dxa"/>
            <w:vAlign w:val="bottom"/>
            <w:gridSpan w:val="3"/>
          </w:tcPr>
          <w:p>
            <w:pPr>
              <w:ind w:left="33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195"/>
        </w:trPr>
        <w:tc>
          <w:tcPr>
            <w:tcW w:w="738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3051F2"/>
              </w:rPr>
              <w:t>Special Note Regarding Forward-Looking Statements</w:t>
            </w:r>
          </w:p>
        </w:tc>
        <w:tc>
          <w:tcPr>
            <w:tcW w:w="3540" w:type="dxa"/>
            <w:vAlign w:val="bottom"/>
            <w:gridSpan w:val="2"/>
          </w:tcPr>
          <w:p>
            <w:pPr>
              <w:jc w:val="center"/>
              <w:ind w:left="3299"/>
              <w:spacing w:after="0"/>
              <w:rPr>
                <w:sz w:val="20"/>
                <w:szCs w:val="20"/>
                <w:color w:val="auto"/>
              </w:rPr>
            </w:pPr>
            <w:r>
              <w:rPr>
                <w:rFonts w:ascii="Times New Roman" w:cs="Times New Roman" w:eastAsia="Times New Roman" w:hAnsi="Times New Roman"/>
                <w:sz w:val="16"/>
                <w:szCs w:val="16"/>
                <w:color w:val="3051F2"/>
                <w:w w:val="99"/>
              </w:rPr>
              <w:t>2</w:t>
            </w:r>
          </w:p>
        </w:tc>
        <w:tc>
          <w:tcPr>
            <w:tcW w:w="80" w:type="dxa"/>
            <w:vAlign w:val="bottom"/>
          </w:tcPr>
          <w:p>
            <w:pPr>
              <w:spacing w:after="0"/>
              <w:rPr>
                <w:sz w:val="16"/>
                <w:szCs w:val="16"/>
                <w:color w:val="auto"/>
              </w:rPr>
            </w:pPr>
          </w:p>
        </w:tc>
      </w:tr>
      <w:tr>
        <w:trPr>
          <w:trHeight w:val="520"/>
        </w:trPr>
        <w:tc>
          <w:tcPr>
            <w:tcW w:w="940" w:type="dxa"/>
            <w:vAlign w:val="bottom"/>
            <w:tcBorders>
              <w:top w:val="single" w:sz="8" w:color="3051F2"/>
            </w:tcBorders>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56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2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Financial Statements (Unaudited)</w:t>
            </w:r>
          </w:p>
        </w:tc>
        <w:tc>
          <w:tcPr>
            <w:tcW w:w="4020" w:type="dxa"/>
            <w:vAlign w:val="bottom"/>
            <w:gridSpan w:val="11"/>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3</w:t>
            </w:r>
          </w:p>
        </w:tc>
        <w:tc>
          <w:tcPr>
            <w:tcW w:w="80" w:type="dxa"/>
            <w:vAlign w:val="bottom"/>
          </w:tcPr>
          <w:p>
            <w:pPr>
              <w:spacing w:after="0"/>
              <w:rPr>
                <w:sz w:val="24"/>
                <w:szCs w:val="24"/>
                <w:color w:val="auto"/>
              </w:rPr>
            </w:pPr>
          </w:p>
        </w:tc>
      </w:tr>
      <w:tr>
        <w:trPr>
          <w:trHeight w:val="209"/>
        </w:trPr>
        <w:tc>
          <w:tcPr>
            <w:tcW w:w="940" w:type="dxa"/>
            <w:vAlign w:val="bottom"/>
          </w:tcPr>
          <w:p>
            <w:pPr>
              <w:spacing w:after="0"/>
              <w:rPr>
                <w:sz w:val="18"/>
                <w:szCs w:val="18"/>
                <w:color w:val="auto"/>
              </w:rPr>
            </w:pPr>
          </w:p>
        </w:tc>
        <w:tc>
          <w:tcPr>
            <w:tcW w:w="294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Condensed Consolidated Balance Sheets</w:t>
            </w:r>
          </w:p>
        </w:tc>
        <w:tc>
          <w:tcPr>
            <w:tcW w:w="3500" w:type="dxa"/>
            <w:vAlign w:val="bottom"/>
            <w:gridSpan w:val="9"/>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3</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572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Operations and Comprehensive Income</w:t>
            </w:r>
          </w:p>
        </w:tc>
        <w:tc>
          <w:tcPr>
            <w:tcW w:w="7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4</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Condensed Consolidated Statements of Stockholders' Equity</w:t>
            </w:r>
          </w:p>
        </w:tc>
        <w:tc>
          <w:tcPr>
            <w:tcW w:w="3540" w:type="dxa"/>
            <w:vAlign w:val="bottom"/>
            <w:gridSpan w:val="2"/>
          </w:tcPr>
          <w:p>
            <w:pPr>
              <w:jc w:val="center"/>
              <w:ind w:left="3299"/>
              <w:spacing w:after="0"/>
              <w:rPr>
                <w:sz w:val="20"/>
                <w:szCs w:val="20"/>
                <w:color w:val="auto"/>
              </w:rPr>
            </w:pPr>
            <w:r>
              <w:rPr>
                <w:rFonts w:ascii="Times New Roman" w:cs="Times New Roman" w:eastAsia="Times New Roman" w:hAnsi="Times New Roman"/>
                <w:sz w:val="16"/>
                <w:szCs w:val="16"/>
                <w:color w:val="3051F2"/>
                <w:w w:val="99"/>
              </w:rPr>
              <w:t>5</w:t>
            </w:r>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720" w:type="dxa"/>
            <w:vAlign w:val="bottom"/>
            <w:tcBorders>
              <w:top w:val="single" w:sz="8" w:color="3051F2"/>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w:t>
            </w:r>
          </w:p>
        </w:tc>
        <w:tc>
          <w:tcPr>
            <w:tcW w:w="640" w:type="dxa"/>
            <w:vAlign w:val="bottom"/>
            <w:tcBorders>
              <w:top w:val="single" w:sz="8" w:color="3051F2"/>
            </w:tcBorders>
            <w:gridSpan w:val="4"/>
          </w:tcPr>
          <w:p>
            <w:pPr>
              <w:spacing w:after="0"/>
              <w:rPr>
                <w:sz w:val="18"/>
                <w:szCs w:val="18"/>
                <w:color w:val="auto"/>
              </w:rPr>
            </w:pPr>
          </w:p>
        </w:tc>
        <w:tc>
          <w:tcPr>
            <w:tcW w:w="208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top w:val="single" w:sz="8" w:color="3051F2"/>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7</w:t>
            </w:r>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40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2440" w:type="dxa"/>
            <w:vAlign w:val="bottom"/>
            <w:gridSpan w:val="5"/>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8</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18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36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Overview</w:t>
            </w: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18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8"/>
              </w:rPr>
              <w:t>Results of Operations</w:t>
            </w:r>
          </w:p>
        </w:tc>
        <w:tc>
          <w:tcPr>
            <w:tcW w:w="4880" w:type="dxa"/>
            <w:vAlign w:val="bottom"/>
            <w:gridSpan w:val="1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21</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Liquidity and Capital Resources</w:t>
            </w:r>
          </w:p>
        </w:tc>
        <w:tc>
          <w:tcPr>
            <w:tcW w:w="3620" w:type="dxa"/>
            <w:vAlign w:val="bottom"/>
            <w:gridSpan w:val="3"/>
          </w:tcPr>
          <w:p>
            <w:pPr>
              <w:jc w:val="center"/>
              <w:ind w:left="3219"/>
              <w:spacing w:after="0"/>
              <w:rPr>
                <w:sz w:val="20"/>
                <w:szCs w:val="20"/>
                <w:color w:val="auto"/>
              </w:rPr>
            </w:pPr>
            <w:r>
              <w:rPr>
                <w:rFonts w:ascii="Times New Roman" w:cs="Times New Roman" w:eastAsia="Times New Roman" w:hAnsi="Times New Roman"/>
                <w:sz w:val="16"/>
                <w:szCs w:val="16"/>
                <w:color w:val="3051F2"/>
                <w:w w:val="99"/>
              </w:rPr>
              <w:t>28</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Critical Accounting Policies and Estimates</w:t>
            </w:r>
          </w:p>
        </w:tc>
        <w:tc>
          <w:tcPr>
            <w:tcW w:w="3620" w:type="dxa"/>
            <w:vAlign w:val="bottom"/>
            <w:gridSpan w:val="3"/>
          </w:tcPr>
          <w:p>
            <w:pPr>
              <w:jc w:val="center"/>
              <w:ind w:left="3219"/>
              <w:spacing w:after="0"/>
              <w:rPr>
                <w:sz w:val="20"/>
                <w:szCs w:val="20"/>
                <w:color w:val="auto"/>
              </w:rPr>
            </w:pPr>
            <w:r>
              <w:rPr>
                <w:rFonts w:ascii="Times New Roman" w:cs="Times New Roman" w:eastAsia="Times New Roman" w:hAnsi="Times New Roman"/>
                <w:sz w:val="16"/>
                <w:szCs w:val="16"/>
                <w:color w:val="3051F2"/>
                <w:w w:val="99"/>
              </w:rPr>
              <w:t>29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080" w:type="dxa"/>
            <w:vAlign w:val="bottom"/>
            <w:gridSpan w:val="12"/>
          </w:tcPr>
          <w:p>
            <w:pPr>
              <w:spacing w:after="0"/>
              <w:rPr>
                <w:sz w:val="20"/>
                <w:szCs w:val="20"/>
                <w:color w:val="auto"/>
              </w:rPr>
            </w:pPr>
            <w:r>
              <w:rPr>
                <w:rFonts w:ascii="Times New Roman" w:cs="Times New Roman" w:eastAsia="Times New Roman" w:hAnsi="Times New Roman"/>
                <w:sz w:val="18"/>
                <w:szCs w:val="18"/>
                <w:color w:val="3051F2"/>
              </w:rPr>
              <w:t>Recent Accounting Pronouncements</w:t>
            </w:r>
          </w:p>
        </w:tc>
        <w:tc>
          <w:tcPr>
            <w:tcW w:w="3360" w:type="dxa"/>
            <w:vAlign w:val="bottom"/>
            <w:gridSpan w:val="7"/>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29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 about Market Risk</w:t>
            </w:r>
          </w:p>
        </w:tc>
        <w:tc>
          <w:tcPr>
            <w:tcW w:w="2200" w:type="dxa"/>
            <w:vAlign w:val="bottom"/>
            <w:gridSpan w:val="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30</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440" w:type="dxa"/>
            <w:vAlign w:val="bottom"/>
            <w:tcBorders>
              <w:left w:val="single" w:sz="8" w:color="3051F2"/>
            </w:tcBorders>
            <w:gridSpan w:val="2"/>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920" w:type="dxa"/>
            <w:vAlign w:val="bottom"/>
            <w:gridSpan w:val="8"/>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3051F2"/>
              </w:rPr>
              <w:t>Controls and Procedures</w:t>
            </w:r>
          </w:p>
        </w:tc>
        <w:tc>
          <w:tcPr>
            <w:tcW w:w="2200" w:type="dxa"/>
            <w:vAlign w:val="bottom"/>
            <w:gridSpan w:val="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31</w:t>
            </w:r>
          </w:p>
        </w:tc>
      </w:tr>
      <w:tr>
        <w:trPr>
          <w:trHeight w:val="520"/>
        </w:trPr>
        <w:tc>
          <w:tcPr>
            <w:tcW w:w="940" w:type="dxa"/>
            <w:vAlign w:val="bottom"/>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342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5"/>
              </w:rPr>
              <w:t>Legal Proceedings</w:t>
            </w:r>
          </w:p>
        </w:tc>
        <w:tc>
          <w:tcPr>
            <w:tcW w:w="5120" w:type="dxa"/>
            <w:vAlign w:val="bottom"/>
            <w:gridSpan w:val="15"/>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000" w:type="dxa"/>
            <w:vAlign w:val="bottom"/>
            <w:tcBorders>
              <w:left w:val="single" w:sz="8" w:color="3051F2"/>
            </w:tcBorders>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Risk Factors</w:t>
            </w:r>
          </w:p>
        </w:tc>
        <w:tc>
          <w:tcPr>
            <w:tcW w:w="5120" w:type="dxa"/>
            <w:vAlign w:val="bottom"/>
            <w:gridSpan w:val="15"/>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Unregistered Sales of Equity Securities and Use of Proceeds</w:t>
            </w:r>
          </w:p>
        </w:tc>
        <w:tc>
          <w:tcPr>
            <w:tcW w:w="3620" w:type="dxa"/>
            <w:vAlign w:val="bottom"/>
            <w:gridSpan w:val="3"/>
          </w:tcPr>
          <w:p>
            <w:pPr>
              <w:jc w:val="center"/>
              <w:ind w:left="3219"/>
              <w:spacing w:after="0"/>
              <w:rPr>
                <w:sz w:val="20"/>
                <w:szCs w:val="20"/>
                <w:color w:val="auto"/>
              </w:rPr>
            </w:pPr>
            <w:r>
              <w:rPr>
                <w:rFonts w:ascii="Times New Roman" w:cs="Times New Roman" w:eastAsia="Times New Roman" w:hAnsi="Times New Roman"/>
                <w:sz w:val="16"/>
                <w:szCs w:val="16"/>
                <w:color w:val="3051F2"/>
                <w:w w:val="99"/>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1000" w:type="dxa"/>
            <w:vAlign w:val="bottom"/>
            <w:tcBorders>
              <w:left w:val="single" w:sz="8" w:color="3051F2"/>
            </w:tcBorders>
            <w:gridSpan w:val="3"/>
            <w:shd w:val="clear" w:color="auto" w:fill="3051F2"/>
          </w:tcPr>
          <w:p>
            <w:pPr>
              <w:spacing w:after="0" w:line="20" w:lineRule="exact"/>
              <w:rPr>
                <w:sz w:val="1"/>
                <w:szCs w:val="1"/>
                <w:color w:val="auto"/>
              </w:rPr>
            </w:pPr>
          </w:p>
        </w:tc>
        <w:tc>
          <w:tcPr>
            <w:tcW w:w="2020" w:type="dxa"/>
            <w:vAlign w:val="bottom"/>
            <w:gridSpan w:val="9"/>
            <w:shd w:val="clear" w:color="auto" w:fill="3051F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2100" w:type="dxa"/>
            <w:vAlign w:val="bottom"/>
            <w:gridSpan w:val="3"/>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3051F2"/>
              </w:rPr>
              <w:t>Mine Safety Disclosures</w:t>
            </w:r>
          </w:p>
        </w:tc>
        <w:tc>
          <w:tcPr>
            <w:tcW w:w="4120" w:type="dxa"/>
            <w:vAlign w:val="bottom"/>
            <w:gridSpan w:val="12"/>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440" w:type="dxa"/>
            <w:vAlign w:val="bottom"/>
            <w:tcBorders>
              <w:left w:val="single" w:sz="8" w:color="3051F2"/>
            </w:tcBorders>
            <w:gridSpan w:val="2"/>
            <w:shd w:val="clear" w:color="auto" w:fill="3051F2"/>
          </w:tcPr>
          <w:p>
            <w:pPr>
              <w:spacing w:after="0" w:line="20" w:lineRule="exact"/>
              <w:rPr>
                <w:sz w:val="1"/>
                <w:szCs w:val="1"/>
                <w:color w:val="auto"/>
              </w:rPr>
            </w:pPr>
          </w:p>
        </w:tc>
        <w:tc>
          <w:tcPr>
            <w:tcW w:w="4680" w:type="dxa"/>
            <w:vAlign w:val="bottom"/>
            <w:gridSpan w:val="1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7"/>
              </w:rPr>
              <w:t>Other Information</w:t>
            </w:r>
          </w:p>
        </w:tc>
        <w:tc>
          <w:tcPr>
            <w:tcW w:w="440" w:type="dxa"/>
            <w:vAlign w:val="bottom"/>
            <w:gridSpan w:val="2"/>
          </w:tcPr>
          <w:p>
            <w:pPr>
              <w:spacing w:after="0"/>
              <w:rPr>
                <w:sz w:val="18"/>
                <w:szCs w:val="18"/>
                <w:color w:val="auto"/>
              </w:rPr>
            </w:pPr>
          </w:p>
        </w:tc>
        <w:tc>
          <w:tcPr>
            <w:tcW w:w="4680" w:type="dxa"/>
            <w:vAlign w:val="bottom"/>
            <w:gridSpan w:val="13"/>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5120" w:type="dxa"/>
            <w:vAlign w:val="bottom"/>
            <w:gridSpan w:val="15"/>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3051F2"/>
                <w:w w:val="96"/>
              </w:rPr>
              <w:t>Exhibits</w:t>
            </w:r>
          </w:p>
        </w:tc>
        <w:tc>
          <w:tcPr>
            <w:tcW w:w="720" w:type="dxa"/>
            <w:vAlign w:val="bottom"/>
            <w:gridSpan w:val="3"/>
          </w:tcPr>
          <w:p>
            <w:pPr>
              <w:spacing w:after="0"/>
              <w:rPr>
                <w:sz w:val="18"/>
                <w:szCs w:val="18"/>
                <w:color w:val="auto"/>
              </w:rPr>
            </w:pPr>
          </w:p>
        </w:tc>
        <w:tc>
          <w:tcPr>
            <w:tcW w:w="5120" w:type="dxa"/>
            <w:vAlign w:val="bottom"/>
            <w:gridSpan w:val="15"/>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6"/>
              </w:rPr>
              <w:t>Signatures</w:t>
            </w:r>
          </w:p>
        </w:tc>
        <w:tc>
          <w:tcPr>
            <w:tcW w:w="5740" w:type="dxa"/>
            <w:vAlign w:val="bottom"/>
            <w:gridSpan w:val="17"/>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tcBorders>
              <w:left w:val="single" w:sz="8" w:color="0E32E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231F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including statements regarding our future operating results and financial position, our business strategy and plans, business trends, our objectives for future operations, and the sufficiency of our cash balances, working capital and cash generated from operating, investing and financing activities for our future liquidity and capital resource needs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our Annual Report on Form 10-K for the fiscal year ended January 1, 2022 (the "</w:t>
      </w:r>
      <w:r>
        <w:rPr>
          <w:rFonts w:ascii="Times New Roman" w:cs="Times New Roman" w:eastAsia="Times New Roman" w:hAnsi="Times New Roman"/>
          <w:sz w:val="18"/>
          <w:szCs w:val="18"/>
          <w:i w:val="1"/>
          <w:iCs w:val="1"/>
          <w:color w:val="000000"/>
        </w:rPr>
        <w:t>2021</w:t>
      </w:r>
      <w:r>
        <w:rPr>
          <w:rFonts w:ascii="Times New Roman" w:cs="Times New Roman" w:eastAsia="Times New Roman" w:hAnsi="Times New Roman"/>
          <w:sz w:val="18"/>
          <w:szCs w:val="18"/>
          <w:i w:val="1"/>
          <w:iCs w:val="1"/>
          <w:color w:val="231F20"/>
        </w:rPr>
        <w:t xml:space="preserve"> Form 10-K"), and as described in other subsequent reports we file with the United States ("U.S.") Securities and Exchange Commission (the "SEC"), including this report.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7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spacing w:after="0" w:line="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260" w:type="dxa"/>
            <w:vAlign w:val="bottom"/>
          </w:tcPr>
          <w:p>
            <w:pPr>
              <w:spacing w:after="0"/>
              <w:rPr>
                <w:sz w:val="13"/>
                <w:szCs w:val="13"/>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140,085</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Independent operator receivables and current portion of independent operator notes, net of allowance $1,616</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$1,406</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accounts receivable, net of allowance $68 and $57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Merchandise inventories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442,745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notes, net of allowance $10,931 and $10,506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898,152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133,203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49,025</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237,906</w:t>
            </w:r>
          </w:p>
        </w:tc>
        <w:tc>
          <w:tcPr>
            <w:tcW w:w="0" w:type="dxa"/>
            <w:vAlign w:val="bottom"/>
          </w:tcPr>
          <w:p>
            <w:pPr>
              <w:spacing w:after="0"/>
              <w:rPr>
                <w:sz w:val="1"/>
                <w:szCs w:val="1"/>
                <w:color w:val="auto"/>
              </w:rPr>
            </w:pPr>
          </w:p>
        </w:tc>
      </w:tr>
      <w:tr>
        <w:trPr>
          <w:trHeight w:val="229"/>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451,468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961,746</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1,682,976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1,660,536</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500,000,000 shares authorized; 96,281,188 and 96,144,433 shares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Series A preferred stock, par value $0.001 per share, 50,000,000 shares authorized; no shares issued and</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811,701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1,024,070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000" w:type="dxa"/>
            <w:vAlign w:val="bottom"/>
          </w:tcPr>
          <w:p>
            <w:pPr>
              <w:jc w:val="right"/>
              <w:ind w:right="412"/>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752,466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580,538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520,539</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188,598</w:t>
            </w:r>
          </w:p>
        </w:tc>
        <w:tc>
          <w:tcPr>
            <w:tcW w:w="0" w:type="dxa"/>
            <w:vAlign w:val="bottom"/>
          </w:tcPr>
          <w:p>
            <w:pPr>
              <w:spacing w:after="0"/>
              <w:rPr>
                <w:sz w:val="1"/>
                <w:szCs w:val="1"/>
                <w:color w:val="auto"/>
              </w:rPr>
            </w:pP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231,461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208,080</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6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95,195</w:t>
            </w:r>
          </w:p>
        </w:tc>
        <w:tc>
          <w:tcPr>
            <w:tcW w:w="0" w:type="dxa"/>
            <w:vAlign w:val="bottom"/>
          </w:tcPr>
          <w:p>
            <w:pPr>
              <w:spacing w:after="0"/>
              <w:rPr>
                <w:sz w:val="1"/>
                <w:szCs w:val="1"/>
                <w:color w:val="auto"/>
              </w:rPr>
            </w:pPr>
          </w:p>
        </w:tc>
      </w:tr>
      <w:tr>
        <w:trPr>
          <w:trHeight w:val="234"/>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99,570</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0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96,144,433</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 2022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1,024,070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0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94,854,336</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647,137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95,501,473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948,086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000" w:type="dxa"/>
            <w:vAlign w:val="bottom"/>
          </w:tcPr>
          <w:p>
            <w:pPr>
              <w:jc w:val="right"/>
              <w:ind w:right="411"/>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14,221</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and other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0"/>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Independent operator and other accounts receivable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accounts payable, accrued compensation and other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(16,458)</w:t>
            </w: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lease assets and liabilities, net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23"/>
        </w:trPr>
        <w:tc>
          <w:tcPr>
            <w:tcW w:w="8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26,413</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to independent operators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advances from independent operators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(36,570)</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Investments in intangible assets and licenses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23"/>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(39,164)</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105,326</w:t>
            </w:r>
          </w:p>
        </w:tc>
      </w:tr>
      <w:tr>
        <w:trPr>
          <w:trHeight w:val="22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137,996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95,292</w:t>
            </w:r>
          </w:p>
        </w:tc>
      </w:tr>
      <w:tr>
        <w:trPr>
          <w:trHeight w:val="20"/>
        </w:trPr>
        <w:tc>
          <w:tcPr>
            <w:tcW w:w="8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 Based in Emeryville, California, and incorporated in Delaware in 2014, Grocery Outlet Holding Corp. (together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subsidiaries, collectively, "Grocery Outlet," "we," or the "Company") is a high-growth, extreme value retailer of quality, name-brand consumables and fresh products sold through a network of independently operated stores. As of April 2, 2022, we had 418 stores throughout California, Washington, Oregon, Pennsylvania, Idaho, Nevada and New Jersey.</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January 1, 2022 (the "2021 Form 10-K"). The condensed consolidated balance sheet as of January 1, 2022 included herein has been derived from those audited consolidated financial statements.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Certain prior period amounts in the notes to the condensed consolidated financial statements have been reclassified to conform to the current period presentation. The reclassification of these items had no impact on net income, earnings per share, or retained earnings in the current or prior period.</w:t>
      </w:r>
    </w:p>
    <w:p>
      <w:pPr>
        <w:spacing w:after="0" w:line="7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condensed consolidated financial statements in conformity with GAAP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6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We manage our business as one operating segment. In addition, all of our sales were made to customers located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and all property and equipment is located in the United States.</w:t>
      </w:r>
    </w:p>
    <w:p>
      <w:pPr>
        <w:spacing w:after="0" w:line="4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Merchandise Inventories </w:t>
      </w:r>
      <w:r>
        <w:rPr>
          <w:rFonts w:ascii="Times New Roman" w:cs="Times New Roman" w:eastAsia="Times New Roman" w:hAnsi="Times New Roman"/>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an arrangement is a lease at inception. Operating leases are included in operating lease right-of-use assets, current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long-term lease liabilities on our condensed consolidated balance sheets. Finance leases are included in other assets, current lease liabilities, and long-term lease liabilities on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spacing w:after="0" w:line="7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Fair value is defined as the exchange price, or exit price, representing the amount that would be received to sell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or inputs that are observable</w:t>
      </w:r>
    </w:p>
    <w:p>
      <w:pPr>
        <w:spacing w:after="0" w:line="63" w:lineRule="exact"/>
        <w:rPr>
          <w:sz w:val="20"/>
          <w:szCs w:val="20"/>
          <w:color w:val="auto"/>
        </w:rPr>
      </w:pPr>
    </w:p>
    <w:p>
      <w:pPr>
        <w:ind w:left="1540" w:hanging="89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in which there is little or no market data, which requires us to develop our own assumptions when pricing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such as cash flow modeling assumptions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on a recurring or non-recurring basis as of April 2, 2022 or January 1, 2022. Generally, assets are recorded at fair value on a nonrecurring basis as a result of impairment charges. There were no transfers of assets or liabilities between levels within the fair value hierarchy during the 13 weeks ended April 2, 2022.</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assets and liabilities are carried at cost, which generally approximates their fair value, as described below:</w:t>
      </w:r>
    </w:p>
    <w:p>
      <w:pPr>
        <w:spacing w:after="0" w:line="11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independent operator ("IO") receivables, other accounts receivable and accounts payable </w:t>
      </w:r>
      <w:r>
        <w:rPr>
          <w:rFonts w:ascii="Times New Roman" w:cs="Times New Roman" w:eastAsia="Times New Roman" w:hAnsi="Times New Roman"/>
          <w:sz w:val="18"/>
          <w:szCs w:val="18"/>
          <w:color w:val="auto"/>
        </w:rPr>
        <w:t>— The carrying value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approximates their fair value due to factors such as their short-term nature or their variable interest rates.</w:t>
      </w:r>
    </w:p>
    <w:p>
      <w:pPr>
        <w:spacing w:after="0" w:line="5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IO notes receivable (net) </w:t>
      </w:r>
      <w:r>
        <w:rPr>
          <w:rFonts w:ascii="Times New Roman" w:cs="Times New Roman" w:eastAsia="Times New Roman" w:hAnsi="Times New Roman"/>
          <w:sz w:val="18"/>
          <w:szCs w:val="18"/>
          <w:color w:val="auto"/>
        </w:rPr>
        <w:t>— The carrying value of such financial instruments approximates their fair value due to the effect of the related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expected credit losses.</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(amounts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right"/>
              <w:ind w:right="159"/>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right"/>
              <w:ind w:right="119"/>
              <w:spacing w:after="0" w:line="15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50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4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(Level 2)</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452,026</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457,700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451,468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457,700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right="20" w:hanging="492"/>
        <w:spacing w:after="0" w:line="280"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amounts as of April 2, 2022 and January 1, 2022 are net of unamortized debt discounts of $0.9 million and $1.0 million, respectively, and debt issuance costs of $7.1 million and $7.5 million, respectively.</w:t>
      </w:r>
    </w:p>
    <w:p>
      <w:pPr>
        <w:spacing w:after="0" w:line="2" w:lineRule="exact"/>
        <w:rPr>
          <w:rFonts w:ascii="Times New Roman" w:cs="Times New Roman" w:eastAsia="Times New Roman" w:hAnsi="Times New Roman"/>
          <w:sz w:val="16"/>
          <w:szCs w:val="16"/>
          <w:color w:val="auto"/>
        </w:rPr>
      </w:pPr>
    </w:p>
    <w:p>
      <w:pPr>
        <w:ind w:left="500" w:hanging="492"/>
        <w:spacing w:after="0" w:line="298"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fair value of our term loan was determined based on the average quoted bid-ask prices for the term loan in an over-the-counter market on the last trading day of the periods presented.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We recognize revenue from the sale of products at the point of sale, net of any taxes or deposits collected and remitted to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w:t>
      </w:r>
    </w:p>
    <w:p>
      <w:pPr>
        <w:spacing w:after="0" w:line="78"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April 2, 2022 and January 1, 2022.</w:t>
      </w:r>
    </w:p>
    <w:p>
      <w:pPr>
        <w:spacing w:after="0" w:line="6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Gift Cards </w:t>
      </w:r>
      <w:r>
        <w:rPr>
          <w:rFonts w:ascii="Times New Roman" w:cs="Times New Roman" w:eastAsia="Times New Roman" w:hAnsi="Times New Roman"/>
          <w:sz w:val="18"/>
          <w:szCs w:val="18"/>
          <w:color w:val="auto"/>
        </w:rPr>
        <w:t>— We record a deferred revenue liability when a Grocery Outlet gift card is sold. Revenue related to gift cards is recognized as the gift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$2.9 million and $3.6 million as of April 2, 2022 and January 1, 2022, respectively. Breakage amounts were immaterial for the 13 weeks ended April 2, 2022 and April 3, 2021.</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Disaggregated Revenues </w:t>
      </w:r>
      <w:r>
        <w:rPr>
          <w:rFonts w:ascii="Times New Roman" w:cs="Times New Roman" w:eastAsia="Times New Roman" w:hAnsi="Times New Roman"/>
          <w:sz w:val="18"/>
          <w:szCs w:val="18"/>
          <w:color w:val="auto"/>
        </w:rPr>
        <w:t>— The following table presents net sales revenue by type of product for the periods indicated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000" w:type="dxa"/>
            <w:vAlign w:val="bottom"/>
          </w:tcPr>
          <w:p>
            <w:pPr>
              <w:jc w:val="right"/>
              <w:ind w:right="417"/>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1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Perishable </w:t>
            </w:r>
            <w:r>
              <w:rPr>
                <w:rFonts w:ascii="Times New Roman" w:cs="Times New Roman" w:eastAsia="Times New Roman" w:hAnsi="Times New Roman"/>
                <w:sz w:val="26"/>
                <w:szCs w:val="26"/>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261,418</w:t>
            </w:r>
          </w:p>
        </w:tc>
      </w:tr>
      <w:tr>
        <w:trPr>
          <w:trHeight w:val="229"/>
        </w:trPr>
        <w:tc>
          <w:tcPr>
            <w:tcW w:w="8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Non-perishable </w:t>
            </w:r>
            <w:r>
              <w:rPr>
                <w:rFonts w:ascii="Times New Roman" w:cs="Times New Roman" w:eastAsia="Times New Roman" w:hAnsi="Times New Roman"/>
                <w:sz w:val="26"/>
                <w:szCs w:val="26"/>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530,585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491,048</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831,427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752,466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Perishable departments include dairy and deli; produce and floral; and fresh meat and seafood.</w:t>
      </w:r>
    </w:p>
    <w:p>
      <w:pPr>
        <w:spacing w:after="0" w:line="59"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Non-perishable departments include non-perishable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 In accordance with the variable interest entities sub-section of Accounting Standards Codification ("ASC") Topic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assess at each reporting period whether we, or any consolidated entity, are considered the primary beneficiary of a variable interest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had 414, 411 and 385 stores operated by IOs as of April 2, 2022, January 1, 2022 and April 3, 2021,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IOs are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consignor of all merchandise to each IO, the aggregate net sales proceeds from merchandise sales belongs to us. Net sales related to IO stores were $817.0 million and $739.6 million for the 13 weeks ended April 2, 2022 and April 3, 2021, respectively. We, in turn, pay IOs a commission based on a share of the gross profit of the store. Inventories and related net sales proceeds are our property, and we are responsible for store rent and related occupancy costs. IO commissions were expensed and included in SG&amp;A. IO commissions were $122.7 million and $112.7 million for the 13 weeks ended April 2, 2022 and April 3, 2021, respectively. IO commissions of $5.4 million and $9.1 million were included in accrued expenses as of April 2, 2022 and January 1, 2022, respectively.</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IOs may fund their initial store investment from existing capital, a third-party loan or most commonly through a loan from us, as further discussed in Note 2. As collateral for IO obligations and performance, the Operator Agreements grant us the security interests in the assets owned by the IOs related to the respective store. Since the total investment at risk associated with each IO is not sufficient to permit each IO to finance its activities without additional subordinated financial support, the IOs are VIEs which we have variable interests in. To determine if we are the primary beneficiary of these VIEs,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their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Agreements illustrate the lack of ultimate control over the IO. Therefore, the Company is not the primary beneficiary of these VIEs.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maximum exposure, in accordance with ASC Topic 810, to the IOs is generally limited to the IO notes and IO receivables due from these entities, which was $42.5 million and $40.6 million as of April 2, 2022 and January 1, 2022, respectively. See Note 2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recently adopted accounting pronouncements had a material effect on our condensed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No. 2022-02 </w:t>
      </w:r>
      <w:r>
        <w:rPr>
          <w:rFonts w:ascii="Times New Roman" w:cs="Times New Roman" w:eastAsia="Times New Roman" w:hAnsi="Times New Roman"/>
          <w:sz w:val="18"/>
          <w:szCs w:val="18"/>
          <w:color w:val="auto"/>
        </w:rPr>
        <w:t>— In March 2022, the Financial Accounting Standards Board issued ASU No. 2022-02, Troubled Debt Restructurings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Vintage Disclosures ("ASU 2022-02"). ASU 2022-02 eliminates the accounting guidance on troubled debt restructurings for creditors in ASC Topic 310 and amends the guidance on "vintage disclosures" to require disclosure of current-period gross write-offs by year of origination. ASU 2022-02 also updates the requirements related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for credit losses under ASC Topic 326 and adds enhanced disclosures for creditors with respect to loan refinancings and restructurings for borrowers experiencing financial difficulty. ASU 2022-02 is effective for fiscal years beginning after December 15, 2022, including interim periods within those fiscal years. We will adopt ASU 2022-02 beginning in the first quarter of fiscal 2023. Aside from the disclosure changes, we do not expect the adoption of ASU 2022-02 to have a material impact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Independent Operator Notes and Independent Operator Receivables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amounts included in IO notes and IO receivables consist primarily of funds we loaned to IOs, net of estimated uncollectible amounts. IO notes are payable on demand and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$0.6 million and $0.5 million as of April 2, 2022 and January 1, 2022, respectively. There were no IO notes that were past due or on a non-accrual status due to delinquency as of April 2, 2022 or January 1, 2022. Notes and receivables from our IOs participating in our TCAP, as defined below, are not considered to be past due or on a non-accrual status due to delinquency and are excluded from such measures.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2" w:lineRule="exact"/>
        <w:rPr>
          <w:sz w:val="20"/>
          <w:szCs w:val="20"/>
          <w:color w:val="auto"/>
        </w:rPr>
      </w:pPr>
    </w:p>
    <w:p>
      <w:pPr>
        <w:jc w:val="both"/>
        <w:ind w:left="980" w:hanging="324"/>
        <w:spacing w:after="0" w:line="261"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67" w:lineRule="exact"/>
        <w:rPr>
          <w:rFonts w:ascii="Times New Roman" w:cs="Times New Roman" w:eastAsia="Times New Roman" w:hAnsi="Times New Roman"/>
          <w:sz w:val="18"/>
          <w:szCs w:val="18"/>
          <w:b w:val="1"/>
          <w:bCs w:val="1"/>
          <w:color w:val="auto"/>
        </w:rPr>
      </w:pPr>
    </w:p>
    <w:p>
      <w:pPr>
        <w:ind w:left="980" w:right="20" w:hanging="324"/>
        <w:spacing w:after="0" w:line="286"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Non-TCAP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from IOs with stores that have been open for more than 18 months that are not participating in TCAP as of the end of each reporting period.</w:t>
      </w:r>
    </w:p>
    <w:p>
      <w:pPr>
        <w:spacing w:after="0" w:line="46"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New store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from IOs with stores that have been open for less than 18 months as of the end of each reporting period.</w:t>
      </w:r>
    </w:p>
    <w:p>
      <w:pPr>
        <w:spacing w:after="0" w:line="5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due from IOs and the related allowances as of April 2, 2022 and January 1, 2022 consisted of the following (amounts in thousands)</w:t>
      </w:r>
      <w:r>
        <w:rPr>
          <w:rFonts w:ascii="Times New Roman" w:cs="Times New Roman" w:eastAsia="Times New Roman" w:hAnsi="Times New Roman"/>
          <w:sz w:val="19"/>
          <w:szCs w:val="19"/>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3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980" w:type="dxa"/>
            <w:vAlign w:val="bottom"/>
          </w:tcPr>
          <w:p>
            <w:pPr>
              <w:jc w:val="center"/>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3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April 2, 2022</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12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23,120</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42,462</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29,915</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3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14"/>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12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28,735</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activity in the IO notes and IO receivables allowance was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13 Weeks Ended</w:t>
            </w:r>
          </w:p>
        </w:tc>
      </w:tr>
      <w:tr>
        <w:trPr>
          <w:trHeight w:val="23"/>
        </w:trPr>
        <w:tc>
          <w:tcPr>
            <w:tcW w:w="8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40" w:type="dxa"/>
            <w:vAlign w:val="bottom"/>
          </w:tcPr>
          <w:p>
            <w:pPr>
              <w:spacing w:after="0"/>
              <w:rPr>
                <w:sz w:val="11"/>
                <w:szCs w:val="11"/>
                <w:color w:val="auto"/>
              </w:rPr>
            </w:pPr>
          </w:p>
        </w:tc>
        <w:tc>
          <w:tcPr>
            <w:tcW w:w="1000" w:type="dxa"/>
            <w:vAlign w:val="bottom"/>
          </w:tcPr>
          <w:p>
            <w:pPr>
              <w:jc w:val="right"/>
              <w:ind w:right="296"/>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86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IO notes and IO receivables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provision for IO notes and IO receivables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9,003</w:t>
            </w:r>
          </w:p>
        </w:tc>
      </w:tr>
      <w:tr>
        <w:trPr>
          <w:trHeight w:val="20"/>
        </w:trPr>
        <w:tc>
          <w:tcPr>
            <w:tcW w:w="8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IO notes by year of origination and credit quality indicator as of April 2, 2022 (amounts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Quality Indicator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 (YTD)</w:t>
            </w: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Non-TCAP</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0" w:type="dxa"/>
            <w:vAlign w:val="bottom"/>
          </w:tcPr>
          <w:p>
            <w:pPr>
              <w:spacing w:after="0"/>
              <w:rPr>
                <w:sz w:val="1"/>
                <w:szCs w:val="1"/>
                <w:color w:val="auto"/>
              </w:rPr>
            </w:pPr>
          </w:p>
        </w:tc>
      </w:tr>
      <w:tr>
        <w:trPr>
          <w:trHeight w:val="21"/>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Long-term Debt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gridSpan w:val="3"/>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April 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Credit Agreement: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460,000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gross</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460,000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debt issuance costs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452,026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451,468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GOBP Holdings, Inc ("GOBP Holdings"), our wholly owned subsidiary, together with another of our wholly owned subsidiaries, has a first lien credit agreement (the "First Lien Credit Agreement") with a syndicate of lenders that consists of a $460.0 million senior term loan and a revolving credit facility for an amount up to $100.0 million, with sub-commitments for a $35.0 million letter of credit and $20.0 million of swingline loans as of April 2, 2022. The First Lien Credit Agreement permits voluntary prepayment on borrowings without premium or penalty. Borrowings under the First Lien Credit Agreement are secured by substantially all the assets of the borrower subsidiary and its guarantors.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$460.0 million senior term loan matures on October 22, 2025, has an applicable margin of 2.75% for Eurodollar loans and 1.75% for base rate loans, and had an effective interest rate of 3.21% as of April 2, 2022. Due to previous prepayments on the term loan, no further principal payment on the term loan will be due until the maturity date.</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April 2, 2022, we had $3.5 million of outstanding standby letters of credit and $96.5 million of remaining borrowing capacity available under the revolving credit facility. No amounts were outstanding under the revolving credit facility as of April 2, 2022 and January 1, 2022.</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 and other similar distributions, with certain exceptions. Additionally, borrowing availability under the revolving credit facility under our First Lien Credit Agreement is subject to a first lien secured leverage ratio (as defined in the First Lien Credit Agreement) of 7.00 to 1.00.</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2, 2022, we were in compliance with all applicable financial covenant requirements for our First Lien Credit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maturities of debt as of April 2, 2022 are as follows (amounts in thousands):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2022</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1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expense, net, consisted of the following (amounts in thousands):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16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jc w:val="right"/>
              <w:ind w:right="412"/>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loans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3,682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open-market purchases, accelerated share repurchase programs, privately negotiated transactions, structured repurchase transactions and under a Rule 10b5-1 plan (which would permit shares to be repurchased when the Company might otherwise be precluded from doing so under securities laws). Any repurchased shares are constructively retired and returned to an unissued status. During the 13 weeks ended April 2, 2022, we repurchased 139,718 shares of common stock totaling $3.5 million, including commissions, at an average price of $24.70 per share in open-market transactions pursuant to a Rule 10b5-1 plan. As of April 2, 2022, we had $96.5 million of repurchase authority remaining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Share-based Awards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share-based incentive plans, refer to NOTE 8 —Share-based Awards of our 2021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Activity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equity incentive plans during the 13 weeks ended April 2,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Time-Based Stock Options</w:t>
            </w:r>
          </w:p>
        </w:tc>
        <w:tc>
          <w:tcPr>
            <w:tcW w:w="30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Performance-Based Stock Options</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50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January 1, 2022</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3,135,141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1,696,194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(55,136)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(40,510)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(26,796)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April 2, 2022</w:t>
            </w:r>
          </w:p>
        </w:tc>
        <w:tc>
          <w:tcPr>
            <w:tcW w:w="15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3,053,209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1,655,684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April 2, 2022</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1,863,782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1,655,684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activity under all equity incentive plans during the 13 weeks ended April 2,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April 2,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1,032,846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performance-based restricted stock unit ("PSU") activity under the Grocery Outlet Holding Corp. 2019 Incentive Plan during the 13 weeks ended April 2,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Adjustment for expected performance achievement </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Unvested balance as of April 2, 2022 </w:t>
            </w:r>
            <w:r>
              <w:rPr>
                <w:rFonts w:ascii="Times New Roman" w:cs="Times New Roman" w:eastAsia="Times New Roman" w:hAnsi="Times New Roman"/>
                <w:sz w:val="23"/>
                <w:szCs w:val="23"/>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initial grant of PSUs based on performance target level achievement of 100%.</w:t>
      </w:r>
    </w:p>
    <w:p>
      <w:pPr>
        <w:spacing w:after="0" w:line="7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adjustment to previously granted PSUs based on performance expectations as of April 2, 2022.</w:t>
      </w:r>
    </w:p>
    <w:p>
      <w:pPr>
        <w:spacing w:after="0" w:line="59"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856,313 PSUs could potentially be included if the maximum performance level of 200% is reached for all PSUs outstanding as of April 2, 2022.</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Share-based compensation expense consisted of the following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160" w:type="dxa"/>
            <w:vAlign w:val="bottom"/>
          </w:tcPr>
          <w:p>
            <w:pPr>
              <w:spacing w:after="0"/>
              <w:rPr>
                <w:sz w:val="11"/>
                <w:szCs w:val="11"/>
                <w:color w:val="auto"/>
              </w:rPr>
            </w:pPr>
          </w:p>
        </w:tc>
        <w:tc>
          <w:tcPr>
            <w:tcW w:w="100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81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stock options</w:t>
            </w: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29"/>
        </w:trPr>
        <w:tc>
          <w:tcPr>
            <w:tcW w:w="8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Dividends </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right="20" w:hanging="492"/>
        <w:spacing w:after="0" w:line="280"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dividends paid upon vesting of share-based awards as a result of dividends declared in connection with recapitalizations that occurred in fiscal 2018 and 2016.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income tax expense and effective income tax rate were as follows (amounts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100" w:type="dxa"/>
            <w:vAlign w:val="bottom"/>
          </w:tcPr>
          <w:p>
            <w:pPr>
              <w:spacing w:after="0"/>
              <w:rPr>
                <w:sz w:val="16"/>
                <w:szCs w:val="16"/>
                <w:color w:val="auto"/>
              </w:rPr>
            </w:pPr>
          </w:p>
        </w:tc>
      </w:tr>
      <w:tr>
        <w:trPr>
          <w:trHeight w:val="23"/>
        </w:trPr>
        <w:tc>
          <w:tcPr>
            <w:tcW w:w="7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8"/>
        </w:trPr>
        <w:tc>
          <w:tcPr>
            <w:tcW w:w="7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Pr>
          <w:p>
            <w:pPr>
              <w:spacing w:after="0"/>
              <w:rPr>
                <w:sz w:val="11"/>
                <w:szCs w:val="11"/>
                <w:color w:val="auto"/>
              </w:rPr>
            </w:pPr>
          </w:p>
        </w:tc>
        <w:tc>
          <w:tcPr>
            <w:tcW w:w="1100" w:type="dxa"/>
            <w:vAlign w:val="bottom"/>
          </w:tcPr>
          <w:p>
            <w:pPr>
              <w:jc w:val="right"/>
              <w:ind w:right="479"/>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6"/>
        </w:trPr>
        <w:tc>
          <w:tcPr>
            <w:tcW w:w="79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1,049</w:t>
            </w: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bl>
    <w:p>
      <w:pPr>
        <w:spacing w:after="0" w:line="16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estimated annual effective tax rate, adjusted for discrete events arising in each respective quarter. During each interim period, the Company updates the estimated annual effective tax rate. Our effective income tax rate for the 13 weeks ended April 2, 2022 was slightly lower than the combined U.S. federal and state statutory income tax rate primarily due to excess tax benefits related to the exercise of stock options and vesting of RSUs. The increase in our effective income tax rate for the 13 weeks ended April 2, 2022 compared to the 13 weeks ended April 3, 2021 was primarily due to the reduction in discrete items related to the exercise of stock options and vesting of RSUs.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policy is to recognize interest and penalties associated with uncertain tax positions as part of the income tax provision and include accrued interest and penalties with the related income tax liability on our condensed consolidated balance sheets. To date, we have not recognized any interest and penalties in our condensed consolidated statements of operations and comprehensive income, nor have we accrued for or made payments for interest and penalties. We had no uncertain tax positions as of April 2, 2022 and January 1, 2022, respectively, and do not anticipate any changes to our uncertain tax positions within the next 12 months.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April 2, 2022 and April 3, 2021, we leased 15 store locations and one warehouse location from entities in which Eric Lindberg, Jr., Chief Executive Officer, and MacGregor Read, Jr., Vice Chairman of our Board of Directors, or their respective families, had a direct or indirect financial interest. As of April 2, 2022, the right-of-use assets and lease liabilities related to these properties was $43.0 million and $47.7 million, respectively. As of January 1, 2022, the right-of-use assets and lease liabilities related to these properties was $36.9 million and $41.6 million, respectively. These related parties received aggregate lease payments from us of $1.6 million and $1.5 million for the 13 weeks ended April 2, 2022 and April 3, 2021,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Operator Notes and Independent Operator Receivables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offer interest-bearing notes to IOs and the gross amount of IO operating notes and IO receivables due was $42.5 million and $40.6 million as of April 2, 2022 and January 1, 2022, respectively. See Note 2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adjusts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the Company will provide disclosure regarding the contingency. Management believes that we do not have any pending litigation that, separately or in the aggregate, would have a material adverse effect on our results of operations, financial condition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per share (amounts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000" w:type="dxa"/>
            <w:vAlign w:val="bottom"/>
          </w:tcPr>
          <w:p>
            <w:pPr>
              <w:jc w:val="right"/>
              <w:ind w:right="414"/>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18,892</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95,195</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options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RSUs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3"/>
        </w:trPr>
        <w:tc>
          <w:tcPr>
            <w:tcW w:w="8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Weighted-average shares outstanding – diluted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99,570</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4"/>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jc w:val="both"/>
        <w:ind w:left="500" w:hanging="492"/>
        <w:spacing w:after="0" w:line="272" w:lineRule="auto"/>
        <w:tabs>
          <w:tab w:leader="none" w:pos="500"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the 13 weeks ended April 2, 2022 and April 3, 2021.</w:t>
      </w:r>
    </w:p>
    <w:p>
      <w:pPr>
        <w:spacing w:after="0" w:line="16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common share equivalents were excluded from the calculation of diluted earnings per share because their effect would have been anti-dilutive (amounts in thousands):</w:t>
      </w:r>
    </w:p>
    <w:p>
      <w:pPr>
        <w:spacing w:after="0" w:line="19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13 Weeks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160" w:type="dxa"/>
            <w:vAlign w:val="bottom"/>
          </w:tcPr>
          <w:p>
            <w:pPr>
              <w:spacing w:after="0"/>
              <w:rPr>
                <w:sz w:val="13"/>
                <w:szCs w:val="13"/>
                <w:color w:val="auto"/>
              </w:rPr>
            </w:pPr>
          </w:p>
        </w:tc>
        <w:tc>
          <w:tcPr>
            <w:tcW w:w="1080" w:type="dxa"/>
            <w:vAlign w:val="bottom"/>
            <w:tcBorders>
              <w:top w:val="single" w:sz="8" w:color="auto"/>
            </w:tcBorders>
          </w:tcPr>
          <w:p>
            <w:pPr>
              <w:jc w:val="center"/>
              <w:ind w:left="328"/>
              <w:spacing w:after="0" w:line="15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9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08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April 2022, we prepaid $75.0 million of principal on the senior term loan outstanding under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Times New Roman" w:cs="Times New Roman" w:eastAsia="Times New Roman" w:hAnsi="Times New Roman"/>
          <w:sz w:val="18"/>
          <w:szCs w:val="18"/>
          <w:i w:val="1"/>
          <w:iCs w:val="1"/>
          <w:color w:val="231F20"/>
        </w:rPr>
        <w:t>in this report,</w:t>
      </w:r>
      <w:r>
        <w:rPr>
          <w:rFonts w:ascii="Times New Roman" w:cs="Times New Roman" w:eastAsia="Times New Roman" w:hAnsi="Times New Roman"/>
          <w:sz w:val="18"/>
          <w:szCs w:val="18"/>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January 1, 2022 ("2021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 operate on a fiscal year that ends on the Saturday closest to December 31st each year. References to the first quarter of fiscal 2022 and the first quarter of fiscal 2021 refer to the 13 weeks ended April 2, 2022 and April 3, 2021, respectively.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231F20"/>
        </w:rPr>
        <w:t>As used in this report, references to "Grocery Outlet," "the Company," "the registrant," "we," "us" and "our," refer to Grocery Outlet Holding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and its consolidated subsidiaries unless otherwise indicated or the context requires otherwise.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April 2, 2022, we had 418 stores in California, Washington, Oregon, Pennsylvania, Idaho, Nevada and New Jersey.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2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COVID-19 pandemic has significantly impacted the U.S. and global economies, resulting in business operation slowdowns and additional expenses, changes in consumer behavior, changes in the mindset and supply of labor, and logistics and supply chain challenges. During the first quarter of fiscal 2022, many aspects of our business continued to be affected by the pandemic. For example, our IOs currently face and expect to continue to face staffing challenges and increased labor costs. We also have incurred and expect to continue to incur COVID-related expenses, including cleaning and safety costs, and supplies. The pandemic additionally continues to create logistical challenges that have increased delivery costs resulting from higher fuel costs, carrier rates and driver wages due to driver shortages, decreases in transportation capacity, and slowdowns. As a result, we have been impacted by varying levels of inflation, resulting in part from supply disruptions, increased shipping and transportation costs, increased commodity costs, increased labor costs in the supply chain and other disruptions, which we have not fully offset through price increases. These increased costs continued to negatively impact our cost of sales and gross margin in the first quarter of fiscal 2022, and they may continue throughout fiscal 2022. Further, planned construction and opening of new stores has been, and may continue to be, negatively impacted due to increased lead times to acquire materials such as steel, obtain permits and licenses and other related factors. Therefore, we continue to plan for lower new store growth in fiscal 2022, compared to our long-term strategic goal of 10%, including with more new stores weighted towards the second half of the year. The extent and continuing impact of the pandemic on our operational and financial performance will depend on many factors, including those outside of our control, however, we believe the flexibility of our unique buying model, our strong vendor relationships and our agile approach to inventory management will allow us to maintain healthy inventory levels, continue to offer a competitive assortment of products for our customers and to effectively operate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generally accepted accounting principles ("GAAP") financial measures we use are net sales, gross profit and gross margin, selling, general and administrative expenses ("SG&amp;A") and operating income. The key operational metrics and non-GAAP financial measures we use are number of new stores, comparable store sales, EBITDA, adjusted EBITDA, adjusted net income and adjusted earnings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Fiscal 2022 Overview</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financial and operating performance results for the first quarter of fiscal 2022 were as follows:</w:t>
      </w:r>
    </w:p>
    <w:p>
      <w:pPr>
        <w:spacing w:after="0" w:line="117" w:lineRule="exact"/>
        <w:rPr>
          <w:sz w:val="20"/>
          <w:szCs w:val="20"/>
          <w:color w:val="auto"/>
        </w:rPr>
      </w:pPr>
    </w:p>
    <w:p>
      <w:pPr>
        <w:ind w:left="820" w:hanging="326"/>
        <w:spacing w:after="0" w:line="295"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by 10.5% to $831.4 million from $752.5 million in the first quarter of fiscal 2021; comparable store sales increased by 5.2% and on a 3-year stacked basis increased 14.3%</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four new stores and closed one, ending the first quarter of fiscal 2022 with 418 stores in seven states.</w:t>
      </w:r>
    </w:p>
    <w:p>
      <w:pPr>
        <w:spacing w:after="0" w:line="117" w:lineRule="exact"/>
        <w:rPr>
          <w:rFonts w:ascii="Times New Roman" w:cs="Times New Roman" w:eastAsia="Times New Roman" w:hAnsi="Times New Roman"/>
          <w:sz w:val="18"/>
          <w:szCs w:val="18"/>
          <w:color w:val="auto"/>
        </w:rPr>
      </w:pPr>
    </w:p>
    <w:p>
      <w:pPr>
        <w:ind w:left="8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38.7% to $11.6 million, or $0.12 per diluted share, compared to net income of $18.9 million, or $0.19 per diluted share, in the first quarter of fiscal 2021.</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increased 0.8% to $49.3 million compared to $48.8 million in the first quarter of fiscal 2021.</w:t>
      </w:r>
    </w:p>
    <w:p>
      <w:pPr>
        <w:spacing w:after="0" w:line="41" w:lineRule="exact"/>
        <w:rPr>
          <w:rFonts w:ascii="Times New Roman" w:cs="Times New Roman" w:eastAsia="Times New Roman" w:hAnsi="Times New Roman"/>
          <w:sz w:val="18"/>
          <w:szCs w:val="18"/>
          <w:color w:val="auto"/>
        </w:rPr>
      </w:pPr>
    </w:p>
    <w:p>
      <w:pPr>
        <w:ind w:left="820" w:hanging="326"/>
        <w:spacing w:after="0" w:line="233"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decreased 7.0% to $21.5 million, or $0.22 per adjusted diluted share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compared to $23.1 million, or $0.23 per adjusted</w:t>
      </w:r>
    </w:p>
    <w:p>
      <w:pPr>
        <w:ind w:left="820"/>
        <w:spacing w:after="0"/>
        <w:rPr>
          <w:sz w:val="20"/>
          <w:szCs w:val="20"/>
          <w:color w:val="auto"/>
        </w:rPr>
      </w:pPr>
      <w:r>
        <w:rPr>
          <w:rFonts w:ascii="Times New Roman" w:cs="Times New Roman" w:eastAsia="Times New Roman" w:hAnsi="Times New Roman"/>
          <w:sz w:val="18"/>
          <w:szCs w:val="18"/>
          <w:color w:val="auto"/>
        </w:rPr>
        <w:t>diluted share, in the first quarter of fiscal 2021.</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03" w:lineRule="exact"/>
        <w:rPr>
          <w:sz w:val="20"/>
          <w:szCs w:val="20"/>
          <w:color w:val="auto"/>
        </w:rPr>
      </w:pPr>
    </w:p>
    <w:p>
      <w:pPr>
        <w:ind w:left="660" w:hanging="328"/>
        <w:spacing w:after="0" w:line="298"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 on a 3-year stacked basis represents the sum of the increase or decrease in comparable store sales, as reported, in the first quarters of fiscal 2022, 2021 and 2020.</w:t>
      </w:r>
    </w:p>
    <w:p>
      <w:pPr>
        <w:spacing w:after="0" w:line="42"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See the "Operating Metrics and Non-GAAP Financial Measures" section below for additional information about these items, including their definitions, how management utilizes such non-GAAP financial measures and reconciliations of the non-GAAP measures and the most directly comparable GAAP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and non-comparable stores, described below under "Comparable Store Sales."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such as those experienced due to the COVID-19 pandemic, the recent invasion of Ukraine and changes in discretionary income.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Cost of sales includes, among other things, merchandise costs, inventory markdowns, inventory losses and transportation,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COVID-19 pandemic, including inflationary cost increases for goods, labor and transportation, supply chain constraints and changes in discretionary income, have resulted and could continue to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SG&amp;A expenses are comprised of both store-related expenses and corporate expenses. Our store-related expenses include commissions paid to IOs, occupancy and our portion of maintenance costs and the cost of opening new IO stores. Company-operated store-related expenses include payroll, benefits, supplies and utilities. Corporate expenses include payroll and benefits for corporate and field support, marketing and advertising, insurance and professional services and operator recruiting and training costs. SG&amp;A generally increases as we grow our store base and invest in our corporate infrastructure. SG&amp;A expenses related to commissions paid to IOs are variable in nature and generally increase as gross profits rise and decrease as gross profits decline. We continue to closely manage our expenses and monitor SG&amp;A as a percentage of net sales. The components of our SG&amp;A may not be comparable to the components of similar measures of our competitors and other retailers. We expect that our SG&amp;A will continue to increase in future periods as we continue to grow our net sales and gross profits.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income is gross profit less SG&amp;A, depreciation and amortization and share-based compensation. Operating income excludes interest expense, net, gain on insurance recoveries, debt extinguishment and modification costs and income tax expense. We use operating income as an indicator of the productivity of our business and our ability to manage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both in dollars and as a percentage of net sales (amounts in thousands, except for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13 Weeks Ended</w:t>
            </w:r>
          </w:p>
        </w:tc>
      </w:tr>
      <w:tr>
        <w:trPr>
          <w:trHeight w:val="23"/>
        </w:trPr>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8"/>
        </w:trPr>
        <w:tc>
          <w:tcPr>
            <w:tcW w:w="7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4"/>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380" w:type="dxa"/>
            <w:vAlign w:val="bottom"/>
          </w:tcPr>
          <w:p>
            <w:pPr>
              <w:spacing w:after="0"/>
              <w:rPr>
                <w:sz w:val="11"/>
                <w:szCs w:val="11"/>
                <w:color w:val="auto"/>
              </w:rPr>
            </w:pPr>
          </w:p>
        </w:tc>
        <w:tc>
          <w:tcPr>
            <w:tcW w:w="1100" w:type="dxa"/>
            <w:vAlign w:val="bottom"/>
          </w:tcPr>
          <w:p>
            <w:pPr>
              <w:jc w:val="right"/>
              <w:ind w:right="412"/>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6"/>
        </w:trPr>
        <w:tc>
          <w:tcPr>
            <w:tcW w:w="79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831,427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752,466</w:t>
            </w:r>
          </w:p>
        </w:tc>
      </w:tr>
      <w:tr>
        <w:trPr>
          <w:trHeight w:val="230"/>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580,538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520,539</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250,889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207,433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188,598</w:t>
            </w:r>
          </w:p>
        </w:tc>
      </w:tr>
      <w:tr>
        <w:trPr>
          <w:trHeight w:val="230"/>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w:t>
            </w:r>
          </w:p>
        </w:tc>
      </w:tr>
      <w:tr>
        <w:trPr>
          <w:trHeight w:val="229"/>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23"/>
        </w:trPr>
        <w:tc>
          <w:tcPr>
            <w:tcW w:w="81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231,461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208,080</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19,428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w:t>
            </w:r>
          </w:p>
        </w:tc>
      </w:tr>
      <w:tr>
        <w:trPr>
          <w:trHeight w:val="20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3"/>
        </w:trPr>
        <w:tc>
          <w:tcPr>
            <w:tcW w:w="816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Total other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19,941</w:t>
            </w:r>
          </w:p>
        </w:tc>
      </w:tr>
      <w:tr>
        <w:trPr>
          <w:trHeight w:val="229"/>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48"/>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11,574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93"/>
        </w:trPr>
        <w:tc>
          <w:tcPr>
            <w:tcW w:w="7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100" w:type="dxa"/>
            <w:vAlign w:val="bottom"/>
          </w:tcPr>
          <w:p>
            <w:pPr>
              <w:spacing w:after="0"/>
              <w:rPr>
                <w:sz w:val="24"/>
                <w:szCs w:val="24"/>
                <w:color w:val="auto"/>
              </w:rPr>
            </w:pPr>
          </w:p>
        </w:tc>
      </w:tr>
      <w:tr>
        <w:trPr>
          <w:trHeight w:val="23"/>
        </w:trPr>
        <w:tc>
          <w:tcPr>
            <w:tcW w:w="7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29"/>
        </w:trPr>
        <w:tc>
          <w:tcPr>
            <w:tcW w:w="7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4"/>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380" w:type="dxa"/>
            <w:vAlign w:val="bottom"/>
          </w:tcPr>
          <w:p>
            <w:pPr>
              <w:spacing w:after="0"/>
              <w:rPr>
                <w:sz w:val="11"/>
                <w:szCs w:val="11"/>
                <w:color w:val="auto"/>
              </w:rPr>
            </w:pPr>
          </w:p>
        </w:tc>
        <w:tc>
          <w:tcPr>
            <w:tcW w:w="1100" w:type="dxa"/>
            <w:vAlign w:val="bottom"/>
          </w:tcPr>
          <w:p>
            <w:pPr>
              <w:jc w:val="right"/>
              <w:ind w:right="472"/>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6"/>
        </w:trPr>
        <w:tc>
          <w:tcPr>
            <w:tcW w:w="79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9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Percentage of net sales </w:t>
            </w:r>
            <w:r>
              <w:rPr>
                <w:rFonts w:ascii="Times New Roman" w:cs="Times New Roman" w:eastAsia="Times New Roman" w:hAnsi="Times New Roman"/>
                <w:sz w:val="23"/>
                <w:szCs w:val="23"/>
                <w:b w:val="1"/>
                <w:bCs w:val="1"/>
                <w:color w:val="auto"/>
                <w:vertAlign w:val="superscript"/>
              </w:rPr>
              <w:t>(1)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25.1 %</w:t>
            </w:r>
          </w:p>
        </w:tc>
      </w:tr>
      <w:tr>
        <w:trPr>
          <w:trHeight w:val="229"/>
        </w:trPr>
        <w:tc>
          <w:tcPr>
            <w:tcW w:w="8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79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23"/>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79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7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Components may not sum to totals due to rounding.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New Stores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number of new stores reflects the number of stores opened during a particular reporting period. New stores require an initial capital investment in the store build-outs, fixtures and equipment that we amortize over time as well as cash required for inventory and pre-opening expenses.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expect new store growth to be the primary driver of our net sales growth over the long term. We lease substantially all of our store locations. Our initial lease terms on stores are typically ten years with options to renew for two or three successive five-year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we exclude the net sales in the non-comparable week of a 53-week year from the same store sales calculation after comparing the current and prior year weekly periods that are most closely aligned.</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Opening new stores is a primary component of our growth strategy and, as we continue to execute on our growth strategy, we expect that a significant portion of our net sales growth will be attributable to non-comparable store sales. Accordingly, comparable store sales is only one of many measures we use to assess the success of our growth strategy.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Adjusted Net Income and Adjusted Earnings Per Share</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define EBITDA as net income before net interest expense, income taxes and depreciation and amortization expenses. Adjusted EBITDA represents EBITDA adjusted to exclude share-based compensation expense, non-cash rent, asset impairment and gain or loss on disposition, provision for accounts receivable reserves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operating metrics and non-GAAP financial measures for the periods presented (amounts in thousands, except for percentages and store counts):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100" w:type="dxa"/>
            <w:vAlign w:val="bottom"/>
          </w:tcPr>
          <w:p>
            <w:pPr>
              <w:spacing w:after="0"/>
              <w:rPr>
                <w:sz w:val="16"/>
                <w:szCs w:val="16"/>
                <w:color w:val="auto"/>
              </w:rPr>
            </w:pPr>
          </w:p>
        </w:tc>
      </w:tr>
      <w:tr>
        <w:trPr>
          <w:trHeight w:val="23"/>
        </w:trPr>
        <w:tc>
          <w:tcPr>
            <w:tcW w:w="7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7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500" w:type="dxa"/>
            <w:vAlign w:val="bottom"/>
          </w:tcPr>
          <w:p>
            <w:pPr>
              <w:spacing w:after="0"/>
              <w:rPr>
                <w:sz w:val="11"/>
                <w:szCs w:val="11"/>
                <w:color w:val="auto"/>
              </w:rPr>
            </w:pPr>
          </w:p>
        </w:tc>
        <w:tc>
          <w:tcPr>
            <w:tcW w:w="1100" w:type="dxa"/>
            <w:vAlign w:val="bottom"/>
          </w:tcPr>
          <w:p>
            <w:pPr>
              <w:jc w:val="right"/>
              <w:ind w:right="475"/>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7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and Operations Data</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new stores</w:t>
            </w:r>
          </w:p>
        </w:tc>
        <w:tc>
          <w:tcPr>
            <w:tcW w:w="34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Comparable store sales increase (decrease) </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EBITDA </w:t>
            </w:r>
            <w:r>
              <w:rPr>
                <w:rFonts w:ascii="Times New Roman" w:cs="Times New Roman" w:eastAsia="Times New Roman" w:hAnsi="Times New Roman"/>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38,418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39,991</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Adjusted EBITDA </w:t>
            </w:r>
            <w:r>
              <w:rPr>
                <w:rFonts w:ascii="Times New Roman" w:cs="Times New Roman" w:eastAsia="Times New Roman" w:hAnsi="Times New Roman"/>
                <w:sz w:val="26"/>
                <w:szCs w:val="26"/>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49,250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48,837</w:t>
            </w:r>
          </w:p>
        </w:tc>
      </w:tr>
      <w:tr>
        <w:trPr>
          <w:trHeight w:val="229"/>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Adjusted net income </w:t>
            </w:r>
            <w:r>
              <w:rPr>
                <w:rFonts w:ascii="Times New Roman" w:cs="Times New Roman" w:eastAsia="Times New Roman" w:hAnsi="Times New Roman"/>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21,507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23,124</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hanging="492"/>
        <w:spacing w:after="0" w:line="280"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 consist of net sales from our stores beginning on the first day of the fourteenth full fiscal month following the store's opening, which is when we believe comparability is achieved.</w:t>
      </w:r>
    </w:p>
    <w:p>
      <w:pPr>
        <w:spacing w:after="0" w:line="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"GAAP to Non-GAAP Reconciliations" section below for the applicable reconciliations.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Reconciliations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1"/>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000" w:type="dxa"/>
            <w:vAlign w:val="bottom"/>
          </w:tcPr>
          <w:p>
            <w:pPr>
              <w:jc w:val="center"/>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5"/>
        </w:trPr>
        <w:tc>
          <w:tcPr>
            <w:tcW w:w="8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30"/>
        </w:trPr>
        <w:tc>
          <w:tcPr>
            <w:tcW w:w="8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Depreciation and amortization expenses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w:t>
            </w:r>
          </w:p>
        </w:tc>
      </w:tr>
      <w:tr>
        <w:trPr>
          <w:trHeight w:val="223"/>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29"/>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(2)</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30"/>
        </w:trPr>
        <w:tc>
          <w:tcPr>
            <w:tcW w:w="8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Non-cash rent </w:t>
            </w:r>
            <w:r>
              <w:rPr>
                <w:rFonts w:ascii="Times New Roman" w:cs="Times New Roman" w:eastAsia="Times New Roman" w:hAnsi="Times New Roman"/>
                <w:sz w:val="26"/>
                <w:szCs w:val="26"/>
                <w:color w:val="auto"/>
                <w:vertAlign w:val="superscript"/>
              </w:rPr>
              <w:t>(3)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29"/>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8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Provision for accounts receivable reserves </w:t>
            </w:r>
            <w:r>
              <w:rPr>
                <w:rFonts w:ascii="Times New Roman" w:cs="Times New Roman" w:eastAsia="Times New Roman" w:hAnsi="Times New Roman"/>
                <w:sz w:val="26"/>
                <w:szCs w:val="26"/>
                <w:color w:val="auto"/>
                <w:vertAlign w:val="superscript"/>
              </w:rPr>
              <w:t>(5)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29"/>
        </w:trPr>
        <w:tc>
          <w:tcPr>
            <w:tcW w:w="8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(6)</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48"/>
        </w:trPr>
        <w:tc>
          <w:tcPr>
            <w:tcW w:w="8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733"/>
        </w:trPr>
        <w:tc>
          <w:tcPr>
            <w:tcW w:w="8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24"/>
                <w:szCs w:val="24"/>
                <w:color w:val="auto"/>
              </w:rPr>
            </w:pPr>
          </w:p>
        </w:tc>
      </w:tr>
      <w:tr>
        <w:trPr>
          <w:trHeight w:val="23"/>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8"/>
        </w:trPr>
        <w:tc>
          <w:tcPr>
            <w:tcW w:w="8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480" w:type="dxa"/>
            <w:vAlign w:val="bottom"/>
          </w:tcPr>
          <w:p>
            <w:pPr>
              <w:spacing w:after="0"/>
              <w:rPr>
                <w:sz w:val="11"/>
                <w:szCs w:val="11"/>
                <w:color w:val="auto"/>
              </w:rPr>
            </w:pPr>
          </w:p>
        </w:tc>
        <w:tc>
          <w:tcPr>
            <w:tcW w:w="1000" w:type="dxa"/>
            <w:vAlign w:val="bottom"/>
          </w:tcPr>
          <w:p>
            <w:pPr>
              <w:jc w:val="center"/>
              <w:ind w:right="392"/>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r>
      <w:tr>
        <w:trPr>
          <w:trHeight w:val="196"/>
        </w:trPr>
        <w:tc>
          <w:tcPr>
            <w:tcW w:w="8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r>
      <w:tr>
        <w:trPr>
          <w:trHeight w:val="229"/>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(2)</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30"/>
        </w:trPr>
        <w:tc>
          <w:tcPr>
            <w:tcW w:w="8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Non-cash rent </w:t>
            </w:r>
            <w:r>
              <w:rPr>
                <w:rFonts w:ascii="Times New Roman" w:cs="Times New Roman" w:eastAsia="Times New Roman" w:hAnsi="Times New Roman"/>
                <w:sz w:val="26"/>
                <w:szCs w:val="26"/>
                <w:color w:val="auto"/>
                <w:vertAlign w:val="superscript"/>
              </w:rPr>
              <w:t>(3)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30"/>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(4)</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8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Provision for accounts receivable reserves </w:t>
            </w:r>
            <w:r>
              <w:rPr>
                <w:rFonts w:ascii="Times New Roman" w:cs="Times New Roman" w:eastAsia="Times New Roman" w:hAnsi="Times New Roman"/>
                <w:sz w:val="26"/>
                <w:szCs w:val="26"/>
                <w:color w:val="auto"/>
                <w:vertAlign w:val="superscript"/>
              </w:rPr>
              <w:t>(5)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(6)</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8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Amortization of purchase accounting assets and deferred financing costs </w:t>
            </w:r>
            <w:r>
              <w:rPr>
                <w:rFonts w:ascii="Times New Roman" w:cs="Times New Roman" w:eastAsia="Times New Roman" w:hAnsi="Times New Roman"/>
                <w:sz w:val="26"/>
                <w:szCs w:val="26"/>
                <w:color w:val="auto"/>
                <w:vertAlign w:val="superscript"/>
              </w:rPr>
              <w:t>(7)</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30"/>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adjustment to normalize effective tax rate </w:t>
            </w:r>
            <w:r>
              <w:rPr>
                <w:rFonts w:ascii="Times New Roman" w:cs="Times New Roman" w:eastAsia="Times New Roman" w:hAnsi="Times New Roman"/>
                <w:sz w:val="26"/>
                <w:szCs w:val="26"/>
                <w:color w:val="auto"/>
                <w:vertAlign w:val="superscript"/>
              </w:rPr>
              <w:t>(8)</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w:t>
            </w:r>
          </w:p>
        </w:tc>
      </w:tr>
      <w:tr>
        <w:trPr>
          <w:trHeight w:val="229"/>
        </w:trPr>
        <w:tc>
          <w:tcPr>
            <w:tcW w:w="8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effect of total adjustments </w:t>
            </w:r>
            <w:r>
              <w:rPr>
                <w:rFonts w:ascii="Times New Roman" w:cs="Times New Roman" w:eastAsia="Times New Roman" w:hAnsi="Times New Roman"/>
                <w:sz w:val="26"/>
                <w:szCs w:val="26"/>
                <w:color w:val="auto"/>
                <w:vertAlign w:val="superscript"/>
              </w:rPr>
              <w:t>(9)</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23"/>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23,124</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earnings per share</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95,195</w:t>
            </w:r>
          </w:p>
        </w:tc>
      </w:tr>
      <w:tr>
        <w:trPr>
          <w:trHeight w:val="234"/>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99,570</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49" w:lineRule="exact"/>
        <w:rPr>
          <w:sz w:val="20"/>
          <w:szCs w:val="20"/>
          <w:color w:val="auto"/>
        </w:rPr>
      </w:pPr>
    </w:p>
    <w:p>
      <w:pPr>
        <w:ind w:left="500" w:hanging="492"/>
        <w:spacing w:after="0" w:line="290"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related to our distribution centers, which is included within the cost of sales line item in our condensed consolidated statements of operations and comprehensive income. See Note 1 to the condensed consolidated financial statements for additional information about the components of cost of sales.</w:t>
      </w:r>
    </w:p>
    <w:p>
      <w:pPr>
        <w:jc w:val="both"/>
        <w:ind w:left="500" w:hanging="492"/>
        <w:spacing w:after="0" w:line="272" w:lineRule="auto"/>
        <w:tabs>
          <w:tab w:leader="none" w:pos="500" w:val="left"/>
        </w:tabs>
        <w:numPr>
          <w:ilvl w:val="0"/>
          <w:numId w:val="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Includes non-cash share-based compensation expense and cash dividends paid on vested share-based awards as a result of dividends declared in connection with recapitalizations that occurred in fiscal 2018 and 2016. See "Share-based Compensation Expense" in the "Comparison of the 13 weeks ended April 2, 2022 and April 3, 2021" section below for additional information.</w:t>
      </w:r>
    </w:p>
    <w:p>
      <w:pPr>
        <w:spacing w:after="0" w:line="8" w:lineRule="exact"/>
        <w:rPr>
          <w:rFonts w:ascii="Times New Roman" w:cs="Times New Roman" w:eastAsia="Times New Roman" w:hAnsi="Times New Roman"/>
          <w:sz w:val="16"/>
          <w:szCs w:val="16"/>
          <w:color w:val="231F20"/>
        </w:rPr>
      </w:pPr>
    </w:p>
    <w:p>
      <w:pPr>
        <w:ind w:left="500" w:hanging="492"/>
        <w:spacing w:after="0" w:line="298"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non-cash portion of rent expense, which represents the difference between our straight-line rent expense recognized under GAAP and cash rent payments. The adjustment can vary depending on the average age of our lease portfolio.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1"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with respect to planned store closures and gains or losses on dispositions of assets in connection with store transitions to new IOs.</w:t>
      </w:r>
    </w:p>
    <w:p>
      <w:pPr>
        <w:spacing w:after="0" w:line="59" w:lineRule="exact"/>
        <w:rPr>
          <w:rFonts w:ascii="Times New Roman" w:cs="Times New Roman" w:eastAsia="Times New Roman" w:hAnsi="Times New Roman"/>
          <w:sz w:val="16"/>
          <w:szCs w:val="16"/>
          <w:color w:val="auto"/>
        </w:rPr>
      </w:pPr>
    </w:p>
    <w:p>
      <w:pPr>
        <w:ind w:left="500" w:hanging="492"/>
        <w:spacing w:after="0" w:line="29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changes in reserves related to our IO notes and accounts receivable. See Note 2 to the condensed consolidated financial statements for additional information.</w:t>
      </w:r>
    </w:p>
    <w:p>
      <w:pPr>
        <w:ind w:left="500" w:right="20" w:hanging="492"/>
        <w:spacing w:after="0" w:line="29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other non-recurring, non-cash or non-operational items, such as store closing costs, costs related to employer payroll taxes associated with equity awards, technology upgrade implementation costs, legal settlements and other legal expenses, certain personnel-related costs, and miscellaneous costs.</w:t>
      </w:r>
    </w:p>
    <w:p>
      <w:pPr>
        <w:ind w:left="500" w:hanging="492"/>
        <w:spacing w:after="0" w:line="28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spacing w:after="0" w:line="16" w:lineRule="exact"/>
        <w:rPr>
          <w:rFonts w:ascii="Times New Roman" w:cs="Times New Roman" w:eastAsia="Times New Roman" w:hAnsi="Times New Roman"/>
          <w:sz w:val="16"/>
          <w:szCs w:val="16"/>
          <w:color w:val="auto"/>
        </w:rPr>
      </w:pPr>
    </w:p>
    <w:p>
      <w:pPr>
        <w:jc w:val="both"/>
        <w:ind w:left="500" w:hanging="492"/>
        <w:spacing w:after="0" w:line="272"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adjustments to normalize the effective tax rate for the impact of unusual or infrequent tax items that we do not consider in our evaluation of ongoing performance, including excess tax benefits related to stock option exercises and vesting of RSUs that are recorded in earnings as discrete items in the reporting period in which they occur.</w:t>
      </w:r>
    </w:p>
    <w:p>
      <w:pPr>
        <w:spacing w:after="0" w:line="8"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 of the total adjustments. We calculate the tax effect of the total adjustments on a discrete basis excluding any non-recurring and unusual tax items.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13 weeks ended April 2, 2022 and April 3, 2021 (amounts in thousands, except percentages)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831,427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net sales for the 13 weeks ended April 2, 2022 compared to the same period in fiscal 2021 was attributable to non-comparable store sales growth from the net 29 new stores opened over the last 12 months as well as in increase in comparable store sales.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Comparable store sales increased 5.2% for the 13 weeks ended April 2, 2022 compared to the same period in fiscal 2021. The increase in comparable store sales for the 13 weeks ended April 2, 2022 was driven by increases in both average transaction size and number of transactions.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580,538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520,539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59,999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11.5 %</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cost of sales for the 13 weeks ended April 2, 2022 compared to the same period in fiscal 2021 was primarily the result of new store growth and higher costs as a percentage of net sales combined with an increase in comparable store sales (as discussed above).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Costs as a percentage of net sales increased for the 13 weeks ended April 2, 2022 compared to the same period in fiscal 2021 due in large part to inflationary cost increases for goods, labor and transportation as well as the impact of supply chain constraints.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2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250,889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231,927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18,962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0" w:type="dxa"/>
            <w:vAlign w:val="bottom"/>
          </w:tcPr>
          <w:p>
            <w:pPr>
              <w:spacing w:after="0"/>
              <w:rPr>
                <w:sz w:val="1"/>
                <w:szCs w:val="1"/>
                <w:color w:val="auto"/>
              </w:rPr>
            </w:pPr>
          </w:p>
        </w:tc>
      </w:tr>
      <w:tr>
        <w:trPr>
          <w:trHeight w:val="222"/>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increase in gross profit for the 13 weeks ended April 2, 2022 compared to the same period in fiscal 2021 was primarily the result of new store growth and an increase in comparable store sales, partially offset by higher costs as a percentage of sales (as discussed above). Our gross margin decreased for the 13 weeks ended April 2, 2022 compared to the same period in fiscal 2021 primarily due to the higher cost of sales as a percentage of net sales, as discussed previously.</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207,433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188,598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18,835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22"/>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SG&amp;A for the 13 weeks ended April 2, 2022 compared to the same period in fiscal 2021 was primarily driven by increases in commission payments to IOs, higher store occupancy and maintenance costs due to a higher store count, as well as higher personnel and incentive compensation expenses.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a percentage of net sales, SG&amp;A decreased slightly for the 13 weeks ended April 2, 2022 compared to the same period in fiscal 2021 due to lower commission payments to IOs as a percentage of net sales, partially offset by higher accrued incentive compensation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2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6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18,233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15,543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2,690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17.3 %</w:t>
            </w:r>
          </w:p>
        </w:tc>
        <w:tc>
          <w:tcPr>
            <w:tcW w:w="0" w:type="dxa"/>
            <w:vAlign w:val="bottom"/>
          </w:tcPr>
          <w:p>
            <w:pPr>
              <w:spacing w:after="0"/>
              <w:rPr>
                <w:sz w:val="1"/>
                <w:szCs w:val="1"/>
                <w:color w:val="auto"/>
              </w:rPr>
            </w:pPr>
          </w:p>
        </w:tc>
      </w:tr>
      <w:tr>
        <w:trPr>
          <w:trHeight w:val="222"/>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expenses for the 13 weeks ended April 2, 2022 compared to the same period in fiscal 2021 was primarily driven by new store growth and existing store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5,795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3,939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1,856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47.1 %</w:t>
            </w:r>
          </w:p>
        </w:tc>
        <w:tc>
          <w:tcPr>
            <w:tcW w:w="0" w:type="dxa"/>
            <w:vAlign w:val="bottom"/>
          </w:tcPr>
          <w:p>
            <w:pPr>
              <w:spacing w:after="0"/>
              <w:rPr>
                <w:sz w:val="1"/>
                <w:szCs w:val="1"/>
                <w:color w:val="auto"/>
              </w:rPr>
            </w:pPr>
          </w:p>
        </w:tc>
      </w:tr>
      <w:tr>
        <w:trPr>
          <w:trHeight w:val="222"/>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share-based compensation expenses for the 13 weeks ended April 2, 2022 compared to the same period in fiscal 2021 was primarily driven by the impact of RSUs granted in March and October of fiscal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3,682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3,906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2"/>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decrease in net interest expense for the 13 weeks ended April 2, 2022 compared to the same period in fiscal 2021 was primarily driven by increased interest income on outstanding IO notes. See Note 3 to the condensed consolidated financial statements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1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8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4,172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1,049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297.7 %</w:t>
            </w:r>
          </w:p>
        </w:tc>
        <w:tc>
          <w:tcPr>
            <w:tcW w:w="0" w:type="dxa"/>
            <w:vAlign w:val="bottom"/>
          </w:tcPr>
          <w:p>
            <w:pPr>
              <w:spacing w:after="0"/>
              <w:rPr>
                <w:sz w:val="1"/>
                <w:szCs w:val="1"/>
                <w:color w:val="auto"/>
              </w:rPr>
            </w:pPr>
          </w:p>
        </w:tc>
      </w:tr>
      <w:tr>
        <w:trPr>
          <w:trHeight w:val="226"/>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income tax expense for the 13 weeks ended April 2, 2022 compared to the same period in fiscal 2021 was primarily driven by a reduction in excess tax benefits related to the exercise of stock options and vesting of</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right="160"/>
        <w:spacing w:after="0" w:line="395" w:lineRule="auto"/>
        <w:rPr>
          <w:sz w:val="20"/>
          <w:szCs w:val="20"/>
          <w:color w:val="auto"/>
        </w:rPr>
      </w:pPr>
      <w:r>
        <w:rPr>
          <w:rFonts w:ascii="Times New Roman" w:cs="Times New Roman" w:eastAsia="Times New Roman" w:hAnsi="Times New Roman"/>
          <w:sz w:val="18"/>
          <w:szCs w:val="18"/>
          <w:color w:val="auto"/>
        </w:rPr>
        <w:t xml:space="preserve">RSUs. Such excess tax benefits totaled $0.1 million for the 13 weeks ended April 2, 2022 compared to $4.3 million for the 13 weeks ended April 3, 2021. </w:t>
      </w:r>
      <w:r>
        <w:rPr>
          <w:rFonts w:ascii="Times New Roman" w:cs="Times New Roman" w:eastAsia="Times New Roman" w:hAnsi="Times New Roman"/>
          <w:sz w:val="18"/>
          <w:szCs w:val="18"/>
          <w:b w:val="1"/>
          <w:bCs w:val="1"/>
          <w:i w:val="1"/>
          <w:iCs w:val="1"/>
          <w:color w:val="auto"/>
        </w:rPr>
        <w:t>Net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80" w:type="dxa"/>
            <w:vAlign w:val="bottom"/>
          </w:tcPr>
          <w:p>
            <w:pPr>
              <w:spacing w:after="0"/>
              <w:rPr>
                <w:sz w:val="11"/>
                <w:szCs w:val="11"/>
                <w:color w:val="auto"/>
              </w:rPr>
            </w:pPr>
          </w:p>
        </w:tc>
        <w:tc>
          <w:tcPr>
            <w:tcW w:w="11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8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11,574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18,892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0" w:type="dxa"/>
            <w:vAlign w:val="bottom"/>
          </w:tcPr>
          <w:p>
            <w:pPr>
              <w:spacing w:after="0"/>
              <w:rPr>
                <w:sz w:val="1"/>
                <w:szCs w:val="1"/>
                <w:color w:val="auto"/>
              </w:rPr>
            </w:pPr>
          </w:p>
        </w:tc>
      </w:tr>
      <w:tr>
        <w:trPr>
          <w:trHeight w:val="222"/>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right="680" w:firstLine="486"/>
        <w:spacing w:after="0" w:line="395" w:lineRule="auto"/>
        <w:rPr>
          <w:sz w:val="20"/>
          <w:szCs w:val="20"/>
          <w:color w:val="auto"/>
        </w:rPr>
      </w:pPr>
      <w:r>
        <w:rPr>
          <w:rFonts w:ascii="Times New Roman" w:cs="Times New Roman" w:eastAsia="Times New Roman" w:hAnsi="Times New Roman"/>
          <w:sz w:val="18"/>
          <w:szCs w:val="18"/>
          <w:color w:val="auto"/>
        </w:rPr>
        <w:t xml:space="preserve">As a result of the foregoing factors, net income decreased for the 13 weeks ended April 2, 2022 compared to the same period in fiscal 2021. </w:t>
      </w:r>
      <w:r>
        <w:rPr>
          <w:rFonts w:ascii="Times New Roman" w:cs="Times New Roman" w:eastAsia="Times New Roman" w:hAnsi="Times New Roman"/>
          <w:sz w:val="18"/>
          <w:szCs w:val="18"/>
          <w:b w:val="1"/>
          <w:bCs w:val="1"/>
          <w:i w:val="1"/>
          <w:iCs w:val="1"/>
          <w:color w:val="auto"/>
        </w:rPr>
        <w:t>Adjusted EBITDA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slight increase in adjusted EBITDA for the 13 weeks ended April 2, 2022 compared to the same period in fiscal 2021 was primarily due to higher net sales resulting from new store growth and an increase in comparable store sales for the 13 weeks ended April 2, 2022, partially offset by a decrease in gross margin and an increase in SG&amp;A, each as discussed previously.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April 2,</w:t>
            </w:r>
          </w:p>
        </w:tc>
        <w:tc>
          <w:tcPr>
            <w:tcW w:w="260" w:type="dxa"/>
            <w:vAlign w:val="bottom"/>
          </w:tcPr>
          <w:p>
            <w:pPr>
              <w:spacing w:after="0"/>
              <w:rPr>
                <w:sz w:val="11"/>
                <w:szCs w:val="11"/>
                <w:color w:val="auto"/>
              </w:rPr>
            </w:pPr>
          </w:p>
        </w:tc>
        <w:tc>
          <w:tcPr>
            <w:tcW w:w="110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April 3,</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21,507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23,124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decrease in adjusted net income for the 13 weeks ended April 2, 2022 compared to the same period in fiscal 2021 was primarily due to an increase in SG&amp;A along with depreciation and amortization expense as well as a decrease in gross margin, partially offset by an increase in net sales resulting from new store growth and an increase in comparable store sales for the 13 weeks ended April 2, 2022.</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first lien credit agreement (the "First Lien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April 2, 2022, we had cash and cash equivalents of $138.0 million, which consisted primarily of cash held in checking and money market accounts with financial institutions. In addition, we have a revolving credit facility with $100.0 million in borrowing capacity under our First Lien Credit Agreement. As of April 2, 2022, we had $3.5 million of outstanding standby letters of credit and $96.5 million of remaining borrowing capacity available under this revolving credit facility. We did not borrow under this revolving credit facility during the 13 weeks ended April 2, 2022.</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may also, from time to time, at our sole discretion, prepay or retire all or a portion of our outstanding debt. Subsequent to quarter end, in April 2022 we prepaid $75.0 million of principal on the senior term loan outstanding under our First Lien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material cash requirements since the end of fiscal 2021. See our 2021 Form 10-K for additional information.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expenditures include purchases of capital assets such as property and equipment as well as intangible assets and licenses. Capital expenditures for the 13 weeks ended April 2, 2022, before the impact of tenant improvement allowances, were $34.8 million, and, net of tenant improvement allowances, were $27.2 million. We continue to expect total capital expenditures, net of tenant improvement allowances, to be approximately $115.0 million for fiscal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repurchases and other similar distributions, with certain exceptions. Additionally, borrowing availability under the revolving credit facility under our First Lien Credit Agreement is subject to a first lien secured leverage ratio of 7.00 to 1.00 (as defined in the First Lien Credit Agreement), tested quarterly if, and only if, the aggregate principal amount outstanding and/or issued, as applicable, from the revolving facility, letters of credit (to the extent not cash collateralized or backstopped or, in the aggregate, not in excess of the greater of $10.0 million and the stated face amount of letters of credit outstanding on the closing date) and swingline loans exceeds 35% of the total amount of the revolving credit facility commitments.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April 2, 2022,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(amounts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3"/>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2, 2022</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April 3,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16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center"/>
              <w:ind w:left="294"/>
              <w:spacing w:after="0"/>
              <w:rPr>
                <w:sz w:val="20"/>
                <w:szCs w:val="20"/>
                <w:color w:val="auto"/>
              </w:rPr>
            </w:pPr>
            <w:r>
              <w:rPr>
                <w:rFonts w:ascii="Times New Roman" w:cs="Times New Roman" w:eastAsia="Times New Roman" w:hAnsi="Times New Roman"/>
                <w:sz w:val="18"/>
                <w:szCs w:val="18"/>
                <w:color w:val="auto"/>
              </w:rPr>
              <w:t>9,916</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rPr>
              <w:t>3,642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8"/>
              </w:rPr>
              <w:t>(5,613)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294"/>
              <w:spacing w:after="0"/>
              <w:rPr>
                <w:sz w:val="20"/>
                <w:szCs w:val="20"/>
                <w:color w:val="auto"/>
              </w:rPr>
            </w:pPr>
            <w:r>
              <w:rPr>
                <w:rFonts w:ascii="Times New Roman" w:cs="Times New Roman" w:eastAsia="Times New Roman" w:hAnsi="Times New Roman"/>
                <w:sz w:val="18"/>
                <w:szCs w:val="18"/>
                <w:color w:val="auto"/>
              </w:rPr>
              <w:t>7,945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1"/>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$36.3 million for the 13 weeks ended April 2, 2022 compared to $26.4 million for the same period in fiscal 2021. The increase in net cash provided by operating activities of $9.9 million for the 13 weeks ended April 2, 2022 compared to the same period in fiscal 2021 was primarily driven by changes to our working capital balances. Changes to accrued compensation and trade accounts payable provided increases to net cash flow provided by operating activities, which were partially offset by changes to merchandise inventories.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$35.5 million for the 13 weeks ended April 2, 2022 compared to $39.2 million for the same period in fiscal 2021. The decrease in net cash used in investing activities of $3.6 million for the 13 weeks ended April 2, 2022 compared to the same period in fiscal 2021 was primarily related to decreased capital expenditures related to the timing of construction of newly opened stores and stores under development as well as existing store capital investments. We had four new store openings and two store relocations during the 13 weeks ended April 2, 2022 compared to 10 new store openings and two store relocation for the same period of fiscal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of $2.9 million for the 13 weeks ended April 2, 2022 was primarily due to the repurchase of $3.5 million worth of common stock, partially offset by $0.9 million in proceeds from the exercise of stock options. Net cash provided by financing activities of $2.7 million for the 13 weeks ended April 3, 2021 was primarily due to $3.0 million in proceeds from the exercise of stock options, partially offset by $0.2 million in principal payments on finance leases.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With respect to critical accounting policies, even a relatively minor variance between actual and expected results can potentially have a materially favorable or unfavorable impact on subsequent results of operations.</w:t>
      </w:r>
    </w:p>
    <w:p>
      <w:pPr>
        <w:spacing w:after="0" w:line="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13 weeks ended April 2, 2022 from those disclosed in our 2021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 to the condensed consolidated financial statements included elsewhere in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credit facilities, which bear variable interest rates. As of April 2, 2022, our outstanding credit facilities included a $460.0 million senior term loan under the First Lien Credit Agreement. As of April 2, 2022, the interest rate on the senior term loan was 3.21% (See Note 3 to the condensed consolidated financial statements for additional information). Based on the outstanding balance and interest rate of our senior term loan as of April 2, 2022, a hypothetical 10% relative increase or decrease in the effective interest rate would cause an increase or decrease in interest expense of approximately $1.5 million over the next 12 months. Subsequent to quarter end, in April 2022 we prepaid $75.0 million of principal on the senior term loan outstanding under our First Lien Credit Agreement.</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or trading purposes, but this does not preclude our adoption of specific hedging strategies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experienced varying levels of inflation, resulting in part from various supply disruptions, increased shipping and transportation costs, increased commodity costs, increased labor costs in the supply chain and other disruptions caused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the uncertain economic environment. However, because of the flexibility of our unique buying model and our ability to price our products frequently, we were able to partially offset the impact of inflation on our business during the 13 weeks ended April 2, 2022 through selective price increases. We cannot be assured that our results of operations and financial condition will not be materially impacted by inflation in the future.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have concluded that our disclosure controls and procedures were effective at a reasonable assurance level as of April 2,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April 2, 2022,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13 weeks ended April 2,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2021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2021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on our share repurchase program activity for the first quarter of fiscal 2022 (amounts in thousands, except share and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46"/>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21"/>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203"/>
        </w:trPr>
        <w:tc>
          <w:tcPr>
            <w:tcW w:w="3580" w:type="dxa"/>
            <w:vAlign w:val="bottom"/>
            <w:gridSpan w:val="2"/>
            <w:vMerge w:val="continue"/>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Pr>
          <w:p>
            <w:pPr>
              <w:spacing w:after="0"/>
              <w:rPr>
                <w:sz w:val="17"/>
                <w:szCs w:val="17"/>
                <w:color w:val="auto"/>
              </w:rPr>
            </w:pPr>
          </w:p>
        </w:tc>
        <w:tc>
          <w:tcPr>
            <w:tcW w:w="17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8"/>
                <w:szCs w:val="18"/>
                <w:b w:val="1"/>
                <w:bCs w:val="1"/>
                <w:color w:val="auto"/>
                <w:w w:val="95"/>
                <w:vertAlign w:val="superscript"/>
              </w:rPr>
              <w:t>(1)</w:t>
            </w:r>
          </w:p>
        </w:tc>
        <w:tc>
          <w:tcPr>
            <w:tcW w:w="18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21"/>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223"/>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 2022 - January 29, 2022</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w:t>
            </w:r>
          </w:p>
        </w:tc>
        <w:tc>
          <w:tcPr>
            <w:tcW w:w="8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94,129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97,683</w:t>
            </w:r>
          </w:p>
        </w:tc>
        <w:tc>
          <w:tcPr>
            <w:tcW w:w="0" w:type="dxa"/>
            <w:vAlign w:val="bottom"/>
          </w:tcPr>
          <w:p>
            <w:pPr>
              <w:spacing w:after="0"/>
              <w:rPr>
                <w:sz w:val="1"/>
                <w:szCs w:val="1"/>
                <w:color w:val="auto"/>
              </w:rPr>
            </w:pPr>
          </w:p>
        </w:tc>
      </w:tr>
      <w:tr>
        <w:trPr>
          <w:trHeight w:val="22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30, 2022 - February 26, 2022</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80" w:type="dxa"/>
            <w:vAlign w:val="bottom"/>
          </w:tcPr>
          <w:p>
            <w:pPr>
              <w:spacing w:after="0"/>
              <w:rPr>
                <w:sz w:val="19"/>
                <w:szCs w:val="19"/>
                <w:color w:val="auto"/>
              </w:rPr>
            </w:pPr>
          </w:p>
        </w:tc>
        <w:tc>
          <w:tcPr>
            <w:tcW w:w="18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45,589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96,552</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27, 2022 - April 2, 2022</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96,552</w:t>
            </w:r>
          </w:p>
        </w:tc>
        <w:tc>
          <w:tcPr>
            <w:tcW w:w="0" w:type="dxa"/>
            <w:vAlign w:val="bottom"/>
          </w:tcPr>
          <w:p>
            <w:pPr>
              <w:spacing w:after="0"/>
              <w:rPr>
                <w:sz w:val="1"/>
                <w:szCs w:val="1"/>
                <w:color w:val="auto"/>
              </w:rPr>
            </w:pPr>
          </w:p>
        </w:tc>
      </w:tr>
      <w:tr>
        <w:trPr>
          <w:trHeight w:val="227"/>
        </w:trPr>
        <w:tc>
          <w:tcPr>
            <w:tcW w:w="35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first quarter</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139,718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24.70</w:t>
            </w:r>
          </w:p>
        </w:tc>
        <w:tc>
          <w:tcPr>
            <w:tcW w:w="80" w:type="dxa"/>
            <w:vAlign w:val="bottom"/>
          </w:tcPr>
          <w:p>
            <w:pPr>
              <w:spacing w:after="0"/>
              <w:rPr>
                <w:sz w:val="19"/>
                <w:szCs w:val="19"/>
                <w:color w:val="auto"/>
              </w:rPr>
            </w:pPr>
          </w:p>
        </w:tc>
        <w:tc>
          <w:tcPr>
            <w:tcW w:w="1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139,718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commissions for the shares repurchased under the share repurchase programs.</w:t>
      </w:r>
    </w:p>
    <w:p>
      <w:pPr>
        <w:spacing w:after="0" w:line="59" w:lineRule="exact"/>
        <w:rPr>
          <w:rFonts w:ascii="Times New Roman" w:cs="Times New Roman" w:eastAsia="Times New Roman" w:hAnsi="Times New Roman"/>
          <w:sz w:val="16"/>
          <w:szCs w:val="16"/>
          <w:color w:val="auto"/>
        </w:rPr>
      </w:pPr>
    </w:p>
    <w:p>
      <w:pPr>
        <w:jc w:val="both"/>
        <w:ind w:left="500" w:hanging="492"/>
        <w:spacing w:after="0" w:line="260" w:lineRule="auto"/>
        <w:tabs>
          <w:tab w:leader="none" w:pos="5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November 2021, our Board of Directors approved a share repurchase program. This program, effective November 5, 2021 and without an expiration date, authorized us to repurchase, from time to time and at prices the Company deems appropriate, up to $100.0 million of our outstanding common stock utilizing a variety of methods including open market purchases, accelerated share repurchase programs, privately negotiated transactions, structured repurchase transactions and under a Rule 10b5-1 plan (which would permit shares to be repurchased when the Company might otherwise be precluded from doing so under securities laws). In addition to the Company's discretion, such repurchases are subject to, among other things, market conditions, applicable legal requirements and debt covenants. The shares purchased were made in open-market transactions pursuant to a Rule 10b5-1 plan.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140" w:type="dxa"/>
            <w:vAlign w:val="bottom"/>
            <w:gridSpan w:val="10"/>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File</w:t>
            </w:r>
          </w:p>
        </w:tc>
        <w:tc>
          <w:tcPr>
            <w:tcW w:w="118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Exhibit</w:t>
            </w:r>
          </w:p>
        </w:tc>
        <w:tc>
          <w:tcPr>
            <w:tcW w:w="0" w:type="dxa"/>
            <w:vAlign w:val="bottom"/>
          </w:tcPr>
          <w:p>
            <w:pPr>
              <w:spacing w:after="0"/>
              <w:rPr>
                <w:sz w:val="1"/>
                <w:szCs w:val="1"/>
                <w:color w:val="auto"/>
              </w:rPr>
            </w:pPr>
          </w:p>
        </w:tc>
      </w:tr>
      <w:tr>
        <w:trPr>
          <w:trHeight w:val="214"/>
        </w:trPr>
        <w:tc>
          <w:tcPr>
            <w:tcW w:w="1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40" w:type="dxa"/>
            <w:vAlign w:val="bottom"/>
            <w:gridSpan w:val="10"/>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1"/>
          </w:tcPr>
          <w:p>
            <w:pPr>
              <w:spacing w:after="0" w:line="184"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Certificate of Incorporation of Grocery Outlet Holding</w:t>
              </w:r>
            </w:hyperlink>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S-8</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right"/>
              <w:ind w:right="75"/>
              <w:spacing w:after="0" w:line="184" w:lineRule="exact"/>
              <w:rPr>
                <w:sz w:val="20"/>
                <w:szCs w:val="20"/>
                <w:color w:val="auto"/>
              </w:rPr>
            </w:pPr>
            <w:r>
              <w:rPr>
                <w:rFonts w:ascii="Times New Roman" w:cs="Times New Roman" w:eastAsia="Times New Roman" w:hAnsi="Times New Roman"/>
                <w:sz w:val="18"/>
                <w:szCs w:val="18"/>
                <w:color w:val="auto"/>
              </w:rPr>
              <w:t>333-232318</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right"/>
              <w:ind w:right="95"/>
              <w:spacing w:after="0" w:line="184" w:lineRule="exact"/>
              <w:rPr>
                <w:sz w:val="20"/>
                <w:szCs w:val="20"/>
                <w:color w:val="auto"/>
              </w:rPr>
            </w:pPr>
            <w:r>
              <w:rPr>
                <w:rFonts w:ascii="Times New Roman" w:cs="Times New Roman" w:eastAsia="Times New Roman" w:hAnsi="Times New Roman"/>
                <w:sz w:val="18"/>
                <w:szCs w:val="18"/>
                <w:color w:val="auto"/>
              </w:rPr>
              <w:t>6/24/2019</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49">
              <w:r>
                <w:rPr>
                  <w:rFonts w:ascii="Times New Roman" w:cs="Times New Roman" w:eastAsia="Times New Roman" w:hAnsi="Times New Roman"/>
                  <w:sz w:val="18"/>
                  <w:szCs w:val="18"/>
                  <w:color w:val="0000FF"/>
                  <w:w w:val="93"/>
                </w:rPr>
                <w:t>Corp.</w:t>
              </w:r>
            </w:hyperlink>
          </w:p>
        </w:tc>
        <w:tc>
          <w:tcPr>
            <w:tcW w:w="5480" w:type="dxa"/>
            <w:vAlign w:val="bottom"/>
            <w:tcBorders>
              <w:top w:val="single" w:sz="8" w:color="0000FF"/>
            </w:tcBorders>
            <w:gridSpan w:val="9"/>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Amended and Restated Bylaws of Grocery Outlet Holding Corp.</w:t>
              </w:r>
            </w:hyperlink>
          </w:p>
        </w:tc>
        <w:tc>
          <w:tcPr>
            <w:tcW w:w="1340" w:type="dxa"/>
            <w:vAlign w:val="bottom"/>
            <w:gridSpan w:val="9"/>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001-38950</w:t>
            </w:r>
          </w:p>
        </w:tc>
        <w:tc>
          <w:tcPr>
            <w:tcW w:w="12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4/8/2022</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6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48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20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482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5"/>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24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300" w:type="dxa"/>
            <w:vAlign w:val="bottom"/>
            <w:gridSpan w:val="6"/>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4"/>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0"/>
                <w:szCs w:val="20"/>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100" w:right="4260" w:hanging="748"/>
        <w:spacing w:after="0" w:line="229" w:lineRule="auto"/>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w:t>
      </w:r>
    </w:p>
    <w:p>
      <w:pPr>
        <w:spacing w:after="0" w:line="27" w:lineRule="exact"/>
        <w:rPr>
          <w:sz w:val="20"/>
          <w:szCs w:val="20"/>
          <w:color w:val="auto"/>
        </w:rPr>
      </w:pPr>
    </w:p>
    <w:p>
      <w:pPr>
        <w:ind w:left="720" w:hanging="694"/>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jc w:val="both"/>
        <w:ind w:left="720" w:right="120" w:hanging="694"/>
        <w:spacing w:after="0" w:line="180" w:lineRule="auto"/>
        <w:tabs>
          <w:tab w:leader="none" w:pos="720" w:val="left"/>
        </w:tabs>
        <w:numPr>
          <w:ilvl w:val="0"/>
          <w:numId w:val="19"/>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Times New Roman" w:cs="Times New Roman" w:eastAsia="Times New Roman" w:hAnsi="Times New Roman"/>
          <w:sz w:val="18"/>
          <w:szCs w:val="18"/>
          <w:color w:val="auto"/>
        </w:rPr>
        <w:t>Date:</w:t>
        <w:tab/>
        <w:t>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8"/>
          <w:szCs w:val="18"/>
          <w:color w:val="auto"/>
        </w:rPr>
        <w:t>Charles C. Bracher</w:t>
      </w:r>
    </w:p>
    <w:p>
      <w:pPr>
        <w:ind w:left="710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7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Times New Roman" w:cs="Times New Roman" w:eastAsia="Times New Roman" w:hAnsi="Times New Roman"/>
          <w:sz w:val="18"/>
          <w:szCs w:val="18"/>
          <w:color w:val="auto"/>
        </w:rPr>
        <w:t>Date:</w:t>
        <w:tab/>
        <w:t>May 11,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Lindsay E. Gray</w:t>
      </w:r>
    </w:p>
    <w:p>
      <w:pPr>
        <w:ind w:left="7100"/>
        <w:spacing w:after="0" w:line="219" w:lineRule="auto"/>
        <w:rPr>
          <w:sz w:val="20"/>
          <w:szCs w:val="20"/>
          <w:color w:val="auto"/>
        </w:rPr>
      </w:pPr>
      <w:r>
        <w:rPr>
          <w:rFonts w:ascii="Times New Roman" w:cs="Times New Roman" w:eastAsia="Times New Roman" w:hAnsi="Times New Roman"/>
          <w:sz w:val="18"/>
          <w:szCs w:val="18"/>
          <w:color w:val="auto"/>
        </w:rPr>
        <w:t>Vice President and Corporate Controller</w:t>
      </w:r>
    </w:p>
    <w:p>
      <w:pPr>
        <w:ind w:left="71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310"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Lindberg, Jr.,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Grocery Outlet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58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Eric J. Lindberg, Jr.</w:t>
            </w:r>
          </w:p>
        </w:tc>
      </w:tr>
      <w:tr>
        <w:trPr>
          <w:trHeight w:val="218"/>
        </w:trPr>
        <w:tc>
          <w:tcPr>
            <w:tcW w:w="3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J. Lindberg, Jr.</w:t>
            </w:r>
          </w:p>
        </w:tc>
      </w:tr>
      <w:tr>
        <w:trPr>
          <w:trHeight w:val="230"/>
        </w:trPr>
        <w:tc>
          <w:tcPr>
            <w:tcW w:w="3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Grocery Outlet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58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By: /s/ Charles C. Bracher</w:t>
            </w:r>
          </w:p>
        </w:tc>
      </w:tr>
      <w:tr>
        <w:trPr>
          <w:trHeight w:val="218"/>
        </w:trPr>
        <w:tc>
          <w:tcPr>
            <w:tcW w:w="3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C. Bracher</w:t>
            </w:r>
          </w:p>
        </w:tc>
      </w:tr>
      <w:tr>
        <w:trPr>
          <w:trHeight w:val="230"/>
        </w:trPr>
        <w:tc>
          <w:tcPr>
            <w:tcW w:w="39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Grocery Outlet Holding Corp. (the “Company”) on Form 10-Q for the period ended April 2, 2022 as filed with the Securities and Exchange Commission on the date hereof (the “Report”), I, Eric J. Lindberg, Jr., certify pursuant to 18 U.S.C. § 1350, as adopted pursuant to § 906 of the Sarbanes-Oxley Act of 2002, that:</w:t>
      </w:r>
    </w:p>
    <w:p>
      <w:pPr>
        <w:spacing w:after="0" w:line="108" w:lineRule="exact"/>
        <w:rPr>
          <w:sz w:val="20"/>
          <w:szCs w:val="20"/>
          <w:color w:val="auto"/>
        </w:rPr>
      </w:pPr>
    </w:p>
    <w:p>
      <w:pPr>
        <w:ind w:left="1060" w:hanging="364"/>
        <w:spacing w:after="0"/>
        <w:tabs>
          <w:tab w:leader="none" w:pos="10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5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Eric J. Lindberg, Jr.</w:t>
            </w:r>
          </w:p>
        </w:tc>
      </w:tr>
      <w:tr>
        <w:trPr>
          <w:trHeight w:val="218"/>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J. Lindberg, Jr.</w:t>
            </w:r>
          </w:p>
        </w:tc>
      </w:tr>
      <w:tr>
        <w:trPr>
          <w:trHeight w:val="230"/>
        </w:trPr>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Grocery Outlet Holding Corp. (the “Company”) on Form 10-Q for the period ended April 2, 2022 as filed with the Securities and Exchange Commission on the date hereof (the “Report”), I, Charles C. Bracher, certify pursuant to 18 U.S.C. § 1350, as adopted pursuant to § 906 of the Sarbanes-Oxley Act of 2002, that:</w:t>
      </w:r>
    </w:p>
    <w:p>
      <w:pPr>
        <w:spacing w:after="0" w:line="108" w:lineRule="exact"/>
        <w:rPr>
          <w:sz w:val="20"/>
          <w:szCs w:val="20"/>
          <w:color w:val="auto"/>
        </w:rPr>
      </w:pPr>
    </w:p>
    <w:p>
      <w:pPr>
        <w:ind w:left="1060" w:hanging="364"/>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548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Charles C. Bracher</w:t>
            </w:r>
          </w:p>
        </w:tc>
      </w:tr>
      <w:tr>
        <w:trPr>
          <w:trHeight w:val="218"/>
        </w:trPr>
        <w:tc>
          <w:tcPr>
            <w:tcW w:w="3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C. Bracher</w:t>
            </w:r>
          </w:p>
        </w:tc>
      </w:tr>
      <w:tr>
        <w:trPr>
          <w:trHeight w:val="230"/>
        </w:trPr>
        <w:tc>
          <w:tcPr>
            <w:tcW w:w="36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4"/>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04"/>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9" Type="http://schemas.openxmlformats.org/officeDocument/2006/relationships/hyperlink" Target="http://www.sec.gov/Archives/edgar/data/1771515/000119312519180291/d729208dex41.htm" TargetMode="External"/><Relationship Id="rId50" Type="http://schemas.openxmlformats.org/officeDocument/2006/relationships/hyperlink" Target="http://www.sec.gov/Archives/edgar/data/0001771515/000177151522000045/go4-6x22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2022-05-11T15:14:04Z</dcterms:created>
  <dcterms:modified xsi:type="dcterms:W3CDTF">2022-05-11T15:14:04Z</dcterms:modified>
</cp:coreProperties>
</file>