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25783.xml.htm"/>
      <w:bookmarkStart w:id="1" w:name="kswkform4_17882257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Jaros Carey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GROCERY OUTLET HOLDING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5650 HOLLIS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Grocery Outlet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49,934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TIC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TIC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transfer of shares previously held directly by the Reporting Person to a tenancy in common held by two revocable family trust accounts. The transfer constituted only a change in form of beneficial ownership exempt under Rule 16a-13 of the Securities Exchange Act of 1934, as amended, as the Reporting Person retains a pecuniary interest in all transferred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of common stock held as tenancy in common by two revocable family trust accounts. The Reporting Person serves as a trustee of one trust and is a beneficiary of the other trust. The Reporting Person disclaims beneficial ownership of the shares held by the trust for which she is a trustee, except to the extent of her pecuniary interest therein.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Luke D. Thompson, Luke D. Thompson,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3561" TargetMode="External"/><Relationship Id="rId5" Type="http://schemas.openxmlformats.org/officeDocument/2006/relationships/hyperlink" Target="http://www.sec.gov/cgi-bin/browse-edgar?action=getcompany&amp;CIK=0001771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716</Words>
  <Characters>3823</Characters>
  <CharactersWithSpaces>4452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